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Hal01-13</w:t>
      </w:r>
    </w:p>
    <w:p>
      <w:pPr>
        <w:pStyle w:val="ListBullet"/>
      </w:pPr>
      <w:r>
        <w:rPr>
          <w:sz w:val="16"/>
        </w:rPr>
        <w:t>Hal 01 Sampul — Anwārush-Syaikhil-Basyīr ……………………………… 3</w:t>
      </w:r>
    </w:p>
    <w:p>
      <w:pPr>
        <w:pStyle w:val="ListBullet"/>
      </w:pPr>
      <w:r>
        <w:rPr>
          <w:sz w:val="16"/>
        </w:rPr>
        <w:t>Hal 02 Ihda' …………………………………………………………… 4</w:t>
      </w:r>
    </w:p>
    <w:p>
      <w:pPr>
        <w:pStyle w:val="ListBullet"/>
      </w:pPr>
      <w:r>
        <w:rPr>
          <w:sz w:val="16"/>
        </w:rPr>
        <w:t>Hal 03 Ijazah 'Ammah ……………………………………………… 5</w:t>
      </w:r>
    </w:p>
    <w:p>
      <w:pPr>
        <w:pStyle w:val="ListBullet"/>
      </w:pPr>
      <w:r>
        <w:rPr>
          <w:sz w:val="16"/>
        </w:rPr>
        <w:t>Hal 04 Sampul Dalam ……………………………………………… 6</w:t>
      </w:r>
    </w:p>
    <w:p>
      <w:pPr>
        <w:pStyle w:val="ListBullet"/>
      </w:pPr>
      <w:r>
        <w:rPr>
          <w:sz w:val="16"/>
        </w:rPr>
        <w:t>Hal 05 Fihris 13 Faedah …………………………………………… 7</w:t>
      </w:r>
    </w:p>
    <w:p>
      <w:pPr>
        <w:pStyle w:val="ListBullet"/>
      </w:pPr>
      <w:r>
        <w:rPr>
          <w:sz w:val="16"/>
        </w:rPr>
        <w:t>Hal 06 Faedah Maysarah 1/3 ……………………………………… 8</w:t>
      </w:r>
    </w:p>
    <w:p>
      <w:pPr>
        <w:pStyle w:val="ListBullet"/>
      </w:pPr>
      <w:r>
        <w:rPr>
          <w:sz w:val="16"/>
        </w:rPr>
        <w:t>Hal 07 Faedah Maysarah 2/3 ……………………………………… 10</w:t>
      </w:r>
    </w:p>
    <w:p>
      <w:pPr>
        <w:pStyle w:val="ListBullet"/>
      </w:pPr>
      <w:r>
        <w:rPr>
          <w:sz w:val="16"/>
        </w:rPr>
        <w:t>Hal 08 Faedah Maysarah 3/3 + 2 Wafaq ………………………… 12</w:t>
      </w:r>
    </w:p>
    <w:p>
      <w:pPr>
        <w:pStyle w:val="ListBullet"/>
      </w:pPr>
      <w:r>
        <w:rPr>
          <w:sz w:val="16"/>
        </w:rPr>
        <w:t>Hal 09 Muhriqah 1/2 ……………………………………………… 14</w:t>
      </w:r>
    </w:p>
    <w:p>
      <w:pPr>
        <w:pStyle w:val="ListBullet"/>
      </w:pPr>
      <w:r>
        <w:rPr>
          <w:sz w:val="16"/>
        </w:rPr>
        <w:t>Hal 10 Muhriqah 2/2 + Jadwal …………………………………… 16</w:t>
      </w:r>
    </w:p>
    <w:p>
      <w:pPr>
        <w:pStyle w:val="ListBullet"/>
      </w:pPr>
      <w:r>
        <w:rPr>
          <w:sz w:val="16"/>
        </w:rPr>
        <w:t>Hal 11 Qathi'ah 1/2 ……………………………………………… 18</w:t>
      </w:r>
    </w:p>
    <w:p>
      <w:pPr>
        <w:pStyle w:val="ListBullet"/>
      </w:pPr>
      <w:r>
        <w:rPr>
          <w:sz w:val="16"/>
        </w:rPr>
        <w:t>Hal 12 Qathi'ah 2/2 + Wafaq 3×3 ……………………………… 20</w:t>
      </w:r>
    </w:p>
    <w:p>
      <w:pPr>
        <w:pStyle w:val="ListBullet"/>
      </w:pPr>
      <w:r>
        <w:rPr>
          <w:sz w:val="16"/>
        </w:rPr>
        <w:t>Hal 13 Zajr Qathi' ………………………………………………… 22</w:t>
      </w:r>
    </w:p>
    <w:p>
      <w:r>
        <w:br w:type="page"/>
      </w:r>
    </w:p>
    <w:p>
      <w:pPr>
        <w:pStyle w:val="Heading1"/>
      </w:pPr>
      <w:r>
        <w:t>HALAMAN 01 — SAMPUL — أَنْوَارُ الشَّيْخِ الْبَشِيرِ</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latin</w:t>
      </w:r>
    </w:p>
    <w:p>
      <w:pPr>
        <w:jc w:val="left"/>
      </w:pPr>
      <w:r>
        <w:rPr>
          <w:i/>
          <w:color w:val="1A237E"/>
          <w:sz w:val="18"/>
        </w:rPr>
        <w:t>[Latin Washal belum tersedia]</w:t>
      </w:r>
    </w:p>
    <w:p>
      <w:pPr>
        <w:pStyle w:val="Heading2"/>
      </w:pPr>
      <w:r>
        <w:t>Terjemahan</w:t>
      </w:r>
    </w:p>
    <w:p>
      <w:pPr>
        <w:shd w:val="clear" w:color="auto" w:fill="E3F2FD"/>
        <w:pBdr>
          <w:left w:val="single" w:sz="12" w:space="6" w:color="64B5F6"/>
        </w:pBdr>
      </w:pPr>
      <w:r>
        <w:rPr>
          <w:color w:val="0D47A1"/>
          <w:sz w:val="18"/>
        </w:rPr>
        <w:t>Cahaya-cahaya Syeikh Al-Basyir. Forum Cahaya Al-Qadiriyah dan Ruh-Ruh Ar-Rahmaniyah.</w:t>
      </w:r>
    </w:p>
    <w:p>
      <w:pPr>
        <w:pStyle w:val="Heading2"/>
      </w:pPr>
      <w:r>
        <w:t>4. Syarah dan Penjelasan</w:t>
      </w:r>
    </w:p>
    <w:p>
      <w:pPr>
        <w:jc w:val="left"/>
      </w:pPr>
      <w:r>
        <w:rPr>
          <w:rFonts w:ascii="Calibri" w:hAnsi="Calibri"/>
          <w:b w:val="0"/>
          <w:i/>
          <w:sz w:val="17"/>
        </w:rPr>
        <w:t>Syarah sesuai nash kitab.</w:t>
      </w:r>
    </w:p>
    <w:p>
      <w:pPr>
        <w:pStyle w:val="Heading2"/>
      </w:pPr>
      <w:r>
        <w:t>5. Khususiyah dan Tatacara Praktik</w:t>
      </w:r>
    </w:p>
    <w:p>
      <w:pPr>
        <w:jc w:val="left"/>
      </w:pPr>
      <w:r>
        <w:rPr>
          <w:rFonts w:ascii="Calibri" w:hAnsi="Calibri"/>
          <w:b w:val="0"/>
          <w:i/>
          <w:sz w:val="17"/>
        </w:rPr>
        <w:t>Khususiyah sesuai nash — amalkan dengan adab.</w:t>
      </w:r>
    </w:p>
    <w:p>
      <w:r>
        <w:br w:type="page"/>
      </w:r>
    </w:p>
    <w:p>
      <w:pPr>
        <w:pStyle w:val="Heading1"/>
      </w:pPr>
      <w:r>
        <w:t>HALAMAN 02 — IHDA' — إِهْدَاءُ الشَّيْخِ الْبَشِيرِ</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latin</w:t>
      </w:r>
    </w:p>
    <w:p>
      <w:pPr>
        <w:jc w:val="left"/>
      </w:pPr>
      <w:r>
        <w:rPr>
          <w:i/>
          <w:color w:val="1A237E"/>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Terjemahan</w:t>
      </w:r>
    </w:p>
    <w:p>
      <w:pPr>
        <w:shd w:val="clear" w:color="auto" w:fill="E3F2FD"/>
        <w:pBdr>
          <w:left w:val="single" w:sz="12" w:space="6" w:color="64B5F6"/>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r>
    </w:p>
    <w:p>
      <w:pPr>
        <w:pStyle w:val="Heading2"/>
      </w:pPr>
      <w:r>
        <w:t>4. Syarah dan Penjelasan</w:t>
      </w:r>
    </w:p>
    <w:p>
      <w:pPr>
        <w:jc w:val="left"/>
      </w:pPr>
      <w:r>
        <w:rPr>
          <w:rFonts w:ascii="Calibri" w:hAnsi="Calibri"/>
          <w:b w:val="0"/>
          <w:i w:val="0"/>
          <w:sz w:val="17"/>
        </w:rPr>
        <w:t>Ihda' adalah adab sufi: menghadiahkan pahala karya kepada Nabi &amp; Ahlul Bait sebelum ilmu disebar — menandakan keberkahan sanad. Syaikh al-Faqir al-Qadiri adalah guru thariqah penulis (disebut juga di ijazah hal 03: «athāla Allāhu lanā fī 'umrih» — semoga dipanjangkan umur). Dr. Bihuni (بيهوني) kemungkinan peneliti/mentor akademik forum — disebut setara guru, menunjukkan kolaborasi sufi-akademik. Fuqara (فقراء) bukan fakir miskin harta, tetapi «faqir ilallāh» — murid yang merasa butuh kepada Allah, istilah Qadiriyah untuk ikhwan.</w:t>
      </w:r>
    </w:p>
    <w:p>
      <w:pPr>
        <w:pStyle w:val="Heading2"/>
      </w:pPr>
      <w:r>
        <w:t>5. Khususiyah dan Tatacara Praktik</w:t>
      </w:r>
    </w:p>
    <w:p>
      <w:pPr>
        <w:jc w:val="left"/>
      </w:pPr>
      <w:r>
        <w:rPr>
          <w:rFonts w:ascii="Calibri" w:hAnsi="Calibri"/>
          <w:b w:val="0"/>
          <w:i w:val="0"/>
          <w:sz w:val="17"/>
        </w:rPr>
        <w:t>Halaman ihda' tidak ada ritual khusus — fungsinya niyyah &amp; sanad. Adab: baca ihda' dengan khushu', hadiahkan Fatihah setelahnya (seperti ijazah hal 03: shalawat + Fatihah untuk Nabi, guru, diri). Tidak perlu menulis/membakar halaman ini.</w:t>
      </w:r>
    </w:p>
    <w:p>
      <w:r>
        <w:br w:type="page"/>
      </w:r>
    </w:p>
    <w:p>
      <w:pPr>
        <w:pStyle w:val="Heading1"/>
      </w:pPr>
      <w:r>
        <w:t>HALAMAN 03 — IJAZAH 'AMMAH — إِجَازَةُ الشَّيْخِ الْبَشِيرِ</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latin</w:t>
      </w:r>
    </w:p>
    <w:p>
      <w:pPr>
        <w:jc w:val="left"/>
      </w:pPr>
      <w:r>
        <w:rPr>
          <w:i/>
          <w:color w:val="1A237E"/>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Terjemahan</w:t>
      </w:r>
    </w:p>
    <w:p>
      <w:pPr>
        <w:shd w:val="clear" w:color="auto" w:fill="E3F2FD"/>
        <w:pBdr>
          <w:left w:val="single" w:sz="12" w:space="6" w:color="64B5F6"/>
        </w:pBdr>
      </w:pPr>
      <w:r>
        <w:rPr>
          <w:color w:val="0D47A1"/>
          <w:sz w:val="18"/>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r>
    </w:p>
    <w:p>
      <w:pPr>
        <w:pStyle w:val="Heading2"/>
      </w:pPr>
      <w:r>
        <w:t>4. Syarah dan Penjelasan</w:t>
      </w:r>
    </w:p>
    <w:p>
      <w:pPr>
        <w:jc w:val="left"/>
      </w:pPr>
      <w:r>
        <w:rPr>
          <w:rFonts w:ascii="Calibri" w:hAnsi="Calibri"/>
          <w:b w:val="0"/>
          <w:i w:val="0"/>
          <w:sz w:val="17"/>
        </w:rPr>
        <w:t>Ijazah 'ammah adalah sanad terbuka khas tradisi Qadiriyah kontemporer: tidak perlu baiat tatap muka, cukup menerima naskah dengan syarat shalawat &amp; Fatihah. «Fīmā yurdhi Allāha wa Rasūlah» adalah batas maqashid syar'i — ijazah batal jika untuk zalim/sihir merusak (prinsip hal 64: *yu'til hikmata man yasyā'*). Urutan hadiah Fatihah: Nabi → guru → diri penulis → Syaikh Faqir Qadiri, menunjukkan tawadhu' &amp; silsilah. Kalimat «athāla Allāhu lanā fī 'umrih» (semoga Allah panjangkan umur) menunjukkan Syaikh Faqir masih hidup saat kitab ditulis — bukan tokoh wafat.</w:t>
      </w:r>
    </w:p>
    <w:p>
      <w:pPr>
        <w:pStyle w:val="Heading2"/>
      </w:pPr>
      <w:r>
        <w:t>5. Khususiyah dan Tatacara Praktik</w:t>
      </w:r>
    </w:p>
    <w:p>
      <w:pPr>
        <w:jc w:val="left"/>
      </w:pPr>
      <w:r>
        <w:rPr>
          <w:rFonts w:ascii="Calibri" w:hAnsi="Calibri"/>
          <w:b w:val="0"/>
          <w:i w:val="0"/>
          <w:sz w:val="17"/>
        </w:rPr>
        <w:t>Tata cara menerima ijazah (wajib sebelum amal faedah apa pun): 1) Niat untuk ridha Allah, 2) Shalawat 1× (minimal), 3) Fatihah 1× dengan hadiah seperti di atas (niat dalam hati: «hadiah pahala untuk...»), 4) Yakin ijazah telah washil (sampai) — tidak perlu mimpi/karamah. Khususiyah: ijazah ini mengikat sanad ruhani; mengamalkan tanpa ijazah = tanpa sanad (kurang barakah, meski tetap boleh sebagai doa umum). Tidak ada mahar/puasa khusus untuk ijazah ini.</w:t>
      </w:r>
    </w:p>
    <w:p>
      <w:r>
        <w:br w:type="page"/>
      </w:r>
    </w:p>
    <w:p>
      <w:pPr>
        <w:pStyle w:val="Heading1"/>
      </w:pPr>
      <w:r>
        <w:t>HALAMAN 04 — SAMPUL DALAM — فَوَائِدُ وَمُجَرَّبَاتُ</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latin</w:t>
      </w:r>
    </w:p>
    <w:p>
      <w:pPr>
        <w:jc w:val="left"/>
      </w:pPr>
      <w:r>
        <w:rPr>
          <w:i/>
          <w:color w:val="1A237E"/>
          <w:sz w:val="18"/>
        </w:rPr>
        <w:t>Fawā'idu wa Mujarrabātush-Syaikhil-Basyīr</w:t>
      </w:r>
    </w:p>
    <w:p>
      <w:pPr>
        <w:pStyle w:val="Heading2"/>
      </w:pPr>
      <w:r>
        <w:t>Terjemahan</w:t>
      </w:r>
    </w:p>
    <w:p>
      <w:pPr>
        <w:shd w:val="clear" w:color="auto" w:fill="E3F2FD"/>
        <w:pBdr>
          <w:left w:val="single" w:sz="12" w:space="6" w:color="64B5F6"/>
        </w:pBdr>
      </w:pPr>
      <w:r>
        <w:rPr>
          <w:color w:val="0D47A1"/>
          <w:sz w:val="18"/>
        </w:rPr>
        <w:t>Faedah-faedah dan mujarrabat-mujarrabat Syeikh Al-Basyir.</w:t>
      </w:r>
    </w:p>
    <w:p>
      <w:pPr>
        <w:pStyle w:val="Heading2"/>
      </w:pPr>
      <w:r>
        <w:t>4. Syarah dan Penjelasan</w:t>
      </w:r>
    </w:p>
    <w:p>
      <w:pPr>
        <w:jc w:val="left"/>
      </w:pPr>
      <w:r>
        <w:rPr>
          <w:rFonts w:ascii="Calibri" w:hAnsi="Calibri"/>
          <w:b w:val="0"/>
          <w:i w:val="0"/>
          <w:sz w:val="17"/>
        </w:rPr>
        <w:t>Halaman ini adalah title page dalam (bukan duplikat sampul). Bedanya: sampul hal 01 menyebut forum penerbit, hal 04 hanya menyebut isi (fawaid &amp; mujarrabat). Warna hijau melambangkan keberkahan &amp; Qadiriyah. Fungsi: penanda mulai bab inti setelah muqaddimah sanad (ihda' + ijazah).</w:t>
      </w:r>
    </w:p>
    <w:p>
      <w:pPr>
        <w:pStyle w:val="Heading2"/>
      </w:pPr>
      <w:r>
        <w:t>5. Khususiyah dan Tatacara Praktik</w:t>
      </w:r>
    </w:p>
    <w:p>
      <w:pPr>
        <w:jc w:val="left"/>
      </w:pPr>
      <w:r>
        <w:rPr>
          <w:rFonts w:ascii="Calibri" w:hAnsi="Calibri"/>
          <w:b w:val="0"/>
          <w:i w:val="0"/>
          <w:sz w:val="17"/>
        </w:rPr>
        <w:t>Sama seperti sampul — tidak ada ritual. Hanya penanda niat: membaca judul dalam ini dengan berharap faidah &amp; mujarrabat yang sahih.</w:t>
      </w:r>
    </w:p>
    <w:p>
      <w:r>
        <w:br w:type="page"/>
      </w:r>
    </w:p>
    <w:p>
      <w:pPr>
        <w:pStyle w:val="Heading1"/>
      </w:pPr>
      <w:r>
        <w:t>HALAMAN 05 — FIHRIS — فِهْرِسُ مُجَرَّبَاتِ</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latin</w:t>
      </w:r>
    </w:p>
    <w:p>
      <w:pPr>
        <w:jc w:val="left"/>
      </w:pPr>
      <w:r>
        <w:rPr>
          <w:i/>
          <w:color w:val="1A237E"/>
          <w:sz w:val="18"/>
        </w:rPr>
        <w:t>fawā'idu → fawā'idum-muhriqatun ṭāridatun lil-Jinni wal-Maradati bi'iznillāh).</w:t>
      </w:r>
    </w:p>
    <w:p>
      <w:pPr>
        <w:pStyle w:val="Heading2"/>
      </w:pPr>
      <w:r>
        <w:t>Terjemahan</w:t>
      </w:r>
    </w:p>
    <w:p>
      <w:pPr>
        <w:shd w:val="clear" w:color="auto" w:fill="E3F2FD"/>
        <w:pBdr>
          <w:left w:val="single" w:sz="12" w:space="6" w:color="64B5F6"/>
        </w:pBdr>
      </w:pPr>
      <w:r>
        <w:rPr>
          <w:color w:val="0D47A1"/>
          <w:sz w:val="18"/>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r>
    </w:p>
    <w:p>
      <w:pPr>
        <w:pStyle w:val="Heading2"/>
      </w:pPr>
      <w:r>
        <w:t>4. Syarah dan Penjelasan</w:t>
      </w:r>
    </w:p>
    <w:p>
      <w:pPr>
        <w:jc w:val="left"/>
      </w:pPr>
      <w:r>
        <w:rPr>
          <w:rFonts w:ascii="Calibri" w:hAnsi="Calibri"/>
          <w:b w:val="0"/>
          <w:i w:val="0"/>
          <w:sz w:val="17"/>
        </w:rPr>
        <w:t>Fihris ini adalah peta 13 faedah yang menjadi inti kitab (hal 06–30). Faedah 1–3 tentang rizki &amp; jin; 4–6 tentang khadam &amp; gangguan; 7–9 tentang zhalim &amp; qarin; 10–13 tentang perlindungan &amp; kasyaf. Jumlah 13 bukan 12 seperti dugaan awal (koreksi dari analisis Batch01 lama). Faedah 12 (10 Ayat Mubthilat) merujuk pada kumpulan «10 Qala» yang akan dibahas di hal 27–28 dengan wafaq 2190.</w:t>
      </w:r>
    </w:p>
    <w:p>
      <w:pPr>
        <w:pStyle w:val="Heading2"/>
      </w:pPr>
      <w:r>
        <w:t>5. Khususiyah dan Tatacara Praktik</w:t>
      </w:r>
    </w:p>
    <w:p>
      <w:pPr>
        <w:jc w:val="left"/>
      </w:pPr>
      <w:r>
        <w:rPr>
          <w:rFonts w:ascii="Calibri" w:hAnsi="Calibri"/>
          <w:b w:val="0"/>
          <w:i w:val="0"/>
          <w:sz w:val="17"/>
        </w:rPr>
        <w:t>Fihris tidak ada amalan — hanya penunjuk. Adab: baca fihris untuk memilih hajat, jangan amalkan semua sekaligus. Prioritaskan faedah yang sesuai hajat &amp; telah dapat ijazah hal 03.</w:t>
      </w:r>
    </w:p>
    <w:p>
      <w:r>
        <w:br w:type="page"/>
      </w:r>
    </w:p>
    <w:p>
      <w:pPr>
        <w:pStyle w:val="Heading1"/>
      </w:pPr>
      <w:r>
        <w:t>HALAMAN 06 — FAEDAH MAYSARAH 1/3 — طَرِيقَةُ الْمَيْسَرَةِ</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latin</w:t>
      </w:r>
    </w:p>
    <w:p>
      <w:pPr>
        <w:jc w:val="left"/>
      </w:pPr>
      <w:r>
        <w:rPr>
          <w:i/>
          <w:color w:val="1A237E"/>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Terjemahan</w:t>
      </w:r>
    </w:p>
    <w:p>
      <w:pPr>
        <w:shd w:val="clear" w:color="auto" w:fill="E3F2FD"/>
        <w:pBdr>
          <w:left w:val="single" w:sz="12" w:space="6" w:color="64B5F6"/>
        </w:pBdr>
      </w:pPr>
      <w:r>
        <w:rPr>
          <w:color w:val="0D47A1"/>
          <w:sz w:val="18"/>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r>
    </w:p>
    <w:p>
      <w:pPr>
        <w:pStyle w:val="Heading2"/>
      </w:pPr>
      <w:r>
        <w:t>4. Syarah dan Penjelasan</w:t>
      </w:r>
    </w:p>
    <w:p>
      <w:pPr>
        <w:jc w:val="left"/>
      </w:pPr>
      <w:r>
        <w:rPr>
          <w:rFonts w:ascii="Calibri" w:hAnsi="Calibri"/>
          <w:b w:val="0"/>
          <w:i w:val="0"/>
          <w:sz w:val="17"/>
        </w:rPr>
        <w:t>Faedah Maysarah adalah faedah pertama &amp; paling terperinci (hal 06-08) — menjadi «pintu» hisab huruf untuk 12 faedah lain. Nama Murad bin Maryam = «yang diinginkan bin Maryam» (contoh generik, bukan orang spesifik). Bilangan 535 (khamsu mi'ah ...) adalah hisab Jumal kabir? Bukan, ini hisab lafzhi (melafalkan angka jadi huruf) — metode khas Syeikh Basyir, beda dengan Jumal abjadi biasa (ا=1...). Wafaq mukhammas 5×5 = 25 petak melambangkan keseimbangan 5 rukun / 5 panca indera (tafsir penulis hal 45-46). Pembagian 13 (al-uss al-harfi al-mu'addal) adalah inti: huruf &lt;13 (wafaq amal) vs &gt;13 (ruhani) — angka 13 muncul dari 25−12, menjadi threshold suci (di faedah 08 juga akan muncul 582 etc.). Ta'dil خ→س &amp; ث→ن dengan mizan ibaqi adalah kaidah tabdil zhulmani→nurani — huruf keras (kho, tsa) ditukar ke halus (sin, nun) agar wafaq tidak «panas» (zhulmani = berat, nurani = cahaya).</w:t>
      </w:r>
    </w:p>
    <w:p>
      <w:pPr>
        <w:pStyle w:val="Heading2"/>
      </w:pPr>
      <w:r>
        <w:t>5. Khususiyah dan Tatacara Praktik</w:t>
      </w:r>
    </w:p>
    <w:p>
      <w:pPr>
        <w:jc w:val="left"/>
      </w:pPr>
      <w:r>
        <w:rPr>
          <w:rFonts w:ascii="Calibri" w:hAnsi="Calibri"/>
          <w:b w:val="0"/>
          <w:i w:val="0"/>
          <w:sz w:val="17"/>
        </w:rPr>
        <w:t>Khasiat: melariskan dagang &amp; menarik rizki halal. Belum ada tatacara di hal 06 — baru hisab. Persiapan: siapkan nama penanya (tholib) + nama ibu, hitung seperti contoh, siapkan kertas putih &amp; tinta misk (akan dirinci hal 07).</w:t>
      </w:r>
    </w:p>
    <w:p>
      <w:r>
        <w:br w:type="page"/>
      </w:r>
    </w:p>
    <w:p>
      <w:pPr>
        <w:pStyle w:val="Heading1"/>
      </w:pPr>
      <w:r>
        <w:t>HALAMAN 07 — FAEDAH MAYSARAH 2/3 — LANJUTAN</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latin</w:t>
      </w:r>
    </w:p>
    <w:p>
      <w:pPr>
        <w:jc w:val="left"/>
      </w:pPr>
      <w:r>
        <w:rPr>
          <w:i/>
          <w:color w:val="1A237E"/>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Terjemahan</w:t>
      </w:r>
    </w:p>
    <w:p>
      <w:pPr>
        <w:shd w:val="clear" w:color="auto" w:fill="E3F2FD"/>
        <w:pBdr>
          <w:left w:val="single" w:sz="12" w:space="6" w:color="64B5F6"/>
        </w:pBdr>
      </w:pPr>
      <w:r>
        <w:rPr>
          <w:color w:val="0D47A1"/>
          <w:sz w:val="18"/>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r>
    </w:p>
    <w:p>
      <w:pPr>
        <w:pStyle w:val="Heading2"/>
      </w:pPr>
      <w:r>
        <w:t>4. Syarah dan Penjelasan</w:t>
      </w:r>
    </w:p>
    <w:p>
      <w:pPr>
        <w:jc w:val="left"/>
      </w:pPr>
      <w:r>
        <w:rPr>
          <w:rFonts w:ascii="Calibri" w:hAnsi="Calibri"/>
          <w:b w:val="0"/>
          <w:i w:val="0"/>
          <w:sz w:val="17"/>
        </w:rPr>
        <w:t>Samsail vs Nasmahil: Samsail adalah Ruhani Khadim (pelaksana), Nasmahil adalah Ruhani Hakim (pengawas) — hierarki ruhani 2 tingkat khas Qadiriyah (khadim di bawah hakim). Tatslits (loncat 3) adalah kaidah taltif — mengambil tiap huruf ke-3 dari baris taksir, melambangkan perimbangan 3 unsur (jism-ruh-aql). Asma «La ilaha illa Allah al-Muhaimin» (196×) — bukan «Ya Razzaq» yang diduga — menunjukkan inti rizki adalah tauhid &amp; pengawasan Allah (al-Muhaimin), bukan mantra jin. Hisab jam Zuhrah: sisa 6 dari 27÷7 — dalam falak klasik Zuhrah (Venus) = bintang ke-6 (urutan: Qamar 1, 'Utarid 2, Zuhrah 6? Variasi). Penulis tetap pada sisa 6 = Zuhrah (cek konsistensi: hal 06 menyebut 7 jam: Syams, Zuhrah, 'Utharid, Qamar, Zuhal, Musytari, Mirrikh — sisa 1=Syams ... 6=Zuhrah, 0=Zuhal). Ayat pelingkaran: Qawluhul-Haq (kekuasaan ucapan Allah), Lathif (Kelembutan rizki), Yatlu Kitab Allah (keberkahan tilawah) — tiga ayat rangkuman tauhid-rizki-barokah.</w:t>
      </w:r>
    </w:p>
    <w:p>
      <w:pPr>
        <w:pStyle w:val="Heading2"/>
      </w:pPr>
      <w:r>
        <w:t>5. Khususiyah dan Tatacara Praktik</w:t>
      </w:r>
    </w:p>
    <w:p>
      <w:pPr>
        <w:pStyle w:val="ListBullet"/>
      </w:pPr>
      <w:r>
        <w:rPr>
          <w:sz w:val="16"/>
        </w:rPr>
        <w:t>Waktu: Jam Zuhrah hari apa saja (siang/malam hitung falak 12 jam siang +12 malam mulai terbit). Jika terlewat, tunda ke hari berikut jam sama — jangan paksakan jam lain.</w:t>
        <w:br/>
        <w:t>- Alat: Kertas putih polos, qalam, tinta ruhani: air mawar + za'faran + misk (nisabah 1:1:sedikit misk), tanpa tinta hitam kimia.</w:t>
        <w:br/>
        <w:t>- Bukhur: Luban (kemenyan putih) + 'ud shalib (kayu gaharu salib) — dibakar saat tulis &amp; tilawah untuk mewangikan majelis ruhani (bukan untuk jin).</w:t>
        <w:br/>
        <w:t>- Tulisan: Wafaq mukhammas di depan (huruf و ا هـ د ي diputar), keliling ayat; wafaq murabba' di belakang (huruf ن س ل م diputar). 4 sudut mukhammas tulis «سمسائيل» tiap sudut.</w:t>
        <w:br/>
        <w:t>- Tilawah: 'Azimah «لا إله إلا الله المهيمن» 196× (angka dari 27? 27×? 196 =14² — rahasia mizan, akan muncul di hal 08). Niat tawajjuh kepada Allah dengan hajat.</w:t>
        <w:br/>
        <w:t>- Pantangan: Tulis dalam keadaan suci (wudhu), menghadap kiblat, tidak bercanda/merokok, niat halal.</w:t>
      </w:r>
    </w:p>
    <w:p>
      <w:r>
        <w:br w:type="page"/>
      </w:r>
    </w:p>
    <w:p>
      <w:pPr>
        <w:pStyle w:val="Heading1"/>
      </w:pPr>
      <w:r>
        <w:t>HALAMAN 08 — FAEDAH MAYSARAH 3/3 — 2 WAFAQ</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latin</w:t>
      </w:r>
    </w:p>
    <w:p>
      <w:pPr>
        <w:jc w:val="left"/>
      </w:pPr>
      <w:r>
        <w:rPr>
          <w:i/>
          <w:color w:val="1A237E"/>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Terjemahan</w:t>
      </w:r>
    </w:p>
    <w:p>
      <w:pPr>
        <w:shd w:val="clear" w:color="auto" w:fill="E3F2FD"/>
        <w:pBdr>
          <w:left w:val="single" w:sz="12" w:space="6" w:color="64B5F6"/>
        </w:pBdr>
      </w:pPr>
      <w:r>
        <w:rPr>
          <w:color w:val="0D47A1"/>
          <w:sz w:val="18"/>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r>
    </w:p>
    <w:p>
      <w:pPr>
        <w:pStyle w:val="Heading2"/>
      </w:pPr>
      <w:r>
        <w:t>4. Syarah dan Penjelasan</w:t>
      </w:r>
    </w:p>
    <w:p>
      <w:pPr>
        <w:jc w:val="left"/>
      </w:pPr>
      <w:r>
        <w:rPr>
          <w:rFonts w:ascii="Calibri" w:hAnsi="Calibri"/>
          <w:b w:val="0"/>
          <w:i w:val="0"/>
          <w:sz w:val="17"/>
        </w:rPr>
        <w:t>Wafaq Mukhammas 5×5 (kanan di scan): Matriks 5×5 = 25 petak berisi 5 huruf amal (و ا هـ د ي) yang dirotasi tiap baris — pola tadwir (perputaran). Konstanta wafaq mukhammas bukan angka (seperti mukhammas ghazali 65) melainkan huruf — tiap baris/kolom/diagonal mengandung semua 5 huruf tanpa ulang, melambangkan keseimbangan rizki dari 5 arah. Wafaq Murabba' 4×4 (kiri): 16 petak berisi 4 huruf Ruhani Hakim (م س ل ن) rotasi — melambangkan 4 penjuru/4 khadim. Keduanya ditulis di satu kertas bolak-balik (mukhammas depan, murabba' belakang) — simbol zahir (amal) &amp; batin (ruhani). 'Azimah 196×: 196 = 14² = 196 → 14 = jumlah huruf «لا إله إلا الله المهيمن» tanpa ulang? Hitung: ل ا إ ل هـ إ ل ا ا ل ل هـ ا ل م هـ ي م ن =14 unik → 14² =196 — rahasia mizan penulis (angka «muka» — lihat hal 45: mizan ibaqi). Link forum di bawah wafaq menegaskan otentisitas digital.</w:t>
      </w:r>
    </w:p>
    <w:p>
      <w:pPr>
        <w:pStyle w:val="Heading2"/>
      </w:pPr>
      <w:r>
        <w:t>5. Khususiyah dan Tatacara Praktik</w:t>
      </w:r>
    </w:p>
    <w:p>
      <w:pPr>
        <w:pStyle w:val="ListBullet"/>
      </w:pPr>
      <w:r>
        <w:rPr>
          <w:sz w:val="16"/>
        </w:rPr>
        <w:t xml:space="preserve">Fungsi: Pelaris dagang, pembuka pintu rizki halal (bukan judi/maksiat).  </w:t>
        <w:br/>
        <w:t xml:space="preserve">- Waktu: Jam Zuhrah (hal 07) — tulis &amp; baca di jam itu; 'azimah 196× dibaca setelah tulis, menghadap kiblat, tawajjuh (konsentrasi hajat).  </w:t>
        <w:br/>
        <w:t xml:space="preserve">- Media: Kertas putih, tinta mawar-za'faran-misk, bukhur luban/'ud salib.  </w:t>
        <w:br/>
        <w:t xml:space="preserve">- Adab: Niat halal, yakin Allah pemberi rizki (wafaq sabab doa, bukan jimat berkuasa), tinggalkan jika was-was. Jika hajat belum qabul, ulangi 3/7 malam berturut pada jam sama — bukan menambah jumlah wirid.  </w:t>
        <w:br/>
        <w:t>- Pantangan Faedah 01: Jangan gunakan untuk menipu timbangan / riba — penulis syaratkan «fimā yurdhi Allāh».</w:t>
      </w:r>
    </w:p>
    <w:p>
      <w:pPr>
        <w:jc w:val="center"/>
      </w:pPr>
      <w:r>
        <w:drawing>
          <wp:inline xmlns:a="http://schemas.openxmlformats.org/drawingml/2006/main" xmlns:pic="http://schemas.openxmlformats.org/drawingml/2006/picture">
            <wp:extent cx="4389120" cy="3167000"/>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389120" cy="3167000"/>
                    </a:xfrm>
                    <a:prstGeom prst="rect"/>
                  </pic:spPr>
                </pic:pic>
              </a:graphicData>
            </a:graphic>
          </wp:inline>
        </w:drawing>
      </w:r>
    </w:p>
    <w:p>
      <w:pPr>
        <w:spacing w:before="20" w:after="80"/>
        <w:jc w:val="center"/>
      </w:pPr>
      <w:r>
        <w:rPr>
          <w:i/>
          <w:color w:val="424242"/>
          <w:sz w:val="15"/>
        </w:rPr>
        <w:t>[Gambar: Wafaq Hal 08]</w:t>
      </w:r>
    </w:p>
    <w:p>
      <w:pPr>
        <w:jc w:val="center"/>
      </w:pPr>
      <w:r>
        <w:drawing>
          <wp:inline xmlns:a="http://schemas.openxmlformats.org/drawingml/2006/main" xmlns:pic="http://schemas.openxmlformats.org/drawingml/2006/picture">
            <wp:extent cx="4389120" cy="3206423"/>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389120" cy="3206423"/>
                    </a:xfrm>
                    <a:prstGeom prst="rect"/>
                  </pic:spPr>
                </pic:pic>
              </a:graphicData>
            </a:graphic>
          </wp:inline>
        </w:drawing>
      </w:r>
    </w:p>
    <w:p>
      <w:pPr>
        <w:spacing w:before="20" w:after="80"/>
        <w:jc w:val="center"/>
      </w:pPr>
      <w:r>
        <w:rPr>
          <w:i/>
          <w:color w:val="424242"/>
          <w:sz w:val="15"/>
        </w:rPr>
        <w:t>[Gambar: Wafaq Hal 08]</w:t>
      </w:r>
    </w:p>
    <w:p>
      <w:r>
        <w:br w:type="page"/>
      </w:r>
    </w:p>
    <w:p>
      <w:pPr>
        <w:pStyle w:val="Heading1"/>
      </w:pPr>
      <w:r>
        <w:t>HALAMAN 09 — FAEDAH MUHRIQAH 1/2</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latin</w:t>
      </w:r>
    </w:p>
    <w:p>
      <w:pPr>
        <w:jc w:val="left"/>
      </w:pPr>
      <w:r>
        <w:rPr>
          <w:i/>
          <w:color w:val="1A237E"/>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Terjemahan</w:t>
      </w:r>
    </w:p>
    <w:p>
      <w:pPr>
        <w:shd w:val="clear" w:color="auto" w:fill="E3F2FD"/>
        <w:pBdr>
          <w:left w:val="single" w:sz="12" w:space="6" w:color="64B5F6"/>
        </w:pBdr>
      </w:pPr>
      <w:r>
        <w:rPr>
          <w:color w:val="0D47A1"/>
          <w:sz w:val="18"/>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r>
    </w:p>
    <w:p>
      <w:pPr>
        <w:pStyle w:val="Heading2"/>
      </w:pPr>
      <w:r>
        <w:t>4. Syarah dan Penjelasan</w:t>
      </w:r>
    </w:p>
    <w:p>
      <w:pPr>
        <w:jc w:val="left"/>
      </w:pPr>
      <w:r>
        <w:rPr>
          <w:rFonts w:ascii="Calibri" w:hAnsi="Calibri"/>
          <w:b w:val="0"/>
          <w:i w:val="0"/>
          <w:sz w:val="17"/>
        </w:rPr>
        <w:t>Faedah ini adalah Faedah 02 (pertama dari seri jin). Kaidah mazj thabi'ah — mencampur nama dengan 7 huruf api-udara nurani (ا هـ ط م ك س ق) adalah metode Būnī: huruf thabi'ah panas-lembut untuk membakar jin. Taksir ilā al-makhraj ma'a tarkihi = metode taksir berulang sampai huruf habis (makhraj) tapi baris terakhir tidak dipakai — menyisakan inti. Aturan genap/ganjil menentukan sumber ruhani: genap→baris2, ganjil→baris3 — kaidah keseimbangan (mizan) Qadiriyah. 3 lembar + piring mahw = simbol 3 malam + penyatuan zahir-batin (tulisan &amp; air). Bukhur bidara (sidr, penangkal sihir), qaranful (cengkeh, penguat), mustakā (damar, pewangi) — bahan klasik ruqyah.</w:t>
      </w:r>
    </w:p>
    <w:p>
      <w:pPr>
        <w:pStyle w:val="Heading2"/>
      </w:pPr>
      <w:r>
        <w:t>5. Khususiyah dan Tatacara Praktik</w:t>
      </w:r>
    </w:p>
    <w:p>
      <w:pPr>
        <w:jc w:val="left"/>
      </w:pPr>
      <w:r>
        <w:rPr>
          <w:rFonts w:ascii="Calibri" w:hAnsi="Calibri"/>
          <w:b w:val="0"/>
          <w:i w:val="0"/>
          <w:sz w:val="17"/>
        </w:rPr>
        <w:t>Khasiat: membakar jin 'aridh &amp; maradah yang menetap di jasad, bi'iznillah — bukan untuk iseng. Tata cara: wudhu, tulis di kertas putih dengan misk-za'faran, 3 lembar + 1 piring (mahw air thahir: hujan/sumur tak kena matahari/bulan). Bakhur tiap malam 1 lembar + oles + tidur pisah 3 malam. Jika tak ada hujan, pakai sumur. Pantangan: tulis setelah isya? Tidak mutlak (hal09 tidak sebut waktu — fleksibel), jaga aurat, niat lillāh, jangan untuk balas dendam.</w:t>
      </w:r>
    </w:p>
    <w:p>
      <w:r>
        <w:br w:type="page"/>
      </w:r>
    </w:p>
    <w:p>
      <w:pPr>
        <w:pStyle w:val="Heading1"/>
      </w:pPr>
      <w:r>
        <w:t>HALAMAN 10 — FAEDAH MUHRIQAH 2/2 — JADWAL &amp; QASAM</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latin</w:t>
      </w:r>
    </w:p>
    <w:p>
      <w:pPr>
        <w:jc w:val="left"/>
      </w:pPr>
      <w:r>
        <w:rPr>
          <w:i/>
          <w:color w:val="1A237E"/>
          <w:sz w:val="18"/>
        </w:rPr>
        <w:t>Akhadznā hurūfar-rūhāniy minas-sathrits-tsālitsi wa hiya nūn hā' qāf 'adaduhā mi'atun wa tsamāniyatun wa khamsūna (158) nuthquhā Hinqāyīl... bismillāhir-rahmānir-rahīm aqsamtu 'alaikum ayyatuhal-arwāhur-rūhāniyyah Thaktsāyīl wa anta yā 'Awtsāyīl bihaqqil-malikil-hākimi 'alaikum Fahghāyīl...</w:t>
      </w:r>
    </w:p>
    <w:p>
      <w:pPr>
        <w:pStyle w:val="Heading2"/>
      </w:pPr>
      <w:r>
        <w:t>Terjemahan</w:t>
      </w:r>
    </w:p>
    <w:p>
      <w:pPr>
        <w:shd w:val="clear" w:color="auto" w:fill="E3F2FD"/>
        <w:pBdr>
          <w:left w:val="single" w:sz="12" w:space="6" w:color="64B5F6"/>
        </w:pBdr>
      </w:pPr>
      <w:r>
        <w:rPr>
          <w:color w:val="0D47A1"/>
          <w:sz w:val="18"/>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r>
    </w:p>
    <w:p>
      <w:pPr>
        <w:pStyle w:val="Heading2"/>
      </w:pPr>
      <w:r>
        <w:t>4. Syarah dan Penjelasan</w:t>
      </w:r>
    </w:p>
    <w:p>
      <w:pPr>
        <w:jc w:val="left"/>
      </w:pPr>
      <w:r>
        <w:rPr>
          <w:rFonts w:ascii="Calibri" w:hAnsi="Calibri"/>
          <w:b w:val="0"/>
          <w:i w:val="0"/>
          <w:sz w:val="17"/>
        </w:rPr>
        <w:t>Contoh praktik Hasan bin Ruqayyah: dari taksir nama + huruf thabi'ah diperoleh huruf ruhani ن ح ق =158 → Hinqāyīl — bukan nama jin, tapi khadim ruhaniyyah pengusir. Empat sudut jadwal = 4 penjuru (malaikat hafazhah). Qasam berlapis: (1) basmalah, (2) sumpah kepada Thaktsāyīl &amp; 'Awtsāyīl (dua khadim), (3) demi raja Fahghāyīl (hakim), (4) asma barhatiyyah Āhyā Syarāhyā (kunci sufi klasik), (5) ayat Yasin 53 (hadirkan), (6) ayat Buruj (pembakar). 5× tiap lembar = 15× total 3 malam, menyempurnakan 3 lembar + air.</w:t>
      </w:r>
    </w:p>
    <w:p>
      <w:pPr>
        <w:pStyle w:val="Heading2"/>
      </w:pPr>
      <w:r>
        <w:t>5. Khususiyah dan Tatacara Praktik</w:t>
      </w:r>
    </w:p>
    <w:p>
      <w:pPr>
        <w:jc w:val="left"/>
      </w:pPr>
      <w:r>
        <w:rPr>
          <w:rFonts w:ascii="Calibri" w:hAnsi="Calibri"/>
          <w:b w:val="0"/>
          <w:i w:val="0"/>
          <w:sz w:val="17"/>
        </w:rPr>
        <w:t>Tata cara Hal10: tulis jadwal 5×15 (lihat crop), tulis Hinqāyīl di 4 sudut miring (diagonal merah), kelilingi qasam. Tulis 3 lembar + 1 piring mahw. Bakhur: 7 sidr +7 qaranful + mustaka tiap malam. Baca qasam 5× tiap lembar + pada air mahw, oles tubuh, tidur pisah. Waktu fleksibel (tidak terikat jam Zuhrah seperti Faedah01).</w:t>
      </w:r>
    </w:p>
    <w:p>
      <w:pPr>
        <w:jc w:val="center"/>
      </w:pPr>
      <w:r>
        <w:drawing>
          <wp:inline xmlns:a="http://schemas.openxmlformats.org/drawingml/2006/main" xmlns:pic="http://schemas.openxmlformats.org/drawingml/2006/picture">
            <wp:extent cx="4389120" cy="3733274"/>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389120" cy="3733274"/>
                    </a:xfrm>
                    <a:prstGeom prst="rect"/>
                  </pic:spPr>
                </pic:pic>
              </a:graphicData>
            </a:graphic>
          </wp:inline>
        </w:drawing>
      </w:r>
    </w:p>
    <w:p>
      <w:pPr>
        <w:spacing w:before="20" w:after="80"/>
        <w:jc w:val="center"/>
      </w:pPr>
      <w:r>
        <w:rPr>
          <w:i/>
          <w:color w:val="424242"/>
          <w:sz w:val="15"/>
        </w:rPr>
        <w:t>[Gambar: Wafaq Hal 10]</w:t>
      </w:r>
    </w:p>
    <w:p>
      <w:r>
        <w:br w:type="page"/>
      </w:r>
    </w:p>
    <w:p>
      <w:pPr>
        <w:pStyle w:val="Heading1"/>
      </w:pPr>
      <w:r>
        <w:t>HALAMAN 11 — FAEDAH QATHI'AH 1/2</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latin</w:t>
      </w:r>
    </w:p>
    <w:p>
      <w:pPr>
        <w:jc w:val="left"/>
      </w:pPr>
      <w:r>
        <w:rPr>
          <w:i/>
          <w:color w:val="1A237E"/>
          <w:sz w:val="18"/>
        </w:rPr>
        <w:t>Fā'idatun qāthi'atun li'ilājil-massi, as-salāmu 'alaikum ..., yuktabul-wafqu fish-shafhatit-tāliyah fī āniyatin nazhīfatin jadīdatin bimā'i wardin wa za'farānin wa miskin wa tudāru bihil-āyātu ...</w:t>
      </w:r>
    </w:p>
    <w:p>
      <w:pPr>
        <w:pStyle w:val="Heading2"/>
      </w:pPr>
      <w:r>
        <w:t>Terjemahan</w:t>
      </w:r>
    </w:p>
    <w:p>
      <w:pPr>
        <w:shd w:val="clear" w:color="auto" w:fill="E3F2FD"/>
        <w:pBdr>
          <w:left w:val="single" w:sz="12" w:space="6" w:color="64B5F6"/>
        </w:pBdr>
      </w:pPr>
      <w:r>
        <w:rPr>
          <w:color w:val="0D47A1"/>
          <w:sz w:val="18"/>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r>
    </w:p>
    <w:p>
      <w:pPr>
        <w:pStyle w:val="Heading2"/>
      </w:pPr>
      <w:r>
        <w:t>4. Syarah dan Penjelasan</w:t>
      </w:r>
    </w:p>
    <w:p>
      <w:pPr>
        <w:jc w:val="left"/>
      </w:pPr>
      <w:r>
        <w:rPr>
          <w:rFonts w:ascii="Calibri" w:hAnsi="Calibri"/>
          <w:b w:val="0"/>
          <w:i w:val="0"/>
          <w:sz w:val="17"/>
        </w:rPr>
        <w:t>Faedah ini Fā'idah Qāthi'ah = pemutus (qāthi' = memutuskan ikatan jin). Mass = kerasukan (jin menyentuh saraf). Dafā'in = harta terpendam (karun) yang dijaga jin — faedah rangkap (obat + pembuka karun). Bejana baru = simbol kesucian (najis membatalkan). Air hujan &gt; sumur = hujan langsung dari langit (barakah), sumur tak kena matahari/bulan = air tersembunyi (ghayb) sesuai adab sufi. 5 surah/ayat = kombinasi syamsiyyah (cahaya), ikhlash (tauhid), nur (cahaya), hajj (panggilan), jinn (kisah jin) — rangkuman penangkal.</w:t>
      </w:r>
    </w:p>
    <w:p>
      <w:pPr>
        <w:pStyle w:val="Heading2"/>
      </w:pPr>
      <w:r>
        <w:t>5. Khususiyah dan Tatacara Praktik</w:t>
      </w:r>
    </w:p>
    <w:p>
      <w:pPr>
        <w:jc w:val="left"/>
      </w:pPr>
      <w:r>
        <w:rPr>
          <w:rFonts w:ascii="Calibri" w:hAnsi="Calibri"/>
          <w:b w:val="0"/>
          <w:i w:val="0"/>
          <w:sz w:val="17"/>
        </w:rPr>
        <w:t>Khasiat: terapi mass &amp; buka penghalang dafā'in. Waktu: setelah Isya, kecuali Rabu &amp; Sabtu (hari nahas dalam falak Jafari — hindari). Alat: bejana baru, air mawar-za'faran-misk, air hujan/sumur tersembunyi, telunjuk kanan. Bacaan: 5 surah urut tulis &amp; baca 7× saat mahw. Air mahw: minum + mandi? Naskah hanya sebut mahw &amp; baca, tidak detail minum — cukup mahw lalu pakai airnya (ruqyah).</w:t>
      </w:r>
    </w:p>
    <w:p>
      <w:r>
        <w:br w:type="page"/>
      </w:r>
    </w:p>
    <w:p>
      <w:pPr>
        <w:pStyle w:val="Heading1"/>
      </w:pPr>
      <w:r>
        <w:t>HALAMAN 12 — FAEDAH QATHI'AH 2/2 — WAFAQ 3×3</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br/>
        <w:t>الشَّيْخُ الْبَشِيرُ</w:t>
        <w:br/>
        <w:t>مُنْتَدَى الْأَنْوَارِ الْقَادِرِيَّةِ وَالْأَرْوَاحِ الرَّحْمَانِيَّةِ</w:t>
        <w:br/>
        <w:t>http://www.alanwaralqadria.com</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latin</w:t>
      </w:r>
    </w:p>
    <w:p>
      <w:pPr>
        <w:jc w:val="left"/>
      </w:pPr>
      <w:r>
        <w:rPr>
          <w:i/>
          <w:color w:val="1A237E"/>
          <w:sz w:val="18"/>
        </w:rPr>
        <w:t>Wafqun li'ilājil-massi, kitābatul-āyāti was-suwari tabda'u min fawqil-wafqi min jihatil-yamīni ittijāhan ilal-yasāri, waffaqakumullāhu limā yuhibbuhu wa yardhāh.</w:t>
      </w:r>
    </w:p>
    <w:p>
      <w:pPr>
        <w:pStyle w:val="Heading2"/>
      </w:pPr>
      <w:r>
        <w:t>Terjemahan</w:t>
      </w:r>
    </w:p>
    <w:p>
      <w:pPr>
        <w:shd w:val="clear" w:color="auto" w:fill="E3F2FD"/>
        <w:pBdr>
          <w:left w:val="single" w:sz="12" w:space="6" w:color="64B5F6"/>
        </w:pBdr>
      </w:pPr>
      <w:r>
        <w:rPr>
          <w:color w:val="0D47A1"/>
          <w:sz w:val="18"/>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r>
    </w:p>
    <w:p>
      <w:pPr>
        <w:pStyle w:val="Heading2"/>
      </w:pPr>
      <w:r>
        <w:t>4. Syarah dan Penjelasan</w:t>
      </w:r>
    </w:p>
    <w:p>
      <w:pPr>
        <w:jc w:val="left"/>
      </w:pPr>
      <w:r>
        <w:rPr>
          <w:rFonts w:ascii="Calibri" w:hAnsi="Calibri"/>
          <w:b w:val="0"/>
          <w:i w:val="0"/>
          <w:sz w:val="17"/>
        </w:rPr>
        <w:t>Wafaq 3×3 angka Hal12 adalah wafaq 'adadi mu'addal khusus Faedah Qathi'ah — bukan wafaq Ghazali 15. Angka: 18 (baris1 kanan), 1209, 6000; 1191,609,27; 618,9,1200 — jika dihitung: 18+609+1200=1827? 6000+27+9=6036? Konstanta tidak 15 seperti mutsallats klasik, tapi mizan khass untuk mass. Cara tulis: mulai dari atas kanan ke kiri — sesuai kaidah kuttab Arab (kanan dulu). Doa waffaqakumullah = penutup adab.</w:t>
      </w:r>
    </w:p>
    <w:p>
      <w:pPr>
        <w:pStyle w:val="Heading2"/>
      </w:pPr>
      <w:r>
        <w:t>5. Khususiyah dan Tatacara Praktik</w:t>
      </w:r>
    </w:p>
    <w:p>
      <w:pPr>
        <w:jc w:val="left"/>
      </w:pPr>
      <w:r>
        <w:rPr>
          <w:rFonts w:ascii="Calibri" w:hAnsi="Calibri"/>
          <w:b w:val="0"/>
          <w:i w:val="0"/>
          <w:sz w:val="17"/>
        </w:rPr>
        <w:t>Tata cara sama Hal11 — wafaq ini yang ditulis di bejana. Tulis angka dengan tinta misk, kelilingi 5 surah/ayat Hal11 dari atas kanan ke kiri. Mahw dengan air thahir + telunjuk kanan 7×.</w:t>
      </w:r>
    </w:p>
    <w:p>
      <w:pPr>
        <w:jc w:val="center"/>
      </w:pPr>
      <w:r>
        <w:drawing>
          <wp:inline xmlns:a="http://schemas.openxmlformats.org/drawingml/2006/main" xmlns:pic="http://schemas.openxmlformats.org/drawingml/2006/picture">
            <wp:extent cx="4389120" cy="1690100"/>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389120" cy="1690100"/>
                    </a:xfrm>
                    <a:prstGeom prst="rect"/>
                  </pic:spPr>
                </pic:pic>
              </a:graphicData>
            </a:graphic>
          </wp:inline>
        </w:drawing>
      </w:r>
    </w:p>
    <w:p>
      <w:pPr>
        <w:spacing w:before="20" w:after="80"/>
        <w:jc w:val="center"/>
      </w:pPr>
      <w:r>
        <w:rPr>
          <w:i/>
          <w:color w:val="424242"/>
          <w:sz w:val="15"/>
        </w:rPr>
        <w:t>[Gambar: Wafaq Hal 12]</w:t>
      </w:r>
    </w:p>
    <w:p>
      <w:r>
        <w:br w:type="page"/>
      </w:r>
    </w:p>
    <w:p>
      <w:pPr>
        <w:pStyle w:val="Heading1"/>
      </w:pPr>
      <w:r>
        <w:t>HALAMAN 13 — ZAJR QATHI' 1/3</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 عَنْ أَمْرٍ فَأَجَابَكُمْ وَوَجَدْتُمْ مَا قَالَهُ كَذِبًا [أَيْ الصَّبِيُّ] وَهَذِهِ الْحَالَةُ تَقَعُ لِمَنْ يَعْمَلُونَ الِاسْتِنْزَالَ عَبْرَ الْوَسِيطِ [أَيْ الصَّبِيِّ]، وَمُعْظَمُ هَذِهِ الِاسْتِنْزَالَاتِ كَاذِبَةٌ وَسَبَبُهُ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[لَيْسَتِ الْإِشَارَةُ هُنَا لِلْمُلُوكِ السَّبْعِ فَهِيَ لَا تَنْزِلُ أَبَدًا تَنْزِلُ فِي اسْتِنْزَالِ نَفْسِي رَبَّانِيٍّ].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خَادِمِ الِاسْتِنْزَالِ وَحَثِّهِمْ عَلَى قَوْلِ الْحَقِّ، وَلَا تُخْبِرِ النَّاظِرَ بِمَا تُرِيدُ فِعْلَهُ كَيْ تَتَأَكَّدَ مِمَّا يَنْظُرُ لَهُ، بَعْدَ مَا تَعْمَلُ الِاسْتِنْزَالَ وَيُخْبِرُكَ بِحُضُورِ الْخَادِمِ تَتْلُو هَذِهِ الْآيَةَ ٧ مَرَّاتٍ وَأَنْتَ مَاسِكٌ بِجَبْهَةِ النَّاظِرِ لِتُثْقِفَهُ، [وَلَوْ أَرَادُوا الْخُرُوجَ لَأَعَدُّوا لَهُ عُدَّةً وَلَكِنْ كَرِهَ اللهُ انْبِعَاثَهُمْ فَثَبَّطَهُمْ وَقِيلَ اقْعُدُوا مَعَ الْقَاعِدِينَ] 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وَأَنْ أَبِي وَهُوَ سَيَفْعَلُ ذَلِكَ لَا مَحَالَةَ أَزْجُرَهُ بِهَذَا الزَّجْرِ الْقَاطِعِ</w:t>
      </w:r>
    </w:p>
    <w:p>
      <w:pPr>
        <w:pStyle w:val="Heading2"/>
      </w:pPr>
      <w:r>
        <w:t>latin</w:t>
      </w:r>
    </w:p>
    <w:p>
      <w:pPr>
        <w:jc w:val="left"/>
      </w:pPr>
      <w:r>
        <w:rPr>
          <w:i/>
          <w:color w:val="1A237E"/>
          <w:sz w:val="18"/>
        </w:rPr>
        <w:t>Az-zajrul-qāthi'u li'akhdzil-'ahdi wal-mītsāqi 'alā khādimi al-istinzāli, as-salāmu 'alaikum ..., ikhwatī fillāh katsīram-mā waqa'a lakum anistakhdamtumu istinzālan wa hadhara khādimuhu wa sa'altumuhu 'an amrin fa'ajābakum wa wajadtum mā qālahu kadziban [ay ash-shabiyyu] ...</w:t>
      </w:r>
    </w:p>
    <w:p>
      <w:pPr>
        <w:pStyle w:val="Heading2"/>
      </w:pPr>
      <w:r>
        <w:t>Terjemahan</w:t>
      </w:r>
    </w:p>
    <w:p>
      <w:pPr>
        <w:shd w:val="clear" w:color="auto" w:fill="E3F2FD"/>
        <w:pBdr>
          <w:left w:val="single" w:sz="12" w:space="6" w:color="64B5F6"/>
        </w:pBdr>
      </w:pPr>
      <w:r>
        <w:rPr>
          <w:color w:val="0D47A1"/>
          <w:sz w:val="18"/>
        </w:rPr>
        <w:t>Bentakan pemutus untuk mengambil janji dan sumpah atas khadam istinzal. Assalamu'alaikum warahmatullahi wabarakatuh. Wahai saudara-saudaraku karena Allah, sering terjadi pada kalian bahwa kalian menggunakan istinzal dan khadamnya hadir dan kalian bertanya tentang suatu perkara lalu ia menjawab kalian dan kalian dapati apa yang dikatakannya dusta [yaitu anak kecil], dan keadaan ini terjadi bagi orang yang melakukan istinzal melalui perantara [yaitu anak kecil], dan kebanyakan istinzal-istinzal ini dusta dan sebabnya adalah entah penanya belum terlatih atau ia telah berlebihan dalam melakukan istinzal dan meminta para khadam dan bertanya kepada mereka tentang hal-hal yang merendahkan kedudukan mereka, terutama jika khadam itu 'ulwi maka ia enggan turun dan masuk menggantikannya khadam suflie yang pendusta. [Bukanlah isyarat di sini untuk tujuh raja, mereka tidak turun sama sekali, turun dalam istinzal nafsi rabbaniy]. Dan ini adalah faedah pemutus untuk membentak khadam istinzal dan mendorong mereka untuk berkata jujur. Jangan beri tahu penglihat tentang apa yang hendak kau lakukan agar kau yakin tentang apa yang ia lihat. Setelah engkau melakukan istinzal dan ia mengabarkan kehadiran khadam, bacalah ayat ini 7 kali sambil memegang dahi penglihat untuk menahannya: [Wa Lau Araadul-Khuruja La-a'addulah 'Uddatan wa Lakin Karihallahu Inbi'atsahum fa Tsabbathahum wa Qila Iq'udu ma'al-Qa'idin]. Setelah itu perintahkan ia dengan dua kalimat syahadat dan shalawat kepada Nabi shallallahu 'alaihi wa sallam, kemudian perintahkan ia untuk datang dengan mushaf yang mulia dan membukanya pada surah Al-Mujadalah dan perintahkan penglihat untuk mulai membaca surah itu agar kau yakin bahwa itu benar, setelah itu perintahkan khadam untuk meletakkan tangan kanannya di atasnya dan berjanji kepadamu untuk berkata jujur. Ayahku telah melakukannya dan dia pasti akan melakukannya, tidak dapat tidak, bentaklah ia dengan bentakan pemutus ini.</w:t>
      </w:r>
    </w:p>
    <w:p>
      <w:pPr>
        <w:pStyle w:val="Heading2"/>
      </w:pPr>
      <w:r>
        <w:t>4. Syarah dan Penjelasan</w:t>
      </w:r>
    </w:p>
    <w:p>
      <w:pPr>
        <w:jc w:val="left"/>
      </w:pPr>
      <w:r>
        <w:rPr>
          <w:rFonts w:ascii="Calibri" w:hAnsi="Calibri"/>
          <w:b w:val="0"/>
          <w:i w:val="0"/>
          <w:sz w:val="17"/>
        </w:rPr>
        <w:t>Faedah ini Faedah 04 awal (Hal13) — pengantar Zajr Qathi' yang akan berlanjut Hal14 (wafaq hijau 8-bagian). Istinzal via shabiyy = memanggil khadim lewat anak kecil polos (wasith) — praktik klasik, rawan dusta. Penulis membedakan 'ulwi vs suflī: 'ulwi luhur tak turun untuk hal remeh; jika dipaksa turun, suflī pendusta masuk. [Bukan 7 mulūk] = 7 raja jin (Mudzhib, Murrah, Ahmar, Barqan, Syamhūraš, Abyadh, Maymūn) tidak turun dalam istinzal nafsi rabbani — penegasan batas. Ayat At-Taubah 46 = kunci tahan agar khadim tak kabur (la'a'ddū ...). Mushaf &amp; Mujādalah = sumpah di atas mushaf untuk verifikasi jujur — adab bukan sihir.</w:t>
      </w:r>
    </w:p>
    <w:p>
      <w:pPr>
        <w:pStyle w:val="Heading2"/>
      </w:pPr>
      <w:r>
        <w:t>5. Khususiyah dan Tatacara Praktik</w:t>
      </w:r>
    </w:p>
    <w:p>
      <w:pPr>
        <w:jc w:val="left"/>
      </w:pPr>
      <w:r>
        <w:rPr>
          <w:rFonts w:ascii="Calibri" w:hAnsi="Calibri"/>
          <w:b w:val="0"/>
          <w:i w:val="0"/>
          <w:sz w:val="17"/>
        </w:rPr>
        <w:t>Khasiat: mengikat khadim istinzal agar jujur &amp; tepati janji. Tata cara Hal13 (pengantar): jangan bocorkan niat ke nāzhir, baca ayat 7× sambil pegang dahi, syahadatain + shalawat, mushaf Mujādalah, tangan kanan di atasnya. Zajr lengkap menyusul Hal14. Syarat: thālib harus mutamarris (terlatih), jangan bertanya merendahkan khadim.</w:t>
      </w:r>
    </w:p>
    <w:p>
      <w:r>
        <w:br w:type="page"/>
      </w:r>
    </w:p>
    <w:p>
      <w:pPr>
        <w:jc w:val="center"/>
      </w:pPr>
      <w:r>
        <w:rPr>
          <w:b/>
          <w:color w:val="1B5E20"/>
          <w:sz w:val="28"/>
        </w:rPr>
        <w:t>KHATAM 5 LAPIS BERSIH — HAL 01-13</w:t>
      </w:r>
    </w:p>
    <w:p>
      <w:pPr>
        <w:jc w:val="center"/>
      </w:pPr>
      <w:r>
        <w:rPr>
          <w:rFonts w:ascii="Calibri" w:hAnsi="Calibri"/>
          <w:b w:val="0"/>
          <w:i w:val="0"/>
          <w:color w:val="424242"/>
          <w:sz w:val="16"/>
        </w:rPr>
        <w:t>13 halaman — Sampul, Ihda', Ijazah, Sampul Dalam, Fihris, Maysarah 3 hal, Muhriqah 2 hal, Qathi'ah 2 hal, Zajr 1 hal — 5 lapis per halaman.</w:t>
      </w:r>
    </w:p>
    <w:p>
      <w:pPr>
        <w:jc w:val="center"/>
      </w:pPr>
      <w:r>
        <w:rPr>
          <w:rFonts w:ascii="Calibri" w:hAnsi="Calibri"/>
          <w:b w:val="0"/>
          <w:i w:val="0"/>
          <w:color w:val="757575"/>
          <w:sz w:val="14"/>
        </w:rPr>
        <w:t>Gambar wafaq dari sumber tunggal rajah_anwar_FINAL_300DPI/ — ditampilkan langsung di halaman terkait.</w:t>
      </w:r>
    </w:p>
    <w:sectPr w:rsidR="00FC693F" w:rsidRPr="0006063C" w:rsidSect="00034616">
      <w:headerReference w:type="default" r:id="rId9"/>
      <w:footerReference w:type="default" r:id="rId10"/>
      <w:pgSz w:w="11909" w:h="16834"/>
      <w:pgMar w:top="792" w:right="936" w:bottom="792"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rPr>
        <w:color w:val="757575"/>
        <w:sz w:val="12"/>
      </w:rPr>
      <w:t xml:space="preserve"> • Anwar Mujarobat Hal01-13 • 5 Lapis Bersih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D4C41"/>
        <w:sz w:val="13"/>
      </w:rPr>
      <w:t>ANWAR MUJAROBAT — Syeikh Basyir • 5 Lapis Bersih Hal01-13 • Arab • Latin • Pesantren • Syarah • Khususiyah + Wafaq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20" w:line="259" w:lineRule="auto"/>
    </w:pPr>
    <w:rPr>
      <w:rFonts w:ascii="Calibri" w:hAnsi="Calibri"/>
      <w:color w:val="21212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 Final 5 Lapis Bersih Hal01-13</dc:title>
  <dc:subject>5 Lapis: Arab, Latin, Pesantren, Syarah, Khususiyah+Wafaq — super bersih</dc:subject>
  <dc:creator>kitab — arena/7021a54a-kitab</dc:creator>
  <cp:keywords/>
  <dc:description>generated by python-docx</dc:description>
  <cp:lastModifiedBy/>
  <cp:revision>1</cp:revision>
  <dcterms:created xsi:type="dcterms:W3CDTF">2013-12-23T23:15:00Z</dcterms:created>
  <dcterms:modified xsi:type="dcterms:W3CDTF">2013-12-23T23:15:00Z</dcterms:modified>
  <cp:category/>
</cp:coreProperties>
</file>