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65 — خَاتِمَةُ الْكِتَابِ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right"/>
      </w:pPr>
      <w:r>
        <w:rPr>
          <w:rFonts w:ascii="Traditional Arabic" w:hAnsi="Traditional Arabic"/>
          <w:sz w:val="32"/>
        </w:rPr>
        <w:t>تَمَّ بِعَوْنِ اللهِ الِانْتِهَاءُ مِنْ جَمْعِ فَوَائِدَ وَمُجَرَّبَاتٍ وَرِيَاضَاتٍ</w:t>
      </w:r>
    </w:p>
    <w:p>
      <w:pPr>
        <w:jc w:val="right"/>
      </w:pPr>
      <w:r>
        <w:rPr>
          <w:rFonts w:ascii="Traditional Arabic" w:hAnsi="Traditional Arabic"/>
          <w:sz w:val="32"/>
        </w:rPr>
        <w:t>وَدُرُوسِ</w:t>
      </w:r>
    </w:p>
    <w:p>
      <w:pPr>
        <w:jc w:val="right"/>
      </w:pPr>
      <w:r>
        <w:rPr>
          <w:rFonts w:ascii="Traditional Arabic" w:hAnsi="Traditional Arabic"/>
          <w:sz w:val="32"/>
        </w:rPr>
        <w:t>شَيْخِنَا الْجَلِيلِ</w:t>
      </w:r>
    </w:p>
    <w:p>
      <w:pPr>
        <w:jc w:val="right"/>
      </w:pPr>
      <w:r>
        <w:rPr>
          <w:rFonts w:ascii="Traditional Arabic" w:hAnsi="Traditional Arabic"/>
          <w:sz w:val="32"/>
        </w:rPr>
        <w:t>الْبَشِيرِ</w:t>
      </w:r>
    </w:p>
    <w:p>
      <w:pPr>
        <w:jc w:val="right"/>
      </w:pPr>
      <w:r>
        <w:rPr>
          <w:rFonts w:ascii="Traditional Arabic" w:hAnsi="Traditional Arabic"/>
          <w:sz w:val="32"/>
        </w:rPr>
        <w:t>رَبِّي يُبَارِكُ فِيهِ وَيَحْفَظُهُ</w:t>
      </w:r>
    </w:p>
    <w:p>
      <w:pPr>
        <w:jc w:val="right"/>
      </w:pPr>
      <w:r>
        <w:rPr>
          <w:rFonts w:ascii="Traditional Arabic" w:hAnsi="Traditional Arabic"/>
          <w:sz w:val="32"/>
        </w:rPr>
        <w:t>الْحُقُوقُ مَحْفُوظَةٌ</w:t>
      </w:r>
    </w:p>
    <w:p>
      <w:pPr>
        <w:jc w:val="right"/>
      </w:pPr>
      <w:r>
        <w:rPr>
          <w:rFonts w:ascii="Traditional Arabic" w:hAnsi="Traditional Arabic"/>
          <w:sz w:val="32"/>
        </w:rPr>
        <w:t>لِمُنْتَدَيَاتِ الْأَنْوَارِ الْقَادِرِيَّةِ وَالْأَرْوَاحِ الرَّحْمَانِيَّةِ</w:t>
      </w:r>
    </w:p>
    <w:p>
      <w:pPr>
        <w:jc w:val="right"/>
      </w:pPr>
      <w:r>
        <w:rPr>
          <w:rFonts w:ascii="Traditional Arabic" w:hAnsi="Traditional Arabic"/>
          <w:sz w:val="32"/>
        </w:rPr>
        <w:t>http://www.alanwaralqadria.com</w:t>
      </w:r>
    </w:p>
    <w:p>
      <w:pPr>
        <w:jc w:val="right"/>
      </w:pPr>
      <w:r>
        <w:rPr>
          <w:rFonts w:ascii="Traditional Arabic" w:hAnsi="Traditional Arabic"/>
          <w:sz w:val="32"/>
        </w:rPr>
        <w:t>الرَّاجِيَةُ عَفْوَ رَبِّهَا</w:t>
      </w:r>
    </w:p>
    <w:p>
      <w:pPr>
        <w:jc w:val="right"/>
      </w:pPr>
      <w:r>
        <w:rPr>
          <w:rFonts w:ascii="Traditional Arabic" w:hAnsi="Traditional Arabic"/>
          <w:sz w:val="32"/>
        </w:rPr>
        <w:t>خَادِمَتُكُمْ</w:t>
      </w:r>
    </w:p>
    <w:p>
      <w:pPr>
        <w:jc w:val="right"/>
      </w:pPr>
      <w:r>
        <w:rPr>
          <w:rFonts w:ascii="Traditional Arabic" w:hAnsi="Traditional Arabic"/>
          <w:sz w:val="32"/>
        </w:rPr>
        <w:t>عَابِدَةُ اللهِ</w:t>
      </w:r>
    </w:p>
    <w:p>
      <w:pPr>
        <w:jc w:val="right"/>
      </w:pPr>
      <w:r>
        <w:rPr>
          <w:rFonts w:ascii="Traditional Arabic" w:hAnsi="Traditional Arabic"/>
          <w:sz w:val="32"/>
        </w:rPr>
        <w:t>أَسْأَلُكُمُ الدُّعَاءَ بِالْخَيْرِ لِزَوْجِي وَأَوْلَادِي</w:t>
      </w:r>
    </w:p>
    <w:p>
      <w:pPr>
        <w:jc w:val="right"/>
      </w:pPr>
      <w:r>
        <w:rPr>
          <w:rFonts w:ascii="Traditional Arabic" w:hAnsi="Traditional Arabic"/>
          <w:sz w:val="32"/>
        </w:rPr>
        <w:t>وَإِهْدَاءَ الْفَاتِحَةِ إِلَى رُوحِ أُمِّي وَأَبِي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Tamma bi'aunillāhil-intihā'u min jam'i fawā'ida wa mujarrabātin wa riyādhātin</w:t>
      </w:r>
    </w:p>
    <w:p>
      <w:r>
        <w:rPr>
          <w:rFonts w:ascii="Calibri" w:hAnsi="Calibri"/>
          <w:i/>
          <w:sz w:val="23"/>
        </w:rPr>
        <w:t>wa durūsi</w:t>
      </w:r>
    </w:p>
    <w:p>
      <w:r>
        <w:rPr>
          <w:rFonts w:ascii="Calibri" w:hAnsi="Calibri"/>
          <w:i/>
          <w:sz w:val="23"/>
        </w:rPr>
        <w:t>Syaikhināl-Jalīli</w:t>
      </w:r>
    </w:p>
    <w:p>
      <w:r>
        <w:rPr>
          <w:rFonts w:ascii="Calibri" w:hAnsi="Calibri"/>
          <w:i/>
          <w:sz w:val="23"/>
        </w:rPr>
        <w:t>Al-Basyīri</w:t>
      </w:r>
    </w:p>
    <w:p>
      <w:r>
        <w:rPr>
          <w:rFonts w:ascii="Calibri" w:hAnsi="Calibri"/>
          <w:i/>
          <w:sz w:val="23"/>
        </w:rPr>
        <w:t>Rabbī yubāriku fīhi wa yahfazhuhū</w:t>
      </w:r>
    </w:p>
    <w:p>
      <w:r>
        <w:rPr>
          <w:rFonts w:ascii="Calibri" w:hAnsi="Calibri"/>
          <w:i/>
          <w:sz w:val="23"/>
        </w:rPr>
        <w:t>Al-huqūqu mahfūzhatun</w:t>
      </w:r>
    </w:p>
    <w:p>
      <w:r>
        <w:rPr>
          <w:rFonts w:ascii="Calibri" w:hAnsi="Calibri"/>
          <w:i/>
          <w:sz w:val="23"/>
        </w:rPr>
        <w:t>Limuntadayātil-Anwāril-Qādiriyyati wal-Arwāhir-Rahmāniyyati</w:t>
      </w:r>
    </w:p>
    <w:p>
      <w:r>
        <w:rPr>
          <w:rFonts w:ascii="Calibri" w:hAnsi="Calibri"/>
          <w:i/>
          <w:sz w:val="23"/>
        </w:rPr>
        <w:t>http://www.alanwaralqadria.com</w:t>
      </w:r>
    </w:p>
    <w:p>
      <w:r>
        <w:rPr>
          <w:rFonts w:ascii="Calibri" w:hAnsi="Calibri"/>
          <w:i/>
          <w:sz w:val="23"/>
        </w:rPr>
        <w:t>Ar-rājiyatu 'afwa Rabbihā</w:t>
      </w:r>
    </w:p>
    <w:p>
      <w:r>
        <w:rPr>
          <w:rFonts w:ascii="Calibri" w:hAnsi="Calibri"/>
          <w:i/>
          <w:sz w:val="23"/>
        </w:rPr>
        <w:t>Khādimatukum</w:t>
      </w:r>
    </w:p>
    <w:p>
      <w:r>
        <w:rPr>
          <w:rFonts w:ascii="Calibri" w:hAnsi="Calibri"/>
          <w:i/>
          <w:sz w:val="23"/>
        </w:rPr>
        <w:t>'Ābidatullāhi</w:t>
      </w:r>
    </w:p>
    <w:p>
      <w:r>
        <w:rPr>
          <w:rFonts w:ascii="Calibri" w:hAnsi="Calibri"/>
          <w:i/>
          <w:sz w:val="23"/>
        </w:rPr>
        <w:t>As'alukumud-du'ā'a bil-khairi lizaujī wa aulādī</w:t>
      </w:r>
    </w:p>
    <w:p>
      <w:r>
        <w:rPr>
          <w:rFonts w:ascii="Calibri" w:hAnsi="Calibri"/>
          <w:i/>
          <w:sz w:val="23"/>
        </w:rPr>
        <w:t>Wa ihdā'al-Fātihati ilā rūhi ummī wa abī.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Telah sempurna dengan pertolongan Allah penyelesaian penghimpunan berbagai faidah, mujarrabat, riyadhah,</w:t>
      </w:r>
    </w:p>
    <w:p>
      <w:r>
        <w:rPr>
          <w:rFonts w:ascii="Calibri" w:hAnsi="Calibri"/>
          <w:sz w:val="23"/>
        </w:rPr>
        <w:t>dan pelajaran-pelajaran dari</w:t>
      </w:r>
    </w:p>
    <w:p>
      <w:r>
        <w:rPr>
          <w:rFonts w:ascii="Calibri" w:hAnsi="Calibri"/>
          <w:sz w:val="23"/>
        </w:rPr>
        <w:t>Syeikh kami yang mulia</w:t>
      </w:r>
    </w:p>
    <w:p>
      <w:r>
        <w:rPr>
          <w:rFonts w:ascii="Calibri" w:hAnsi="Calibri"/>
          <w:sz w:val="23"/>
        </w:rPr>
        <w:t>Al-Basyīr —</w:t>
      </w:r>
    </w:p>
    <w:p>
      <w:r>
        <w:rPr>
          <w:rFonts w:ascii="Calibri" w:hAnsi="Calibri"/>
          <w:sz w:val="23"/>
        </w:rPr>
        <w:t>semoga Tuhanku memberkahi beliau dan senantiasa menjaga beliau.</w:t>
      </w:r>
    </w:p>
    <w:p>
      <w:r>
        <w:rPr>
          <w:rFonts w:ascii="Calibri" w:hAnsi="Calibri"/>
          <w:sz w:val="23"/>
        </w:rPr>
        <w:t>Hak cipta dilindungi</w:t>
      </w:r>
    </w:p>
    <w:p>
      <w:r>
        <w:rPr>
          <w:rFonts w:ascii="Calibri" w:hAnsi="Calibri"/>
          <w:sz w:val="23"/>
        </w:rPr>
        <w:t>untuk Forum Al-Anwār Al-Qādiriyyah wal-Arwāh Ar-Rahmāniyyah</w:t>
      </w:r>
    </w:p>
    <w:p>
      <w:r>
        <w:rPr>
          <w:rFonts w:ascii="Calibri" w:hAnsi="Calibri"/>
          <w:sz w:val="23"/>
        </w:rPr>
        <w:t>http://www.alanwaralqadria.com</w:t>
      </w:r>
    </w:p>
    <w:p>
      <w:r>
        <w:rPr>
          <w:rFonts w:ascii="Calibri" w:hAnsi="Calibri"/>
          <w:sz w:val="23"/>
        </w:rPr>
        <w:t>Yang mengharapkan ampunan Tuhannya,</w:t>
      </w:r>
    </w:p>
    <w:p>
      <w:r>
        <w:rPr>
          <w:rFonts w:ascii="Calibri" w:hAnsi="Calibri"/>
          <w:sz w:val="23"/>
        </w:rPr>
        <w:t>pelayan kalian:</w:t>
      </w:r>
    </w:p>
    <w:p>
      <w:r>
        <w:rPr>
          <w:rFonts w:ascii="Calibri" w:hAnsi="Calibri"/>
          <w:sz w:val="23"/>
        </w:rPr>
        <w:t>'Ābidatullāh.</w:t>
      </w:r>
    </w:p>
    <w:p>
      <w:r>
        <w:rPr>
          <w:rFonts w:ascii="Calibri" w:hAnsi="Calibri"/>
          <w:sz w:val="23"/>
        </w:rPr>
        <w:t>Aku memohon kepada kalian doa kebaikan untuk suamiku dan anak-anakku,</w:t>
      </w:r>
    </w:p>
    <w:p>
      <w:r>
        <w:rPr>
          <w:rFonts w:ascii="Calibri" w:hAnsi="Calibri"/>
          <w:sz w:val="23"/>
        </w:rPr>
        <w:t>serta menghadiahkan bacaan Surah Al-Fatihah untuk ruh ibuku dan ayahku.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`hal_65.png` — Khātimah &amp; Kolofon Penutup Seluruh Kitab (65 Halaman)**:</w:t>
      </w:r>
    </w:p>
    <w:p>
      <w:r>
        <w:rPr>
          <w:rFonts w:ascii="Calibri" w:hAnsi="Calibri"/>
          <w:sz w:val="23"/>
        </w:rPr>
        <w:t>- Pada draf kiriman sebelumnya, Halaman 65 ditulis sebagai tabel fiktif malaikat `صمياييل / سطياييل / كطياييل` lalu diikuti draf fiktif Halaman 66 dan Halaman 67 ("Bab IV Khawāsh Asmā'ul Husnā").</w:t>
      </w:r>
    </w:p>
    <w:p>
      <w:r>
        <w:rPr>
          <w:rFonts w:ascii="Calibri" w:hAnsi="Calibri"/>
          <w:sz w:val="23"/>
        </w:rPr>
        <w:t>- Setelah diverifikasi terhadap scan asli `hal_65.png`, **Halaman 65 adalah halaman penutup (kolofon) dari keseluruhan kitab *Anwārusy-Syaikh al-Basyīr*** (total kitab asli berjumlah **65 halaman utuh**, dari Halaman 01 Sampul hingga Halaman 65 Kolofon Penutup — tidak ada Halaman 66 maupun 67 pada naskah asli).</w:t>
      </w:r>
    </w:p>
    <w:p>
      <w:r>
        <w:rPr>
          <w:rFonts w:ascii="Calibri" w:hAnsi="Calibri"/>
          <w:sz w:val="23"/>
        </w:rPr>
        <w:t>- Kolofon ini menegaskan struktur tiga bagian utama yang telah dihimpun di dalam kitab oleh murid beliau (*'Ābidatullāh* dari Forum *Al-Anwār Al-Qādiriyyah wal-Arwāh Ar-Rahmāniyyah*):</w:t>
      </w:r>
    </w:p>
    <w:p>
      <w:r>
        <w:rPr>
          <w:rFonts w:ascii="Calibri" w:hAnsi="Calibri"/>
          <w:sz w:val="23"/>
        </w:rPr>
        <w:t>1. **Fawā'id wa Mujarrabāt** (Halaman 03–28);</w:t>
      </w:r>
    </w:p>
    <w:p>
      <w:r>
        <w:rPr>
          <w:rFonts w:ascii="Calibri" w:hAnsi="Calibri"/>
          <w:sz w:val="23"/>
        </w:rPr>
        <w:t>2. **Riyādhāt** (Halaman 29–39);</w:t>
      </w:r>
    </w:p>
    <w:p>
      <w:r>
        <w:rPr>
          <w:rFonts w:ascii="Calibri" w:hAnsi="Calibri"/>
          <w:sz w:val="23"/>
        </w:rPr>
        <w:t>3. **Durūsusy-Syaikh al-Basyīr** — 10 Pelajaran Ilmu Wafaq, Istinthāq, dan Rahasia Huruf (Halaman 40–64).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**Adab Penutup Pembaca &amp; Pengamal Kitab (*Wasiat Penyusun*)**:</w:t>
      </w:r>
    </w:p>
    <w:p>
      <w:r>
        <w:rPr>
          <w:rFonts w:ascii="Calibri" w:hAnsi="Calibri"/>
          <w:sz w:val="23"/>
        </w:rPr>
        <w:t>- Mendoakan keberkahan dan penjagaan Allah bagi mualif ilmu dalam kitab ini, **Asy-Syaikh al-Jalīl al-Basyīr**.</w:t>
      </w:r>
    </w:p>
    <w:p>
      <w:r>
        <w:rPr>
          <w:rFonts w:ascii="Calibri" w:hAnsi="Calibri"/>
          <w:sz w:val="23"/>
        </w:rPr>
        <w:t>- Mendoakan kebaikan bagi penghimpun kitab (**'Ābidatullāh**), suami, dan anak-anak beliau.</w:t>
      </w:r>
    </w:p>
    <w:p>
      <w:r>
        <w:rPr>
          <w:rFonts w:ascii="Calibri" w:hAnsi="Calibri"/>
          <w:sz w:val="23"/>
        </w:rPr>
        <w:t>- Membaca dan menghadiahkan **Surah Al-Fatihah** kepada ruh kedua orang tua beliau (ibu dan ayah beliau) serta seluruh masyayikh ilmu hikmah.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