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967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967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D3B2E"/>
        </w:rPr>
        <w:t>HALAMAN 43 — دُرُوسُ عِلْمِ الْحَرْفِ وَالْأَوْفَاقِ الشَّيْخِ الْبَشِيرِ</w:t>
      </w:r>
    </w:p>
    <w:p>
      <w:pPr>
        <w:pStyle w:val="Heading2"/>
      </w:pPr>
      <w:r>
        <w:rPr>
          <w:color w:val="1B4332"/>
        </w:rPr>
        <w:t>arab</w:t>
      </w:r>
    </w:p>
    <w:p>
      <w:pPr>
        <w:jc w:val="right"/>
      </w:pPr>
      <w:r>
        <w:rPr>
          <w:rFonts w:ascii="Traditional Arabic" w:hAnsi="Traditional Arabic"/>
          <w:sz w:val="32"/>
        </w:rPr>
        <w:t>دُرُوسُ عِلْمِ</w:t>
      </w:r>
    </w:p>
    <w:p>
      <w:pPr>
        <w:jc w:val="right"/>
      </w:pPr>
      <w:r>
        <w:rPr>
          <w:rFonts w:ascii="Traditional Arabic" w:hAnsi="Traditional Arabic"/>
          <w:sz w:val="32"/>
        </w:rPr>
        <w:t>الْحَرْفِ وَالْأَوْفَاقِ</w:t>
      </w:r>
    </w:p>
    <w:p>
      <w:pPr>
        <w:jc w:val="right"/>
      </w:pPr>
      <w:r>
        <w:rPr>
          <w:rFonts w:ascii="Traditional Arabic" w:hAnsi="Traditional Arabic"/>
          <w:sz w:val="32"/>
        </w:rPr>
        <w:t>الشَّيْخِ الْبَشِيرِ</w:t>
      </w:r>
    </w:p>
    <w:p>
      <w:pPr>
        <w:pStyle w:val="Heading2"/>
      </w:pPr>
      <w:r>
        <w:rPr>
          <w:color w:val="1B4332"/>
        </w:rPr>
        <w:t>latin</w:t>
      </w:r>
    </w:p>
    <w:p>
      <w:r>
        <w:rPr>
          <w:rFonts w:ascii="Calibri" w:hAnsi="Calibri"/>
          <w:i/>
          <w:sz w:val="23"/>
        </w:rPr>
        <w:t>Durūsu 'ilmi</w:t>
      </w:r>
    </w:p>
    <w:p>
      <w:r>
        <w:rPr>
          <w:rFonts w:ascii="Calibri" w:hAnsi="Calibri"/>
          <w:i/>
          <w:sz w:val="23"/>
        </w:rPr>
        <w:t>al-harfi wal-aufāqi</w:t>
      </w:r>
    </w:p>
    <w:p>
      <w:r>
        <w:rPr>
          <w:rFonts w:ascii="Calibri" w:hAnsi="Calibri"/>
          <w:i/>
          <w:sz w:val="23"/>
        </w:rPr>
        <w:t>asy-Syaikhil-Basyīri</w:t>
      </w:r>
    </w:p>
    <w:p>
      <w:pPr>
        <w:pStyle w:val="Heading2"/>
      </w:pPr>
      <w:r>
        <w:rPr>
          <w:color w:val="1B4332"/>
        </w:rPr>
        <w:t>Terjemahan</w:t>
      </w:r>
    </w:p>
    <w:p>
      <w:r>
        <w:rPr>
          <w:rFonts w:ascii="Calibri" w:hAnsi="Calibri"/>
          <w:sz w:val="23"/>
        </w:rPr>
        <w:t>Pelajaran-pelajaran ilmu</w:t>
      </w:r>
    </w:p>
    <w:p>
      <w:r>
        <w:rPr>
          <w:rFonts w:ascii="Calibri" w:hAnsi="Calibri"/>
          <w:sz w:val="23"/>
        </w:rPr>
        <w:t>huruf dan wafaq-wafaq</w:t>
      </w:r>
    </w:p>
    <w:p>
      <w:r>
        <w:rPr>
          <w:rFonts w:ascii="Calibri" w:hAnsi="Calibri"/>
          <w:sz w:val="23"/>
        </w:rPr>
        <w:t>Syeikh al-Basyir</w:t>
      </w:r>
    </w:p>
    <w:p>
      <w:pPr>
        <w:pStyle w:val="Heading2"/>
      </w:pPr>
      <w:r>
        <w:rPr>
          <w:color w:val="1B4332"/>
        </w:rPr>
        <w:t>Syarah dan Penjelasan</w:t>
      </w:r>
    </w:p>
    <w:p>
      <w:r>
        <w:rPr>
          <w:rFonts w:ascii="Calibri" w:hAnsi="Calibri"/>
          <w:sz w:val="23"/>
        </w:rPr>
        <w:t>1. **Verifikasi 3× vs Scan Asli `hal_43.png` — Pembersihan Total Teks Draf yang Bukan Isi Kitab**:</w:t>
      </w:r>
    </w:p>
    <w:p>
      <w:r>
        <w:rPr>
          <w:rFonts w:ascii="Calibri" w:hAnsi="Calibri"/>
          <w:sz w:val="23"/>
        </w:rPr>
        <w:t>- Pada draf kiriman sebelumnya, Halaman 43 ditulis sebagai bab `الِاسْمُ الْأَعْظَمُ` (*Yā Hayyan qabla kulli hayyin...*). Setelah diverifikasi langsung terhadap gambar scan asli `hal_43.png`, teks tersebut **sama sekali bukan isi Halaman 43 kitab *Anwārul-Mujarrabāt***.</w:t>
      </w:r>
    </w:p>
    <w:p>
      <w:r>
        <w:rPr>
          <w:rFonts w:ascii="Calibri" w:hAnsi="Calibri"/>
          <w:sz w:val="23"/>
        </w:rPr>
        <w:t>- Halaman 43 yang asli merupakan **Sampul Bagian Ketiga Kitab** yang hanya terdiri dari 6 kata dalam 3 baris kaligrafi berwarna hijau:</w:t>
      </w:r>
    </w:p>
    <w:p>
      <w:r>
        <w:rPr>
          <w:rFonts w:ascii="Calibri" w:hAnsi="Calibri"/>
          <w:sz w:val="23"/>
        </w:rPr>
        <w:t>- Baris 1: `دُرُوسُ عِلْمِ` (*Durūsu 'ilmi* — Pelajaran-pelajaran ilmu)</w:t>
      </w:r>
    </w:p>
    <w:p>
      <w:r>
        <w:rPr>
          <w:rFonts w:ascii="Calibri" w:hAnsi="Calibri"/>
          <w:sz w:val="23"/>
        </w:rPr>
        <w:t>- Baris 2: `الْحَرْفِ وَالْأَوْفَاقِ` (*al-harfi wal-aufāqi* — huruf dan wafaq-wafaq)</w:t>
      </w:r>
    </w:p>
    <w:p>
      <w:r>
        <w:rPr>
          <w:rFonts w:ascii="Calibri" w:hAnsi="Calibri"/>
          <w:sz w:val="23"/>
        </w:rPr>
        <w:t>- Baris 3: `الشَّيْخِ الْبَشِيرِ` (*asy-Syaikhil-Basyīri* — Syeikh al-Basyir)</w:t>
      </w:r>
    </w:p>
    <w:p>
      <w:r>
        <w:rPr>
          <w:rFonts w:ascii="Calibri" w:hAnsi="Calibri"/>
          <w:sz w:val="23"/>
        </w:rPr>
        <w:t>- Sesuai pedoman baku yang telah ditetapkan, jumlah baris dan kata pada bagian `arab`, `latin`, dan `Terjemahan` disamakan persis dengan struktur asli kitab tanpa penambahan kata di luar naskah.</w:t>
      </w:r>
    </w:p>
    <w:p>
      <w:r>
        <w:rPr>
          <w:rFonts w:ascii="Calibri" w:hAnsi="Calibri"/>
          <w:sz w:val="23"/>
        </w:rPr>
        <w:t>2. **Kedudukan Bagian Ketiga dalam Sistematika Kitab**:</w:t>
      </w:r>
    </w:p>
    <w:p>
      <w:r>
        <w:rPr>
          <w:rFonts w:ascii="Calibri" w:hAnsi="Calibri"/>
          <w:sz w:val="23"/>
        </w:rPr>
        <w:t>- Kitab karya Syeikh al-Basyir ini terbagi menjadi tiga bagian besar:</w:t>
      </w:r>
    </w:p>
    <w:p>
      <w:r>
        <w:rPr>
          <w:rFonts w:ascii="Calibri" w:hAnsi="Calibri"/>
          <w:sz w:val="23"/>
        </w:rPr>
        <w:t>1) **Bagian Pertama (Halaman 1–30)**: *Fawā'id* praktis dan *mujarrabāt* berbasis wafaq serta rajah untuk pembatalan sihir, pengobatan ruhani, penolakan kezaliman, dan *kasyf manāmī*.</w:t>
      </w:r>
    </w:p>
    <w:p>
      <w:r>
        <w:rPr>
          <w:rFonts w:ascii="Calibri" w:hAnsi="Calibri"/>
          <w:sz w:val="23"/>
        </w:rPr>
        <w:t>2) **Bagian Kedua (Halaman 31–42)**: *Da'awāt wa Riyādhāt* (9 pasal doa-doa agung, SOP 10 langkah amalan, *Tanbīhul-Labīb*, *Ishrāful-'Ummār*, *Tahshīn*, hingga *Da'watu Āyatil-Kursī*).</w:t>
      </w:r>
    </w:p>
    <w:p>
      <w:r>
        <w:rPr>
          <w:rFonts w:ascii="Calibri" w:hAnsi="Calibri"/>
          <w:sz w:val="23"/>
        </w:rPr>
        <w:t>3) **Bagian Ketiga (Mulai Halaman 43 ini)**: ***Durūsu 'Ilmil-Harfi wal-Aufāq*** — yaitu pengajaran teoretis dan kaidah-kaidah matematis cara menyusun wafaq, menghitung nilai huruf (*hisābul-jumal*), serta mengeluarkan jumlah bacaan wirid dan nama khadim ruhani secara mandiri sebagaimana telah dijanjikan pengarang pada Halaman 34.</w:t>
      </w:r>
    </w:p>
    <w:p>
      <w:pPr>
        <w:pStyle w:val="Heading2"/>
      </w:pPr>
      <w:r>
        <w:rPr>
          <w:color w:val="1B4332"/>
        </w:rPr>
        <w:t>Khususiyah dan Tatacara Praktik</w:t>
      </w:r>
    </w:p>
    <w:p>
      <w:r>
        <w:rPr>
          <w:rFonts w:ascii="Calibri" w:hAnsi="Calibri"/>
          <w:sz w:val="23"/>
        </w:rPr>
        <w:t>1. **Kunci Kemandirian Penuntut Ilmu Hikmah**:</w:t>
      </w:r>
    </w:p>
    <w:p>
      <w:r>
        <w:rPr>
          <w:rFonts w:ascii="Calibri" w:hAnsi="Calibri"/>
          <w:sz w:val="23"/>
        </w:rPr>
        <w:t>- Bagian Ketiga yang dibuka pada Halaman 43 ini adalah inti keilmuan (*ushūlul-'ilm*) yang membedakan seorang *thālib* (murid yang memahami kaidah) dari sekadar *muqallid* (penyalin wafaq).</w:t>
      </w:r>
    </w:p>
    <w:p>
      <w:r>
        <w:rPr>
          <w:rFonts w:ascii="Calibri" w:hAnsi="Calibri"/>
          <w:sz w:val="23"/>
        </w:rPr>
        <w:t>2. **Urutan Belajar**:</w:t>
      </w:r>
    </w:p>
    <w:p>
      <w:r>
        <w:rPr>
          <w:rFonts w:ascii="Calibri" w:hAnsi="Calibri"/>
          <w:sz w:val="23"/>
        </w:rPr>
        <w:t>- Setiap penuntut ilmu wajib mempelajari pelajaran-pelajaran di dalam bagian ini secara berurutan sesuai daftar isi pada Halaman 44, dimulai dari *Mabādi'ul-Aufāq* (Prinsip-Prinsip Dasar Wafaq) dan rahasia *Wafaq Musallas* (3×3).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