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96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6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D3B2E"/>
        </w:rPr>
        <w:t>HALAMAN 44 — فِهْرِسُ دُرُوسِ الشَّيْخِ الْبَشِيرِ</w:t>
      </w:r>
    </w:p>
    <w:p>
      <w:pPr>
        <w:pStyle w:val="Heading2"/>
      </w:pPr>
      <w:r>
        <w:rPr>
          <w:color w:val="1B4332"/>
        </w:rPr>
        <w:t>arab</w:t>
      </w:r>
    </w:p>
    <w:p>
      <w:pPr>
        <w:jc w:val="right"/>
      </w:pPr>
      <w:r>
        <w:rPr>
          <w:rFonts w:ascii="Traditional Arabic" w:hAnsi="Traditional Arabic"/>
          <w:sz w:val="32"/>
        </w:rPr>
        <w:t>فِهْرِسُ دُرُوسِ الشَّيْخِ الْبَشِيرِ</w:t>
      </w:r>
    </w:p>
    <w:p>
      <w:pPr>
        <w:jc w:val="right"/>
      </w:pPr>
      <w:r>
        <w:rPr>
          <w:rFonts w:ascii="Traditional Arabic" w:hAnsi="Traditional Arabic"/>
          <w:sz w:val="32"/>
        </w:rPr>
        <w:t>١. مَبَادِئُ الْأَوْفَاقِ</w:t>
      </w:r>
    </w:p>
    <w:p>
      <w:pPr>
        <w:jc w:val="right"/>
      </w:pPr>
      <w:r>
        <w:rPr>
          <w:rFonts w:ascii="Traditional Arabic" w:hAnsi="Traditional Arabic"/>
          <w:sz w:val="32"/>
        </w:rPr>
        <w:t>٢. كَشْفُ السِّتَارِ عَنِ الْمُثَلَّثِ وَمَا يَحْمِلُهُ مِنْ أَسْرَارٍ</w:t>
      </w:r>
    </w:p>
    <w:p>
      <w:pPr>
        <w:jc w:val="right"/>
      </w:pPr>
      <w:r>
        <w:rPr>
          <w:rFonts w:ascii="Traditional Arabic" w:hAnsi="Traditional Arabic"/>
          <w:sz w:val="32"/>
        </w:rPr>
        <w:t>٣. إِثْبَاتُ الْجُمْلَةِ لِاسْتِخْرَاجِ أَسْرَارِ الرِّيَاضَاتِ</w:t>
      </w:r>
    </w:p>
    <w:p>
      <w:pPr>
        <w:jc w:val="right"/>
      </w:pPr>
      <w:r>
        <w:rPr>
          <w:rFonts w:ascii="Traditional Arabic" w:hAnsi="Traditional Arabic"/>
          <w:sz w:val="32"/>
        </w:rPr>
        <w:t>٤. إِثْبَاتُ الْجُمْلَةِ الزَّائِدَةِ لِاسْتِخْرَاجِ أَسْرَارِ الرِّيَاضَاتِ</w:t>
      </w:r>
    </w:p>
    <w:p>
      <w:pPr>
        <w:jc w:val="right"/>
      </w:pPr>
      <w:r>
        <w:rPr>
          <w:rFonts w:ascii="Traditional Arabic" w:hAnsi="Traditional Arabic"/>
          <w:sz w:val="32"/>
        </w:rPr>
        <w:t>٥. قَاعِدَةُ اسْتِخْرَاجِ عَدَدِ التِّلَاوَةِ لِكُلِّ طَالِبٍ</w:t>
      </w:r>
    </w:p>
    <w:p>
      <w:pPr>
        <w:jc w:val="right"/>
      </w:pPr>
      <w:r>
        <w:rPr>
          <w:rFonts w:ascii="Traditional Arabic" w:hAnsi="Traditional Arabic"/>
          <w:sz w:val="32"/>
        </w:rPr>
        <w:t>٦. التِّرْيَاقُ لِكُلِّ طَالِبٍ لِمَعْرِفَةِ أَسْمَاءِ الْخَالِقِ</w:t>
      </w:r>
    </w:p>
    <w:p>
      <w:pPr>
        <w:jc w:val="right"/>
      </w:pPr>
      <w:r>
        <w:rPr>
          <w:rFonts w:ascii="Traditional Arabic" w:hAnsi="Traditional Arabic"/>
          <w:sz w:val="32"/>
        </w:rPr>
        <w:t>٧. الْقَاعِدَةُ الصَّارِمَةُ فِي اسْتِخْرَاجِ الْخَادِمِ السُّفْلِيِّ</w:t>
      </w:r>
    </w:p>
    <w:p>
      <w:pPr>
        <w:jc w:val="right"/>
      </w:pPr>
      <w:r>
        <w:rPr>
          <w:rFonts w:ascii="Traditional Arabic" w:hAnsi="Traditional Arabic"/>
          <w:sz w:val="32"/>
        </w:rPr>
        <w:t>٨. أَسْرَارُ الرِّجَالِ فِي اسْتِعْمَالِ آيَاتِ الْقُرْآنِ لِطَرْدِ الْجِنِّ وَالشَّيْطَانِ</w:t>
      </w:r>
    </w:p>
    <w:p>
      <w:pPr>
        <w:jc w:val="right"/>
      </w:pPr>
      <w:r>
        <w:rPr>
          <w:rFonts w:ascii="Traditional Arabic" w:hAnsi="Traditional Arabic"/>
          <w:sz w:val="32"/>
        </w:rPr>
        <w:t>٩. الْوَصْفُ الْمُبِينُ بَعْدَ تَمْوِيهِ الْمُدَّعِينَ فِي كَيْفِيَّةِ اسْتِخْرَاجِ الرُّوحَانِيِّ</w:t>
      </w:r>
    </w:p>
    <w:p>
      <w:pPr>
        <w:jc w:val="right"/>
      </w:pPr>
      <w:r>
        <w:rPr>
          <w:rFonts w:ascii="Traditional Arabic" w:hAnsi="Traditional Arabic"/>
          <w:sz w:val="32"/>
        </w:rPr>
        <w:t>١٠. الْجَوَابُ الشَّافِي</w:t>
      </w:r>
    </w:p>
    <w:p>
      <w:pPr>
        <w:pStyle w:val="Heading2"/>
      </w:pPr>
      <w:r>
        <w:rPr>
          <w:color w:val="1B4332"/>
        </w:rPr>
        <w:t>latin</w:t>
      </w:r>
    </w:p>
    <w:p>
      <w:r>
        <w:rPr>
          <w:rFonts w:ascii="Calibri" w:hAnsi="Calibri"/>
          <w:i/>
          <w:sz w:val="23"/>
        </w:rPr>
        <w:t>Fihrisu durūsisy-Syaikhil-Basyīri</w:t>
      </w:r>
    </w:p>
    <w:p>
      <w:r>
        <w:rPr>
          <w:rFonts w:ascii="Calibri" w:hAnsi="Calibri"/>
          <w:i/>
          <w:sz w:val="23"/>
        </w:rPr>
        <w:t>1. Mabādi'ul-aufāqi</w:t>
      </w:r>
    </w:p>
    <w:p>
      <w:r>
        <w:rPr>
          <w:rFonts w:ascii="Calibri" w:hAnsi="Calibri"/>
          <w:i/>
          <w:sz w:val="23"/>
        </w:rPr>
        <w:t>2. Kasyfus-sitāri 'anil-mutsallatsi wa mā yahmiluhū min asrārin</w:t>
      </w:r>
    </w:p>
    <w:p>
      <w:r>
        <w:rPr>
          <w:rFonts w:ascii="Calibri" w:hAnsi="Calibri"/>
          <w:i/>
          <w:sz w:val="23"/>
        </w:rPr>
        <w:t>3. Itsbātul-jumlati listikhrāji asrārir-riyādhāti</w:t>
      </w:r>
    </w:p>
    <w:p>
      <w:r>
        <w:rPr>
          <w:rFonts w:ascii="Calibri" w:hAnsi="Calibri"/>
          <w:i/>
          <w:sz w:val="23"/>
        </w:rPr>
        <w:t>4. Itsbātul-jumlatiz-zā'idati listikhrāji asrārir-riyādhāti</w:t>
      </w:r>
    </w:p>
    <w:p>
      <w:r>
        <w:rPr>
          <w:rFonts w:ascii="Calibri" w:hAnsi="Calibri"/>
          <w:i/>
          <w:sz w:val="23"/>
        </w:rPr>
        <w:t>5. Qā'idatu-stikhrāji 'adadit-tilāwati likulli thālibin</w:t>
      </w:r>
    </w:p>
    <w:p>
      <w:r>
        <w:rPr>
          <w:rFonts w:ascii="Calibri" w:hAnsi="Calibri"/>
          <w:i/>
          <w:sz w:val="23"/>
        </w:rPr>
        <w:t>6. At-tiryāqu likulli thālibin lima'rifati asmā'il-Khāliqi</w:t>
      </w:r>
    </w:p>
    <w:p>
      <w:r>
        <w:rPr>
          <w:rFonts w:ascii="Calibri" w:hAnsi="Calibri"/>
          <w:i/>
          <w:sz w:val="23"/>
        </w:rPr>
        <w:t>7. Al-qā'idatush-shārimatu fi-stikhrājil-khādimis-sufliyyi</w:t>
      </w:r>
    </w:p>
    <w:p>
      <w:r>
        <w:rPr>
          <w:rFonts w:ascii="Calibri" w:hAnsi="Calibri"/>
          <w:i/>
          <w:sz w:val="23"/>
        </w:rPr>
        <w:t>8. Asrārur-rijāli fi-sti'māli āyātil-Qur'āni lithardil-jinni wasy-syaithāni</w:t>
      </w:r>
    </w:p>
    <w:p>
      <w:r>
        <w:rPr>
          <w:rFonts w:ascii="Calibri" w:hAnsi="Calibri"/>
          <w:i/>
          <w:sz w:val="23"/>
        </w:rPr>
        <w:t>9. Al-washful-mubīnu ba'da tamwīhil-mudda'īna fī kaifiyyati-stikhrājir-rūhāniyyi</w:t>
      </w:r>
    </w:p>
    <w:p>
      <w:r>
        <w:rPr>
          <w:rFonts w:ascii="Calibri" w:hAnsi="Calibri"/>
          <w:i/>
          <w:sz w:val="23"/>
        </w:rPr>
        <w:t>10. Al-jawābusy-syāfī</w:t>
      </w:r>
    </w:p>
    <w:p>
      <w:pPr>
        <w:pStyle w:val="Heading2"/>
      </w:pPr>
      <w:r>
        <w:rPr>
          <w:color w:val="1B4332"/>
        </w:rPr>
        <w:t>Terjemahan</w:t>
      </w:r>
    </w:p>
    <w:p>
      <w:r>
        <w:rPr>
          <w:rFonts w:ascii="Calibri" w:hAnsi="Calibri"/>
          <w:sz w:val="23"/>
        </w:rPr>
        <w:t>Daftar isi pelajaran-pelajaran Syeikh al-Basyir</w:t>
      </w:r>
    </w:p>
    <w:p>
      <w:r>
        <w:rPr>
          <w:rFonts w:ascii="Calibri" w:hAnsi="Calibri"/>
          <w:sz w:val="23"/>
        </w:rPr>
        <w:t>1. Prinsip-prinsip dasar ilmu wafaq</w:t>
      </w:r>
    </w:p>
    <w:p>
      <w:r>
        <w:rPr>
          <w:rFonts w:ascii="Calibri" w:hAnsi="Calibri"/>
          <w:sz w:val="23"/>
        </w:rPr>
        <w:t>2. Penyingkapan tabir tentang wafaq musallas (3×3) dan rahasia-rahasia yang dikandungnya</w:t>
      </w:r>
    </w:p>
    <w:p>
      <w:r>
        <w:rPr>
          <w:rFonts w:ascii="Calibri" w:hAnsi="Calibri"/>
          <w:sz w:val="23"/>
        </w:rPr>
        <w:t>3. Penetapan jumlah hisab untuk mengeluarkan rahasia-rahasia riyadhah</w:t>
      </w:r>
    </w:p>
    <w:p>
      <w:r>
        <w:rPr>
          <w:rFonts w:ascii="Calibri" w:hAnsi="Calibri"/>
          <w:sz w:val="23"/>
        </w:rPr>
        <w:t>4. Penetapan jumlah hisab tambahan (al-jumlatuz-zā'idah) untuk mengeluarkan rahasia-rahasia riyadhah</w:t>
      </w:r>
    </w:p>
    <w:p>
      <w:r>
        <w:rPr>
          <w:rFonts w:ascii="Calibri" w:hAnsi="Calibri"/>
          <w:sz w:val="23"/>
        </w:rPr>
        <w:t>5. Kaidah mengeluarkan (menghitung) jumlah bacaan wirid bagi setiap penuntut ilmu</w:t>
      </w:r>
    </w:p>
    <w:p>
      <w:r>
        <w:rPr>
          <w:rFonts w:ascii="Calibri" w:hAnsi="Calibri"/>
          <w:sz w:val="23"/>
        </w:rPr>
        <w:t>6. Penawar mujarab (at-tiryāq) bagi setiap penuntut ilmu untuk mengetahui Asma-Asma Sang Pencipta</w:t>
      </w:r>
    </w:p>
    <w:p>
      <w:r>
        <w:rPr>
          <w:rFonts w:ascii="Calibri" w:hAnsi="Calibri"/>
          <w:sz w:val="23"/>
        </w:rPr>
        <w:t>7. Kaidah yang tegas dalam mengeluarkan nama khadim suflī (bawah)</w:t>
      </w:r>
    </w:p>
    <w:p>
      <w:r>
        <w:rPr>
          <w:rFonts w:ascii="Calibri" w:hAnsi="Calibri"/>
          <w:sz w:val="23"/>
        </w:rPr>
        <w:t>8. Rahasia-rahasia para tokoh ahli hikmah (ar-rijāl) dalam menggunakan ayat-ayat Al-Qur'an untuk mengusir jin dan setan</w:t>
      </w:r>
    </w:p>
    <w:p>
      <w:r>
        <w:rPr>
          <w:rFonts w:ascii="Calibri" w:hAnsi="Calibri"/>
          <w:sz w:val="23"/>
        </w:rPr>
        <w:t>9. Penjelasan yang nyata — setelah pengaburan para pengaku-ngaku — tentang tata cara mengeluarkan nama khadim ruhani</w:t>
      </w:r>
    </w:p>
    <w:p>
      <w:r>
        <w:rPr>
          <w:rFonts w:ascii="Calibri" w:hAnsi="Calibri"/>
          <w:sz w:val="23"/>
        </w:rPr>
        <w:t>10. Jawaban yang memuaskan (menyembuhkan keraguan)</w:t>
      </w:r>
    </w:p>
    <w:p>
      <w:pPr>
        <w:pStyle w:val="Heading2"/>
      </w:pPr>
      <w:r>
        <w:rPr>
          <w:color w:val="1B4332"/>
        </w:rPr>
        <w:t>Syarah dan Penjelasan</w:t>
      </w:r>
    </w:p>
    <w:p>
      <w:r>
        <w:rPr>
          <w:rFonts w:ascii="Calibri" w:hAnsi="Calibri"/>
          <w:sz w:val="23"/>
        </w:rPr>
        <w:t>1. **Verifikasi 3× vs Scan Asli `hal_44.png` — Pembersihan Total Teks Draf yang Bukan Isi Kitab**:</w:t>
      </w:r>
    </w:p>
    <w:p>
      <w:r>
        <w:rPr>
          <w:rFonts w:ascii="Calibri" w:hAnsi="Calibri"/>
          <w:sz w:val="23"/>
        </w:rPr>
        <w:t>- Pada draf kiriman sebelumnya, Halaman 44 ditulis sebagai `[ وَفْقُ الِاسْمِ الْأَعْظَمِ الْجَلَالِيِّ ]` dengan tabel 3×3 (`67-60-65...`). Setelah diverifikasi terhadap scan asli `hal_44.png`, teks tersebut **sama sekali tidak ada dalam kitab asli**.</w:t>
      </w:r>
    </w:p>
    <w:p>
      <w:r>
        <w:rPr>
          <w:rFonts w:ascii="Calibri" w:hAnsi="Calibri"/>
          <w:sz w:val="23"/>
        </w:rPr>
        <w:t>- Halaman 44 yang asli adalah **`فِهْرِسُ دُرُوسِ الشَّيْخِ الْبَشِيرِ`** (Daftar Isi Pelajaran-Pelajaran Syeikh al-Basyir) yang memuat 10 judul pelajaran inti Ilmu Huruf dan Wafaq.</w:t>
      </w:r>
    </w:p>
    <w:p>
      <w:r>
        <w:rPr>
          <w:rFonts w:ascii="Calibri" w:hAnsi="Calibri"/>
          <w:sz w:val="23"/>
        </w:rPr>
        <w:t>2. **Pemenuhan Janji Pengarang pada Halaman 34**:</w:t>
      </w:r>
    </w:p>
    <w:p>
      <w:r>
        <w:rPr>
          <w:rFonts w:ascii="Calibri" w:hAnsi="Calibri"/>
          <w:sz w:val="23"/>
        </w:rPr>
        <w:t>- Ingat kembali bahwa pada Halaman 34 (*Tanbīhul-Labīb*), Syeikh al-Basyir berjanji: *"Dan aku akan meletakkan untuk kalian, wahai saudara-saudaraku karena Allah, tata cara menghitung lama hari dan jumlah bacaan khusus dalam hal ini..."* (`وَسَأَضَعُ لَكُمْ إِخْوَتِي فِي اللهِ طَرِيقَةَ حِسَابِ الْمُدَّةِ وَعَدَدِ التِّلَاوَةِ بِهَذَا الْخُصُوصِ`).</w:t>
      </w:r>
    </w:p>
    <w:p>
      <w:r>
        <w:rPr>
          <w:rFonts w:ascii="Calibri" w:hAnsi="Calibri"/>
          <w:sz w:val="23"/>
        </w:rPr>
        <w:t>- Janji tersebut ditepati secara sistematis pada Poin 3, 4, 5, dan 6 dalam daftar isi Halaman 44 ini (`إِثْبَاتُ الْجُمْلَةِ`, `إِثْبَاتُ الْجُمْلَةِ الزَّائِدَةِ`, `قَاعِدَةُ اسْتِخْرَاجِ عَدَدِ التِّلَاوَةِ لِكُلِّ طَالِبٍ`, dan `التِّرْيَاقُ لِكُلِّ طَالِبٍ لِمَعْرِفَةِ أَسْمَاءِ الْخَالِقِ`).</w:t>
      </w:r>
    </w:p>
    <w:p>
      <w:pPr>
        <w:pStyle w:val="Heading2"/>
      </w:pPr>
      <w:r>
        <w:rPr>
          <w:color w:val="1B4332"/>
        </w:rPr>
        <w:t>Khususiyah dan Tatacara Praktik</w:t>
      </w:r>
    </w:p>
    <w:p>
      <w:r>
        <w:rPr>
          <w:rFonts w:ascii="Calibri" w:hAnsi="Calibri"/>
          <w:sz w:val="23"/>
        </w:rPr>
        <w:t>1. **Kurikulum Berjenjang 10 Pelajaran (*Durūs*)**:</w:t>
      </w:r>
    </w:p>
    <w:p>
      <w:r>
        <w:rPr>
          <w:rFonts w:ascii="Calibri" w:hAnsi="Calibri"/>
          <w:sz w:val="23"/>
        </w:rPr>
        <w:t>- **Pelajaran 1–2**: Fondasi teoretis *'Ilmul-Aufāq* dan anatomi *Wafaq Musallas* (3×3).</w:t>
      </w:r>
    </w:p>
    <w:p>
      <w:r>
        <w:rPr>
          <w:rFonts w:ascii="Calibri" w:hAnsi="Calibri"/>
          <w:sz w:val="23"/>
        </w:rPr>
        <w:t>- **Pelajaran 3–6**: Rumus matematis menghitung durasi riyadhah, jumlah bacaan wirid harian (*'adadut-tilāwah*), dan Asmaul Husna yang selaras dengan nilai hisab nama setiap murid.</w:t>
      </w:r>
    </w:p>
    <w:p>
      <w:r>
        <w:rPr>
          <w:rFonts w:ascii="Calibri" w:hAnsi="Calibri"/>
          <w:sz w:val="23"/>
        </w:rPr>
        <w:t>- **Pelajaran 7 &amp; 9**: Kaidah *istikhrāj* (ekstraksi huruf) untuk mengetahui nama khadim ruhani (*'ulwī* maupun *suflī*) secara sahih tanpa terjebak pengaburan (*tamwīh*) kitab-kitab palsu.</w:t>
      </w:r>
    </w:p>
    <w:p>
      <w:r>
        <w:rPr>
          <w:rFonts w:ascii="Calibri" w:hAnsi="Calibri"/>
          <w:sz w:val="23"/>
        </w:rPr>
        <w:t>- **Pelajaran 8 &amp; 10**: Rahasia penggunaan ayat-ayat Al-Qur'an untuk pengobatan/pengusiran jin serta rangkuman jawaban penutup (*al-Jawābusy-Syāfī*).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