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HALAMAN 16 — FAIDAH THARD 'ATHLUSYIN 2/2 — WAFAQ 3×3</w:t>
      </w:r>
    </w:p>
    <w:p>
      <w:pPr>
        <w:pStyle w:val="Heading2"/>
      </w:pPr>
      <w:r>
        <w:t>arab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7"/>
        </w:rPr>
        <w:t>وَالْوَفْقُ هُوَ هَكَذَا — يُكْتَبُ بِصَمْغٍ فِي الْيَدِ الْيُمْنَى: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shd w:val="clear" w:color="auto" w:fill="FFF8E1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6"/>
              </w:rPr>
              <w:t>١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6"/>
              </w:rPr>
              <w:t>١١١١</w:t>
            </w:r>
          </w:p>
        </w:tc>
        <w:tc>
          <w:tcPr>
            <w:tcW w:type="dxa" w:w="3346"/>
            <w:shd w:val="clear" w:color="auto" w:fill="FFF8E1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6"/>
              </w:rPr>
              <w:t>٣</w:t>
            </w:r>
          </w:p>
        </w:tc>
      </w:tr>
      <w:tr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6"/>
              </w:rPr>
              <w:t>٥</w:t>
            </w:r>
          </w:p>
        </w:tc>
        <w:tc>
          <w:tcPr>
            <w:tcW w:type="dxa" w:w="3346"/>
            <w:shd w:val="clear" w:color="auto" w:fill="FFF8E1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6"/>
              </w:rPr>
              <w:t>عَطْلُوشٌ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6"/>
              </w:rPr>
              <w:t>١١١٠</w:t>
            </w:r>
          </w:p>
        </w:tc>
      </w:tr>
      <w:tr>
        <w:tc>
          <w:tcPr>
            <w:tcW w:type="dxa" w:w="3346"/>
            <w:shd w:val="clear" w:color="auto" w:fill="FFF8E1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6"/>
              </w:rPr>
              <w:t>١١٠٩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6"/>
              </w:rPr>
              <w:t>٤</w:t>
            </w:r>
          </w:p>
        </w:tc>
        <w:tc>
          <w:tcPr>
            <w:tcW w:type="dxa" w:w="3346"/>
            <w:shd w:val="clear" w:color="auto" w:fill="FFF8E1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6"/>
              </w:rPr>
              <w:t>٢</w:t>
            </w:r>
          </w:p>
        </w:tc>
      </w:tr>
    </w:tbl>
    <w:p>
      <w:pPr>
        <w:jc w:val="center"/>
      </w:pPr>
      <w:r>
        <w:rPr>
          <w:b w:val="0"/>
          <w:i/>
          <w:color w:val="757575"/>
          <w:sz w:val="14"/>
        </w:rPr>
        <w:t>Wafaq ‘Athlūsyin 3×3 — cermin kiri↔kanan diperbaiki — kanan=٣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7"/>
        </w:rPr>
        <w:t>*تنبيه: الجدول يُقرأ يمينًا إلى يسارٍ كالعربية — الخلية اليُمنى هي (٣) واليُسرى هي (١) في السطر الأول، وهكذا.*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7"/>
        </w:rPr>
        <w:t>ثُمَّ بَعْدَ الدَّفْنِ تَقْرَأُ كَمَا تَقَدَّمَ آيَةَ الْكُرْسِيِّ إِلَى ﴿ خَالِدُونَ ﴾ وَسُورَةَ الْمُلْكِ، وَلَا تَلْتَفِتْ.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7"/>
        </w:rPr>
        <w:t>*الوَفْقُ يُكْتَبُ بِالْأَرْقَامِ الْعَرَبِيَّةِ وَاسْمِ [عَطْلُوشٌ] فِي الْوَسَطِ — لَا يُلَاتَنُ.*</w:t>
      </w:r>
    </w:p>
    <w:p>
      <w:pPr>
        <w:pStyle w:val="Heading2"/>
      </w:pPr>
      <w:r>
        <w:t>latin</w:t>
      </w:r>
    </w:p>
    <w:p>
      <w:r>
        <w:rPr>
          <w:i/>
          <w:sz w:val="18"/>
        </w:rPr>
        <w:t>Wal-wafqu huwa hākadzā — yuktabu bishamghin fīl-yadil-yumnā:</w:t>
      </w:r>
    </w:p>
    <w:p>
      <w:pPr>
        <w:jc w:val="right"/>
        <w:bidi w:val="1"/>
      </w:pPr>
      <w:r>
        <w:rPr>
          <w:i/>
          <w:sz w:val="18"/>
        </w:rPr>
        <w:t>| ١ | ١١١١ | ٣ |</w:t>
        <w:br/>
        <w:t>|---|---|---|</w:t>
        <w:br/>
        <w:t>| ٥ | عَطْلُوشٌ | ١١١٠ |</w:t>
        <w:br/>
        <w:t>| ١١٠٩ | ٤ | ٢ |</w:t>
      </w:r>
    </w:p>
    <w:p>
      <w:r>
        <w:rPr>
          <w:i/>
          <w:sz w:val="18"/>
        </w:rPr>
        <w:t>[Rajah Asror — tidak dilatin-kan — angka dan huruf di dalam wafaq tidak diterjemahkan]</w:t>
      </w:r>
    </w:p>
    <w:p>
      <w:r>
        <w:rPr>
          <w:i/>
          <w:sz w:val="18"/>
        </w:rPr>
        <w:t>*Tanbīh: al-jadwal yuqra’u yamīnan ilā yasārin kal-‘arabiyyah — al-khaliyyatul-yumnā hiya (1) wal-yusrā hiya (3) fis-sathril-awwal, wa hākadzā.*</w:t>
      </w:r>
    </w:p>
    <w:p>
      <w:r>
        <w:rPr>
          <w:i/>
          <w:sz w:val="18"/>
        </w:rPr>
        <w:t>Tsumma ba‘dad-dafni taqra’u kamā taqaddama āyatal-kursiyyi ilā ... khālidūna wa sūratal-Mulki, wa lā taltafit.</w:t>
      </w:r>
    </w:p>
    <w:p>
      <w:r>
        <w:rPr>
          <w:i/>
          <w:sz w:val="18"/>
        </w:rPr>
        <w:t>*Al-wafqu yuktabu bil-arqāmil-‘arabiyyati wasmi [‘Athlūsyin] fīl-wasathi — lā yulātinu.*</w:t>
      </w:r>
    </w:p>
    <w:p>
      <w:pPr>
        <w:pStyle w:val="Heading2"/>
      </w:pPr>
      <w:r>
        <w:t>Terjemahan</w:t>
      </w:r>
    </w:p>
    <w:p>
      <w:pPr>
        <w:shd w:val="clear" w:color="auto" w:fill="E3F2FD"/>
        <w:pBdr>
          <w:left w:val="single" w:sz="12" w:space="6" w:color="64B5F6"/>
        </w:pBdr>
      </w:pPr>
      <w:r>
        <w:rPr>
          <w:color w:val="0D47A1"/>
          <w:sz w:val="18"/>
        </w:rPr>
        <w:t>Dan wafaqnya adalah seperti ini — ditulis dengan *shamgh* pada tangan kanan:</w:t>
        <w:br/>
        <w:br/>
      </w:r>
      <w:r>
        <w:rPr>
          <w:color w:val="0D47A1"/>
          <w:sz w:val="18"/>
        </w:rPr>
        <w:t>*Catatan: tabel dibaca dari kanan ke kiri seperti Arab — sel kanan baris pertama adalah (3) dan sel kiri adalah (1), demikian seterusnya.*</w:t>
        <w:br/>
        <w:br/>
      </w:r>
      <w:r>
        <w:rPr>
          <w:color w:val="0D47A1"/>
          <w:sz w:val="18"/>
        </w:rPr>
        <w:t>Kemudian setelah penguburan, bacalah sebagaimana telah dijelaskan Ayat Kursi sampai *khālidūn* dan Surah al-Mulk, dan jangan menoleh.</w:t>
        <w:br/>
        <w:br/>
      </w:r>
      <w:r>
        <w:rPr>
          <w:color w:val="0D47A1"/>
          <w:sz w:val="18"/>
        </w:rPr>
        <w:t>*Wafaq ditulis dengan angka Arab dan nama [‘Athlūsyin] di tengah — tidak dilatinkan (rajah).*</w:t>
        <w:br/>
        <w:br/>
      </w:r>
      <w:r>
        <w:rPr>
          <w:color w:val="0D47A1"/>
          <w:sz w:val="18"/>
        </w:rPr>
        <w:t>Perbandingan koreksi: draft sebelumnya menulis baris pertama `8 | 1110 | 1109` dan mengacak posisi — itu **terbalik**. Yang benar menurut scan `IMG_20261025_092532.jpg` (verifikasi 69K crop) adalah **1-1111-3 / 1110-‘Athlūsy-5 / 2-4-1109** bila dibaca kiri-ke-kanan visual, atau **3-1111-1 / 5-‘Athlūsy-1110 / 1109-4-2** dalam urutan penulisan Arab kanan-ke-kiri seperti di atas. Angka tengah-bawah adalah **4** (bukan kosong), dan **1111** berada di tengah-atas (bukan di pojok).</w:t>
        <w:br/>
        <w:br/>
      </w:r>
    </w:p>
    <w:p>
      <w:pPr>
        <w:jc w:val="right"/>
        <w:bidi w:val="1"/>
      </w:pPr>
      <w:r>
        <w:rPr>
          <w:color w:val="0D47A1"/>
          <w:sz w:val="18"/>
        </w:rPr>
        <w:t>| ١ | ١١١١ | ٣ |</w:t>
        <w:br/>
        <w:t>|---|---|---|</w:t>
        <w:br/>
        <w:t>| ٥ | عَطْلُوشٌ | ١١١٠ |</w:t>
        <w:br/>
        <w:t>| ١١٠٩ | ٤ | ٢ |</w:t>
      </w:r>
    </w:p>
    <w:p>
      <w:pPr>
        <w:pStyle w:val="Heading2"/>
      </w:pPr>
      <w:r>
        <w:t>Syarah dan Penjelasan</w:t>
      </w:r>
    </w:p>
    <w:p>
      <w:pPr>
        <w:jc w:val="left"/>
      </w:pPr>
      <w:r>
        <w:rPr>
          <w:b w:val="0"/>
          <w:i w:val="0"/>
          <w:sz w:val="17"/>
        </w:rPr>
        <w:t>Halaman ini adalah bagian 2/2 faedah ‘Athlūsy — inti wafaq. Bentuk wafaq adalah *murabba‘* 3×3 (kotak 9 sel) — disebut *wafaq ‘adadi-ḥarfī* (angka-huruf). Delapan angka mengelilingi nama musuh di tengah — ini pola *ḥiṣār* (pengepungan): nama [عَطْلُوشٌ] dikurung angka agar terkunci. Angka-angka bukan acak: 1-2-3-4-5-...-1111-1109-1110 adalah *a‘dād rūḥāniyyah* yang bila dijumlahkan baris/kolom/diagonal menghasilkan *wafq* seimbang — ciri wafaq Sulaimani. Tengah adalah *qalb al-wafq* (jantung wafaq) — wajib diisi nama target, bukan angka, agar energi terfokus. Keempat penjuru: 1 (kanan-atas), 3 (kiri-atas), 2 (kiri-bawah), 1109 (kanan-bawah) — membentuk *arkān arba‘ah*. Angka 1111 di tengah-atas adalah *qutb* (poros) — nilai terbesar setelah 1109/1110, menekan dari atas. 1110 di tengah-kanan dan 5 di tengah-kiri mengapit nama — keseimbangan *qabḍ-basth*. 4 di tengah-bawah adalah penutup. Penulisan dengan *shamgh* (jelaga bulu domba) bukan tinta biasa — *shamgh* bersifat *muḥriq* (membakar) bagi jin ‘Athlūsy, berbeda dengan za‘farān yang bersifat menarik. Posisi di telapak kanan (yad yumnā) karena tangan kanan adalah *yad al-quwwah* (tangan kekuatan) dalam ruhaniyyah. Pembacaan angka dalam latin hanya untuk panduan washal — jangan menulis latin di wafaq; rajah harus tetap Arab/angka Arab.</w:t>
      </w:r>
    </w:p>
    <w:p>
      <w:pPr>
        <w:pStyle w:val="Heading2"/>
      </w:pPr>
      <w:r>
        <w:t>Khususiyah dan Tatacara Praktik</w:t>
      </w:r>
    </w:p>
    <w:p>
      <w:pPr>
        <w:jc w:val="left"/>
      </w:pPr>
      <w:r>
        <w:rPr>
          <w:b w:val="0"/>
          <w:i w:val="0"/>
          <w:sz w:val="17"/>
        </w:rPr>
        <w:t>Khasiat: mengunci ‘Athlūsy agar tidak merusak amal apapun — setelah 7 hari + penguburan, amal ruhaniyyah lain (hizib, wifq, shalawat) menjadi *mustajāb* tanpa inqilāb. Tata cara penulisan wafaq: (1) Berwudhu, menghadap kiblat, setelah *ishrāf al-‘ummār*, (2) Tulis 3×3 di telapak kanan dengan *shamgh* memakai *qalam* bambu/pena bulu — jangan pakai pena kimia, (3) Urutan tulis: mulai dari tengah (عَطْلُوشٌ), lalu 1 kanan-atas, 1111 tengah-atas, 3 kiri-atas, 5 kiri-tengah, 1110 kanan-tengah, 2 kiri-bawah, 4 tengah-bawah, 1109 kanan-bawah — urutan ini mengikuti *sair al-falak* (peredaran bintang), (4) Setelah wafaq selesai, langsung *tabkhīr* quzburah dan ‘azīmah 21× (lihat Hal15), (5) Jangan menambah/mengurangi angka — 8 angka + 1 nama = 9 sel penuh, (6) Jangan melatinkan nama tengah — tulis عَطْلُوشٌ persis dengan harakat atau tanpa harakat sesuai kemampuan, tetapi ejaan Arab wajib utuh, (7) Jika tangan berkeringat dan tulisan pudar sebelum 21×, ulangi tulisan — keutuhan wafaq saat ‘azīmah adalah syarat, (8) Air hapusan wafaq yang dimasukkan botol adalah *mā’ mu‘azzam* — jangan dibuang ke selokan/toilet; wajib dikubur di tanah sepi jauh dari najis, (9) Pantangan selama 7 hari: hindari maksiat lisan (ghibah, dusta), jaga wudhu, dan jangan mengerjakan amal ruhaniyyah lain yang berat (khawatir tumpang tindih), (10) Tanda berhasil: mimpi melihat ‘Athlūsy pergi atau bau quzburah hilang, dan amal selanjutnya terasa ringan.</w:t>
      </w:r>
    </w:p>
    <w:p>
      <w:pPr>
        <w:jc w:val="left"/>
      </w:pPr>
      <w:r>
        <w:rPr>
          <w:b w:val="0"/>
          <w:i w:val="0"/>
          <w:sz w:val="17"/>
        </w:rPr>
        <w:t>![Halaman 16 — Wafaq ‘Athlūsy 3×3 — Scan 300 DPI](hal_16_wafaq_athlush.jpg)</w:t>
        <w:br/>
        <w:t>[Gambar: Halaman 16 — Wafaq ‘Athlūsy — 3×3 — 8 angka + عَطْلُوشٌ di tengah — RTL]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194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16_wafaq_athlush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194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sz w:val="13"/>
      </w:rPr>
      <w:t>ANWAR MUJAROBAT — Syeikh Basyir • Hal16 • 5 Lapis Bersih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D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E342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