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 — PILOT REVISI STANDAR 123 ARTIKEL</w:t>
      </w:r>
    </w:p>
    <w:p>
      <w:pPr>
        <w:bidi w:val="0"/>
        <w:ind w:left="283"/>
        <w:jc w:val="left"/>
      </w:pPr>
      <w:r>
        <w:rPr>
          <w:rFonts w:ascii="Amiri" w:hAnsi="Amiri" w:cs="Amiri" w:eastAsia="Amiri"/>
          <w:b w:val="0"/>
          <w:i/>
          <w:color w:val="4B5563"/>
          <w:sz w:val="22"/>
          <w:szCs w:val="26"/>
          <w:iCs/>
        </w:rPr>
        <w:t xml:space="preserve">Cakupan pilot: SAMPUL, M01–M05, M58, M65–M67, M69, M122. Ini contoh penyelesaian mengikuti </w:t>
      </w:r>
      <w:r>
        <w:rPr>
          <w:rFonts w:ascii="Amiri" w:hAnsi="Amiri" w:cs="Amiri" w:eastAsia="Amiri"/>
          <w:b w:val="0"/>
          <w:i/>
          <w:color w:val="4B5563"/>
          <w:sz w:val="22"/>
          <w:szCs w:val="26"/>
          <w:iCs/>
        </w:rPr>
        <w:t>../STANDAR_MUTLAK_AL_QORIN_123.md</w:t>
      </w:r>
      <w:r>
        <w:rPr>
          <w:rFonts w:ascii="Amiri" w:hAnsi="Amiri" w:cs="Amiri" w:eastAsia="Amiri"/>
          <w:b w:val="0"/>
          <w:i/>
          <w:color w:val="4B5563"/>
          <w:sz w:val="22"/>
          <w:szCs w:val="26"/>
          <w:iCs/>
        </w:rPr>
        <w:t>, bukan edisi final 123 unit.</w:t>
      </w:r>
    </w:p>
    <w:p>
      <w:pPr>
        <w:bidi w:val="0"/>
        <w:ind w:left="283"/>
        <w:jc w:val="left"/>
      </w:pPr>
      <w:r>
        <w:rPr>
          <w:rFonts w:ascii="Amiri" w:hAnsi="Amiri" w:cs="Amiri" w:eastAsia="Amiri"/>
          <w:b w:val="0"/>
          <w:i/>
          <w:color w:val="4B5563"/>
          <w:sz w:val="22"/>
          <w:szCs w:val="26"/>
          <w:iCs/>
        </w:rPr>
        <w:t>Dokumen ini adalah revisi terjemahan dokumenter. Metode yang dinisbatkan kepada penulis kitab tidak disajikan sebagai anjuran, terapi, atau jaminan hasil, dan bukan pengganti penanganan medis.</w:t>
      </w:r>
    </w:p>
    <w:p>
      <w:pPr>
        <w:bidi w:val="0"/>
        <w:ind w:left="283"/>
        <w:jc w:val="left"/>
      </w:pPr>
      <w:r>
        <w:rPr>
          <w:rFonts w:ascii="Amiri" w:hAnsi="Amiri" w:cs="Amiri" w:eastAsia="Amiri"/>
          <w:b w:val="0"/>
          <w:i/>
          <w:color w:val="4B5563"/>
          <w:sz w:val="22"/>
          <w:szCs w:val="26"/>
          <w:iCs/>
        </w:rPr>
        <w:t>Catatan sumber (apa adanya): Rajah diperiksa: hal.65–73 (9 dari 23 halaman). Wafaq berpetak: hal.66 &amp; 69; hal.65 &amp; 67 salinan linear; hal.68, 70, 71, 73 tanpa wafaq berpetak; hal.72 tanpa rajah sama sekali.</w:t>
      </w:r>
    </w:p>
    <w:p>
      <w:pPr>
        <w:bidi w:val="0"/>
        <w:ind w:left="283"/>
        <w:jc w:val="left"/>
      </w:pPr>
      <w:r>
        <w:rPr>
          <w:rFonts w:ascii="Amiri" w:hAnsi="Amiri" w:cs="Amiri" w:eastAsia="Amiri"/>
          <w:b w:val="0"/>
          <w:i/>
          <w:color w:val="4B5563"/>
          <w:sz w:val="22"/>
          <w:szCs w:val="26"/>
          <w:iCs/>
        </w:rPr>
        <w:t>Catatan: teks kiriman pengguna; koreksi bersifat usulan. Praktik dinisbatkan kepada penulis kitab — tidak dianjurkan, tidak disahkan, tanpa jaminan khasiat.</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latihan-latihan ruhani.</w:t>
      </w:r>
    </w:p>
    <w:p>
      <w:pPr>
        <w:spacing w:before="40" w:after="100" w:line="269" w:lineRule="auto"/>
        <w:bidi w:val="0"/>
        <w:jc w:val="left"/>
      </w:pPr>
      <w:r>
        <w:rPr>
          <w:rFonts w:ascii="Amiri" w:hAnsi="Amiri" w:cs="Amiri" w:eastAsia="Amiri"/>
          <w:b w:val="0"/>
          <w:i w:val="0"/>
          <w:color w:val="1F2937"/>
          <w:sz w:val="24"/>
          <w:szCs w:val="28"/>
        </w:rPr>
        <w:t>Karangan guru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Internasional para ahli falak ruhani.</w:t>
      </w:r>
    </w:p>
    <w:p>
      <w:pPr>
        <w:spacing w:before="40" w:after="100" w:line="269" w:lineRule="auto"/>
        <w:bidi w:val="0"/>
        <w:jc w:val="left"/>
      </w:pPr>
      <w:r>
        <w:rPr>
          <w:rFonts w:ascii="Amiri" w:hAnsi="Amiri" w:cs="Amiri" w:eastAsia="Amiri"/>
          <w:b w:val="0"/>
          <w:i w:val="0"/>
          <w:color w:val="1F2937"/>
          <w:sz w:val="24"/>
          <w:szCs w:val="28"/>
        </w:rPr>
        <w:t>Kantor pusat: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Dar al-Fikr wa al-Tsaqafah.</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ekstrak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Pendahuluan.</w:t>
      </w:r>
    </w:p>
    <w:p>
      <w:pPr>
        <w:spacing w:before="40" w:after="100" w:line="269" w:lineRule="auto"/>
        <w:bidi w:val="0"/>
        <w:jc w:val="left"/>
      </w:pPr>
      <w:r>
        <w:rPr>
          <w:rFonts w:ascii="Amiri" w:hAnsi="Amiri" w:cs="Amiri" w:eastAsia="Amiri"/>
          <w:b w:val="0"/>
          <w:i w:val="0"/>
          <w:color w:val="1F2937"/>
          <w:sz w:val="24"/>
          <w:szCs w:val="28"/>
        </w:rPr>
        <w:t>Segala puji bagi Allah yang mengangkat hijab-hijab penutup rahasia dari hakikat-hakikat pandangan batin orang-orang yang didekatkan.</w:t>
      </w:r>
    </w:p>
    <w:p>
      <w:pPr>
        <w:spacing w:before="40" w:after="100" w:line="269" w:lineRule="auto"/>
        <w:bidi w:val="0"/>
        <w:jc w:val="left"/>
      </w:pPr>
      <w:r>
        <w:rPr>
          <w:rFonts w:ascii="Amiri" w:hAnsi="Amiri" w:cs="Amiri" w:eastAsia="Amiri"/>
          <w:b w:val="0"/>
          <w:i w:val="0"/>
          <w:color w:val="1F2937"/>
          <w:sz w:val="24"/>
          <w:szCs w:val="28"/>
        </w:rPr>
        <w:t>Dan Dia menerangi relung hati para arif dengan cahaya petunjuk keimanan.</w:t>
      </w:r>
    </w:p>
    <w:p>
      <w:pPr>
        <w:spacing w:before="40" w:after="100" w:line="269" w:lineRule="auto"/>
        <w:bidi w:val="0"/>
        <w:jc w:val="left"/>
      </w:pPr>
      <w:r>
        <w:rPr>
          <w:rFonts w:ascii="Amiri" w:hAnsi="Amiri" w:cs="Amiri" w:eastAsia="Amiri"/>
          <w:b w:val="0"/>
          <w:i w:val="0"/>
          <w:color w:val="1F2937"/>
          <w:sz w:val="24"/>
          <w:szCs w:val="28"/>
        </w:rPr>
        <w:t>Dan Dia melapangkan bagian-bagian terdalam dada para ahli tahkik dengan rahasia karunia rabbani.</w:t>
      </w:r>
    </w:p>
    <w:p>
      <w:pPr>
        <w:spacing w:before="40" w:after="100" w:line="269" w:lineRule="auto"/>
        <w:bidi w:val="0"/>
        <w:jc w:val="left"/>
      </w:pPr>
      <w:r>
        <w:rPr>
          <w:rFonts w:ascii="Amiri" w:hAnsi="Amiri" w:cs="Amiri" w:eastAsia="Amiri"/>
          <w:b w:val="0"/>
          <w:i w:val="0"/>
          <w:color w:val="1F2937"/>
          <w:sz w:val="24"/>
          <w:szCs w:val="28"/>
        </w:rPr>
        <w:t>Dan Dia memabukkan inti ruh para pencinta dengan kemurnian cinta-Nya yang murni.</w:t>
      </w:r>
    </w:p>
    <w:p>
      <w:pPr>
        <w:spacing w:before="40" w:after="100" w:line="269" w:lineRule="auto"/>
        <w:bidi w:val="0"/>
        <w:jc w:val="left"/>
      </w:pPr>
      <w:r>
        <w:rPr>
          <w:rFonts w:ascii="Amiri" w:hAnsi="Amiri" w:cs="Amiri" w:eastAsia="Amiri"/>
          <w:b w:val="0"/>
          <w:i w:val="0"/>
          <w:color w:val="1F2937"/>
          <w:sz w:val="24"/>
          <w:szCs w:val="28"/>
        </w:rPr>
        <w:t>Dan Dia membimbing perjalanan maqam-maqam orang-orang ikhlas menuju sarana yang paling dekat.</w:t>
      </w:r>
    </w:p>
    <w:p>
      <w:pPr>
        <w:spacing w:before="40" w:after="100" w:line="269" w:lineRule="auto"/>
        <w:bidi w:val="0"/>
        <w:jc w:val="left"/>
      </w:pPr>
      <w:r>
        <w:rPr>
          <w:rFonts w:ascii="Amiri" w:hAnsi="Amiri" w:cs="Amiri" w:eastAsia="Amiri"/>
          <w:b w:val="0"/>
          <w:i w:val="0"/>
          <w:color w:val="1F2937"/>
          <w:sz w:val="24"/>
          <w:szCs w:val="28"/>
        </w:rPr>
        <w:t>Dan Dia meneguhkan kaki-kaki para salik di atas jalan hakikat.</w:t>
      </w:r>
    </w:p>
    <w:p>
      <w:pPr>
        <w:spacing w:before="40" w:after="100" w:line="269" w:lineRule="auto"/>
        <w:bidi w:val="0"/>
        <w:jc w:val="left"/>
      </w:pPr>
      <w:r>
        <w:rPr>
          <w:rFonts w:ascii="Amiri" w:hAnsi="Amiri" w:cs="Amiri" w:eastAsia="Amiri"/>
          <w:b w:val="0"/>
          <w:i w:val="0"/>
          <w:color w:val="1F2937"/>
          <w:sz w:val="24"/>
          <w:szCs w:val="28"/>
        </w:rPr>
        <w:t>Dan Dia menaikkan wujud-wujud pikiran orang-orang yang mendapat petunjuk ke mimbar-mimbar hikmah bercahaya.</w:t>
      </w:r>
    </w:p>
    <w:p>
      <w:pPr>
        <w:spacing w:before="40" w:after="100" w:line="269" w:lineRule="auto"/>
        <w:bidi w:val="0"/>
        <w:jc w:val="left"/>
      </w:pPr>
      <w:r>
        <w:rPr>
          <w:rFonts w:ascii="Amiri" w:hAnsi="Amiri" w:cs="Amiri" w:eastAsia="Amiri"/>
          <w:b w:val="0"/>
          <w:i w:val="0"/>
          <w:color w:val="1F2937"/>
          <w:sz w:val="24"/>
          <w:szCs w:val="28"/>
        </w:rPr>
        <w:t>Dan Dia menyenangkan inti akal orang-orang yang dididik di taman kebun hadirat kesucian keakraban-Nya.</w:t>
      </w:r>
    </w:p>
    <w:p>
      <w:pPr>
        <w:spacing w:before="40" w:after="100" w:line="269" w:lineRule="auto"/>
        <w:bidi w:val="0"/>
        <w:jc w:val="left"/>
      </w:pPr>
      <w:r>
        <w:rPr>
          <w:rFonts w:ascii="Amiri" w:hAnsi="Amiri" w:cs="Amiri" w:eastAsia="Amiri"/>
          <w:b w:val="0"/>
          <w:i w:val="0"/>
          <w:color w:val="1F2937"/>
          <w:sz w:val="24"/>
          <w:szCs w:val="28"/>
        </w:rPr>
        <w:t>Dan Dia mendekat dengan kemurnian kelembutan pemeliharaan rahmat-Nya, dengan ketundukan kekhusyukan orang-orang yang bermunajat.</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Ekstrak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ekstrak dan qarinah khusyuk; bukan kepastian, bukan mengambil bacaan dari terjemahan lama.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tersendiri dengan rahasia keesaan dan tunggal dengan perwujudan hakikat keesaan.</w:t>
      </w:r>
    </w:p>
    <w:p>
      <w:pPr>
        <w:spacing w:before="40" w:after="100" w:line="269" w:lineRule="auto"/>
        <w:bidi w:val="0"/>
        <w:jc w:val="left"/>
      </w:pPr>
      <w:r>
        <w:rPr>
          <w:rFonts w:ascii="Amiri" w:hAnsi="Amiri" w:cs="Amiri" w:eastAsia="Amiri"/>
          <w:b w:val="0"/>
          <w:i w:val="0"/>
          <w:color w:val="1F2937"/>
          <w:sz w:val="24"/>
          <w:szCs w:val="28"/>
        </w:rPr>
        <w:t>Dan Dia bersifat dengan kemuliaan Allah yang bersifat shamadiyyah serta Mahasuci dari keserupaan dengan orang-orang yang menyimpang.</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pujian/penjelasan, jadi bagian ini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ekstrak,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رِوَاقِ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حَامِلِي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اصوال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Yang—hubungan kata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dengan “serambi penciptaan” belum pasti—menurut perbedaan fase-fase maqam orang-orang yang menuju-Nya.</w:t>
      </w:r>
    </w:p>
    <w:p>
      <w:pPr>
        <w:spacing w:before="40" w:after="100" w:line="269" w:lineRule="auto"/>
        <w:bidi w:val="0"/>
        <w:jc w:val="left"/>
      </w:pPr>
      <w:r>
        <w:rPr>
          <w:rFonts w:ascii="Amiri" w:hAnsi="Amiri" w:cs="Amiri" w:eastAsia="Amiri"/>
          <w:b w:val="0"/>
          <w:i w:val="0"/>
          <w:color w:val="1F2937"/>
          <w:sz w:val="24"/>
          <w:szCs w:val="28"/>
        </w:rPr>
        <w:t>Dan Dia membentangkan medan penetapan hukum dengan kejernihan permata napas ruh-ruh orang yang mantap; Yang Mahakuasa, yang menandai kekuasaan akal dengan «</w:t>
      </w:r>
      <w:r>
        <w:rPr>
          <w:rFonts w:ascii="Amiri" w:hAnsi="Amiri" w:cs="Amiri" w:eastAsia="Amiri"/>
          <w:b w:val="0"/>
          <w:i w:val="0"/>
          <w:color w:val="1F2937"/>
          <w:sz w:val="28"/>
          <w:szCs w:val="32"/>
          <w:rtl/>
        </w:rPr>
        <w:t>بية</w:t>
      </w:r>
      <w:r>
        <w:rPr>
          <w:rFonts w:ascii="Amiri" w:hAnsi="Amiri" w:cs="Amiri" w:eastAsia="Amiri"/>
          <w:b w:val="0"/>
          <w:i w:val="0"/>
          <w:color w:val="1F2937"/>
          <w:sz w:val="24"/>
          <w:szCs w:val="28"/>
        </w:rPr>
        <w:t>» ketidakmampuan [makna penghubung belum pasti], dan membungkam kefasihan lidah-lidah dengan tangan keperkasaan.</w:t>
      </w:r>
    </w:p>
    <w:p>
      <w:pPr>
        <w:spacing w:before="40" w:after="100" w:line="269" w:lineRule="auto"/>
        <w:bidi w:val="0"/>
        <w:jc w:val="left"/>
      </w:pPr>
      <w:r>
        <w:rPr>
          <w:rFonts w:ascii="Amiri" w:hAnsi="Amiri" w:cs="Amiri" w:eastAsia="Amiri"/>
          <w:b w:val="0"/>
          <w:i w:val="0"/>
          <w:color w:val="1F2937"/>
          <w:sz w:val="24"/>
          <w:szCs w:val="28"/>
        </w:rPr>
        <w:t>Aku memuji-Nya dengan pujian orang-orang yang didekatkan, beriman dengan iman para arif, dan menempuh petunjuk para murid.</w:t>
      </w:r>
    </w:p>
    <w:p>
      <w:pPr>
        <w:spacing w:before="40" w:after="100" w:line="269" w:lineRule="auto"/>
        <w:bidi w:val="0"/>
        <w:jc w:val="left"/>
      </w:pPr>
      <w:r>
        <w:rPr>
          <w:rFonts w:ascii="Amiri" w:hAnsi="Amiri" w:cs="Amiri" w:eastAsia="Amiri"/>
          <w:b w:val="0"/>
          <w:i w:val="0"/>
          <w:color w:val="1F2937"/>
          <w:sz w:val="24"/>
          <w:szCs w:val="28"/>
        </w:rPr>
        <w:t>Aku bersaksi bahwa tiada tuhan selain Allah semata, tiada sekutu bagi-Nya; suatu kesaksian dariku. Dengan kehambaan kepada-Nya, pengabdianku tertuju kepada-Nya [hubungan frasa belum mantap]. Aku bersandar kepada-Nya dalam perbuatan dan ucapanku.</w:t>
      </w:r>
    </w:p>
    <w:p>
      <w:pPr>
        <w:spacing w:before="40" w:after="100" w:line="269" w:lineRule="auto"/>
        <w:bidi w:val="0"/>
        <w:jc w:val="left"/>
      </w:pPr>
      <w:r>
        <w:rPr>
          <w:rFonts w:ascii="Amiri" w:hAnsi="Amiri" w:cs="Amiri" w:eastAsia="Amiri"/>
          <w:b w:val="0"/>
          <w:i w:val="0"/>
          <w:color w:val="1F2937"/>
          <w:sz w:val="24"/>
          <w:szCs w:val="28"/>
        </w:rPr>
        <w:t>Aku bersaksi bahwa Muhammad adalah hamba dan utusan-Nya yang Dia pilih dari permata para rasul, sari cahaya para siddiq, hakikat segala hakikat para syuhada, serta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shalawat kepadanya; “para pembawa Al-Qur’an, dan kedua yang selalu baru silih berganti” [susunan penutup doa belum mantap].</w:t>
      </w:r>
    </w:p>
    <w:p>
      <w:pPr>
        <w:spacing w:before="40" w:after="100" w:line="269" w:lineRule="auto"/>
        <w:bidi w:val="0"/>
        <w:jc w:val="left"/>
      </w:pPr>
      <w:r>
        <w:rPr>
          <w:rFonts w:ascii="Amiri" w:hAnsi="Amiri" w:cs="Amiri" w:eastAsia="Amiri"/>
          <w:b w:val="0"/>
          <w:i w:val="0"/>
          <w:color w:val="1F2937"/>
          <w:sz w:val="24"/>
          <w:szCs w:val="28"/>
        </w:rPr>
        <w:t>Selanjutnya, sekelompok pencinta yang tulus dan orang-orang ikhlas yang murni menghendaki agar aku menjelaskan cara riyadhah dan pembinaan rahasianya dalam «</w:t>
      </w: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segala yang ada [makna kata ini belum ditetapkan], serta apa rahasia permulaan dan kesudahannya.</w:t>
      </w:r>
    </w:p>
    <w:p>
      <w:pPr>
        <w:spacing w:before="40" w:after="100" w:line="269" w:lineRule="auto"/>
        <w:bidi w:val="0"/>
        <w:jc w:val="left"/>
      </w:pPr>
      <w:r>
        <w:rPr>
          <w:rFonts w:ascii="Amiri" w:hAnsi="Amiri" w:cs="Amiri" w:eastAsia="Amiri"/>
          <w:b w:val="0"/>
          <w:i w:val="0"/>
          <w:color w:val="1F2937"/>
          <w:sz w:val="24"/>
          <w:szCs w:val="28"/>
        </w:rPr>
        <w:t>Maka kupenuhi permintaan itu sebagaimana orang yang percaya pada tali Tuannya, dalam rahasia terdalamnya, keterbukaannya, dan bisikannya, setelah aku menjadikan penghambaan kerendahan diri sebagai penjelasan istikharah.</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ekstrak,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ekstrak; tidak diubah menjadi formula shalawat yang lebih lazim, tidak menambah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ekstrak,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وَالْمُهْتَدِينَ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Maka Dia melimpahkan kepadaku, dari cahaya-cahaya rahmat-Nya, penerimaan atas permohonan itu, dan menyingkapkan bagiku rahasia pintu-pintu kembali kepada-Nya.</w:t>
      </w:r>
    </w:p>
    <w:p>
      <w:pPr>
        <w:spacing w:before="40" w:after="100" w:line="269" w:lineRule="auto"/>
        <w:bidi w:val="0"/>
        <w:jc w:val="left"/>
      </w:pPr>
      <w:r>
        <w:rPr>
          <w:rFonts w:ascii="Amiri" w:hAnsi="Amiri" w:cs="Amiri" w:eastAsia="Amiri"/>
          <w:b w:val="0"/>
          <w:i w:val="0"/>
          <w:color w:val="1F2937"/>
          <w:sz w:val="24"/>
          <w:szCs w:val="28"/>
        </w:rPr>
        <w:t>“Atas/pada Tuhan para ulama terdahulu, para imam, dan orang-orang yang mendapat petunjuk; semoga Allah meridai mereka.” Hubungan susunan pembuka frasa ini dengan kalimat sebelumnya belum mantap.</w:t>
      </w:r>
    </w:p>
    <w:p>
      <w:pPr>
        <w:spacing w:before="40" w:after="100" w:line="269" w:lineRule="auto"/>
        <w:bidi w:val="0"/>
        <w:jc w:val="left"/>
      </w:pPr>
      <w:r>
        <w:rPr>
          <w:rFonts w:ascii="Amiri" w:hAnsi="Amiri" w:cs="Amiri" w:eastAsia="Amiri"/>
          <w:b w:val="0"/>
          <w:i w:val="0"/>
          <w:color w:val="1F2937"/>
          <w:sz w:val="24"/>
          <w:szCs w:val="28"/>
        </w:rPr>
        <w:t>Mereka menyebutkan hal itu melalui beragam contoh dan perbedaan tahap bentuk-bentuk susunan, tetapi tidak menempatkan di dalamnya cahaya-cahaya dari zikir-zikir.</w:t>
      </w:r>
    </w:p>
    <w:p>
      <w:pPr>
        <w:spacing w:before="40" w:after="100" w:line="269" w:lineRule="auto"/>
        <w:bidi w:val="0"/>
        <w:jc w:val="left"/>
      </w:pPr>
      <w:r>
        <w:rPr>
          <w:rFonts w:ascii="Amiri" w:hAnsi="Amiri" w:cs="Amiri" w:eastAsia="Amiri"/>
          <w:b w:val="0"/>
          <w:i w:val="0"/>
          <w:color w:val="1F2937"/>
          <w:sz w:val="24"/>
          <w:szCs w:val="28"/>
        </w:rPr>
        <w:t>Kemudian mereka menyebutkan pentahapan menurut ukuran-ukuran neraca, tetapi tidak mengingatkan tentang cara berjaga terhadap terganggunya indra-indra.</w:t>
      </w:r>
    </w:p>
    <w:p>
      <w:pPr>
        <w:spacing w:before="40" w:after="100" w:line="269" w:lineRule="auto"/>
        <w:bidi w:val="0"/>
        <w:jc w:val="left"/>
      </w:pPr>
      <w:r>
        <w:rPr>
          <w:rFonts w:ascii="Amiri" w:hAnsi="Amiri" w:cs="Amiri" w:eastAsia="Amiri"/>
          <w:b w:val="0"/>
          <w:i w:val="0"/>
          <w:color w:val="1F2937"/>
          <w:sz w:val="24"/>
          <w:szCs w:val="28"/>
        </w:rPr>
        <w:t>Sesungguhnya aku menyajikan latihan-latihan ruhani ini, yang menurut pernyataanku tidak mempunyai tandingan, sebagai pelayanan bagi orang-orang beriman di setiap tempat.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isinya dengan penerimaan yang baik.</w:t>
      </w:r>
    </w:p>
    <w:p>
      <w:pPr>
        <w:spacing w:before="40" w:after="100" w:line="269" w:lineRule="auto"/>
        <w:bidi w:val="0"/>
        <w:jc w:val="left"/>
      </w:pPr>
      <w:r>
        <w:rPr>
          <w:rFonts w:ascii="Amiri" w:hAnsi="Amiri" w:cs="Amiri" w:eastAsia="Amiri"/>
          <w:b w:val="0"/>
          <w:i w:val="0"/>
          <w:color w:val="1F2937"/>
          <w:sz w:val="24"/>
          <w:szCs w:val="28"/>
        </w:rPr>
        <w:t>Dan sesungguhnya aku—dan aku memohon kepada Allah—agar Dia menerimaku di sisi-Nya dan menerima amal ini dari seorang hamba yang fakir kepada Sang Tuan Yang Mahaagung.</w:t>
      </w:r>
    </w:p>
    <w:p>
      <w:pPr>
        <w:spacing w:before="40" w:after="100" w:line="269" w:lineRule="auto"/>
        <w:bidi w:val="0"/>
        <w:jc w:val="left"/>
      </w:pPr>
      <w:r>
        <w:rPr>
          <w:rFonts w:ascii="Amiri" w:hAnsi="Amiri" w:cs="Amiri" w:eastAsia="Amiri"/>
          <w:b w:val="0"/>
          <w:i w:val="0"/>
          <w:color w:val="1F2937"/>
          <w:sz w:val="24"/>
          <w:szCs w:val="28"/>
        </w:rPr>
        <w:t>Siapa yang hendak mencapai tujuan, hendaklah ia memulai dengan membaca Al-Fatihah untuk junjungan kita Muhammad, keluarga beliau, dan pengarang. Segala puji bagi Allah pada kehidupan pertama dan kehidupan akhir.</w:t>
      </w:r>
    </w:p>
    <w:p>
      <w:pPr>
        <w:spacing w:before="40" w:after="100" w:line="269" w:lineRule="auto"/>
        <w:bidi w:val="0"/>
        <w:jc w:val="left"/>
      </w:pPr>
      <w:r>
        <w:rPr>
          <w:rFonts w:ascii="Amiri" w:hAnsi="Amiri" w:cs="Amiri" w:eastAsia="Amiri"/>
          <w:b w:val="0"/>
          <w:i w:val="0"/>
          <w:color w:val="1F2937"/>
          <w:sz w:val="24"/>
          <w:szCs w:val="28"/>
        </w:rPr>
        <w:t>Pengarang:</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Penulis meminta pembaca memulai dengan Al-Fatihah yang ditujukan kepada Nabi Muhammad, keluarga beliau, dan pengarang. Ini petunjuk yang memang ada dalam sumber, bukan tambahan penerjemah. Bagian ini tidak menetapkan jumlah bacaan, waktu khusus, atau jaminan hasil; jangan menambahkannya.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ekstrak;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ekstrak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menambah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ekstrak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لِخِفَّةِ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انْتِشَاتٍ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لِتَكُنْ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لِعِلَّتَيْنِ</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السَّاحَةَ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أَقْسَامٍ</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يَقْضِيَ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 besar — judul cetak secara harfiah berbunyi ‘ar-riyadhiyyat al-kubra’.</w:t>
      </w:r>
    </w:p>
    <w:p>
      <w:pPr>
        <w:spacing w:before="40" w:after="100" w:line="269" w:lineRule="auto"/>
        <w:bidi w:val="0"/>
        <w:jc w:val="left"/>
      </w:pPr>
      <w:r>
        <w:rPr>
          <w:rFonts w:ascii="Amiri" w:hAnsi="Amiri" w:cs="Amiri" w:eastAsia="Amiri"/>
          <w:b w:val="0"/>
          <w:i w:val="0"/>
          <w:color w:val="1F2937"/>
          <w:sz w:val="24"/>
          <w:szCs w:val="28"/>
        </w:rPr>
        <w:t>Ketahuilah, wahai pencari, bahwa menjalankan syariat-syariat kenabian beserta suatu himpunan hikmah kelembutan rabbani merupakan bala tentaranya di antara bagian-bagian dalammu.</w:t>
      </w:r>
    </w:p>
    <w:p>
      <w:pPr>
        <w:spacing w:before="40" w:after="100" w:line="269" w:lineRule="auto"/>
        <w:bidi w:val="0"/>
        <w:jc w:val="left"/>
      </w:pPr>
      <w:r>
        <w:rPr>
          <w:rFonts w:ascii="Amiri" w:hAnsi="Amiri" w:cs="Amiri" w:eastAsia="Amiri"/>
          <w:b w:val="0"/>
          <w:i w:val="0"/>
          <w:color w:val="1F2937"/>
          <w:sz w:val="24"/>
          <w:szCs w:val="28"/>
        </w:rPr>
        <w:t>Dan bahwa alam yang fana tidak mempunyai hubungan dengannya—demikian susunan ‘lahaa bihi’ dalam sumber—dan bukan pula demi ringannya ‘intisyaat’, agar hatinya menjadi tenang dengan angan-angan pencarian. Makna kata ‘intisyaat’ dan kaitan keseluruhan frasa ini belum mantap.</w:t>
      </w:r>
    </w:p>
    <w:p>
      <w:pPr>
        <w:spacing w:before="40" w:after="100" w:line="269" w:lineRule="auto"/>
        <w:bidi w:val="0"/>
        <w:jc w:val="left"/>
      </w:pPr>
      <w:r>
        <w:rPr>
          <w:rFonts w:ascii="Amiri" w:hAnsi="Amiri" w:cs="Amiri" w:eastAsia="Amiri"/>
          <w:b w:val="0"/>
          <w:i w:val="0"/>
          <w:color w:val="1F2937"/>
          <w:sz w:val="24"/>
          <w:szCs w:val="28"/>
        </w:rPr>
        <w:t>Dan hendaklah ia menenangkan sisi-sisi tekadnya dari kesewenang-wenangan pelarian. Penutupnya berbunyi ‘litakun takuunu al-imaarata amruhu’; secara leksikal memuat ‘agar/hendaklah menjadi’, ‘kepemimpinan’, dan ‘urusannya’, tetapi hubungan gramatikalnya belum dapat ditetapkan.</w:t>
      </w:r>
    </w:p>
    <w:p>
      <w:pPr>
        <w:spacing w:before="40" w:after="100" w:line="269" w:lineRule="auto"/>
        <w:bidi w:val="0"/>
        <w:jc w:val="left"/>
      </w:pPr>
      <w:r>
        <w:rPr>
          <w:rFonts w:ascii="Amiri" w:hAnsi="Amiri" w:cs="Amiri" w:eastAsia="Amiri"/>
          <w:b w:val="0"/>
          <w:i w:val="0"/>
          <w:color w:val="1F2937"/>
          <w:sz w:val="24"/>
          <w:szCs w:val="28"/>
        </w:rPr>
        <w:t>Dan ketekunan menghendakinya bersifat menguasai dan menundukkan. Hal itu disebabkan oleh dua sebab.</w:t>
      </w:r>
    </w:p>
    <w:p>
      <w:pPr>
        <w:spacing w:before="40" w:after="100" w:line="269" w:lineRule="auto"/>
        <w:bidi w:val="0"/>
        <w:jc w:val="left"/>
      </w:pPr>
      <w:r>
        <w:rPr>
          <w:rFonts w:ascii="Amiri" w:hAnsi="Amiri" w:cs="Amiri" w:eastAsia="Amiri"/>
          <w:b w:val="0"/>
          <w:i w:val="0"/>
          <w:color w:val="1F2937"/>
          <w:sz w:val="24"/>
          <w:szCs w:val="28"/>
        </w:rPr>
        <w:t>Yang pertama ialah akalnya terhijab oleh syahwat-syahwat. Yang lainnya ialah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menjadi buta untuk menyaksikan ruh-ruh iman, jiwa tetap terhijab dari kedua cahaya dan kosong dari kedua rahasia.</w:t>
      </w:r>
    </w:p>
    <w:p>
      <w:pPr>
        <w:spacing w:before="40" w:after="100" w:line="269" w:lineRule="auto"/>
        <w:bidi w:val="0"/>
        <w:jc w:val="left"/>
      </w:pPr>
      <w:r>
        <w:rPr>
          <w:rFonts w:ascii="Amiri" w:hAnsi="Amiri" w:cs="Amiri" w:eastAsia="Amiri"/>
          <w:b w:val="0"/>
          <w:i w:val="0"/>
          <w:color w:val="1F2937"/>
          <w:sz w:val="24"/>
          <w:szCs w:val="28"/>
        </w:rPr>
        <w:t>Lalu ia memasuki medan riyadhah dengan kesungguhan penuh dan upaya sekuat-kuatnya; kemudian keadaannya terbagi menjadi tiga golongan.</w:t>
      </w:r>
    </w:p>
    <w:p>
      <w:pPr>
        <w:spacing w:before="40" w:after="100" w:line="269" w:lineRule="auto"/>
        <w:bidi w:val="0"/>
        <w:jc w:val="left"/>
      </w:pPr>
      <w:r>
        <w:rPr>
          <w:rFonts w:ascii="Amiri" w:hAnsi="Amiri" w:cs="Amiri" w:eastAsia="Amiri"/>
          <w:b w:val="0"/>
          <w:i w:val="0"/>
          <w:color w:val="1F2937"/>
          <w:sz w:val="24"/>
          <w:szCs w:val="28"/>
        </w:rPr>
        <w:t>Golongan pertama: adakalanya ia menuntaskan amalnya dengannya dalam keadaan indra-indranya terganggu, sehingga ia melalaikan amal-amal syariat dan tugas-tugas rabbani, serta menganggap hal itu lebih utama. Orang demikian, menurut penulis, tidak lagi dibukakan jalan dalam amal-amal lainnya sesudah itu.</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Tidak ada petunjuk praktik pada halaman ini: tidak ditemukan kata perintah kerja (</w:t>
      </w:r>
      <w:r>
        <w:rPr>
          <w:rFonts w:ascii="Amiri" w:hAnsi="Amiri" w:cs="Amiri" w:eastAsia="Amiri"/>
          <w:b w:val="0"/>
          <w:i w:val="0"/>
          <w:color w:val="1F2937"/>
          <w:sz w:val="28"/>
          <w:szCs w:val="32"/>
          <w:rtl/>
        </w:rPr>
        <w:t>اكتب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اقرأ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صل</w:t>
      </w:r>
      <w:r>
        <w:rPr>
          <w:rFonts w:ascii="Amiri" w:hAnsi="Amiri" w:cs="Amiri" w:eastAsia="Amiri"/>
          <w:b w:val="0"/>
          <w:i w:val="0"/>
          <w:color w:val="1F2937"/>
          <w:sz w:val="24"/>
          <w:szCs w:val="28"/>
        </w:rPr>
        <w:t>) pada bagian ARAB. Isi halaman berupa penjelasan, pujian, atau daftar nama, jadi bagian ini secara eksplisit menyatakan «tidak ada praktik».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ekstrak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ekstrak/pembacaan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وَمَاتَنَاسَلَ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وَاخْوِقْلَهُ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يَحْىِ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وَافَقَ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 [Wafaq 5x5: lihat tabel aslinya pada gambar halaman 58.]</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dengan hak orang pilihan-Mu Nuh serta bahteranya, dan (keturunan) yang beranak-pinak di antara keduanya dari para nabi dan rasul: sembuhkanlah aku dengan kesembuhan-Mu, obatilah aku dengan obat-Mu, sehatkanlah aku dengan kesehatan-Mu dan pemberian kesehatan-Mu, karena sesungguhnya Engkaulah yang tidak ada tuhan selain Engkau dan tidak ada tuhan selain Engkau. Semoga Allah melimpahkan selawat kepada tuan kami Muhammad, keluarganya, dan para sahabatnya.</w:t>
      </w:r>
    </w:p>
    <w:p>
      <w:pPr>
        <w:spacing w:before="40" w:after="100" w:line="269" w:lineRule="auto"/>
        <w:bidi w:val="0"/>
        <w:jc w:val="left"/>
      </w:pPr>
      <w:r>
        <w:rPr>
          <w:rFonts w:ascii="Amiri" w:hAnsi="Amiri" w:cs="Amiri" w:eastAsia="Amiri"/>
          <w:b w:val="0"/>
          <w:i w:val="0"/>
          <w:color w:val="1F2937"/>
          <w:sz w:val="24"/>
          <w:szCs w:val="28"/>
        </w:rPr>
        <w:t xml:space="preserve">Wafaq (rajah angka) 5×5 pada halaman 58, dengan judul «Mukhammas untuk segala penyakit, (semoga) ia hidup dan sembuh». Angka yang terbaca, baris demi baris (kanan ke kiri):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Saya tidak menggambar ulang kotak, garis, dan susunan sel; bentuk aslinya wajib diambil dari gambar halaman 58.</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58):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Wafaq ini TIDAK saya gambar ulang dan bentuk kotaknya hanya boleh diambil dari gambar asli halaman 58; angka yang terbaca saya catat sebagai catatan, bukan sebagai anjuran.</w:t>
      </w:r>
    </w:p>
    <w:p>
      <w:pPr>
        <w:bidi w:val="0"/>
        <w:spacing w:before="120" w:after="60"/>
        <w:jc w:val="center"/>
      </w:pPr>
      <w:r>
        <w:drawing>
          <wp:inline xmlns:a="http://schemas.openxmlformats.org/drawingml/2006/main" xmlns:pic="http://schemas.openxmlformats.org/drawingml/2006/picture">
            <wp:extent cx="5580000" cy="2815397"/>
            <wp:docPr id="1" name="Picture 1"/>
            <wp:cNvGraphicFramePr>
              <a:graphicFrameLocks noChangeAspect="1"/>
            </wp:cNvGraphicFramePr>
            <a:graphic>
              <a:graphicData uri="http://schemas.openxmlformats.org/drawingml/2006/picture">
                <pic:pic>
                  <pic:nvPicPr>
                    <pic:cNvPr id="0" name="58.jpg"/>
                    <pic:cNvPicPr/>
                  </pic:nvPicPr>
                  <pic:blipFill>
                    <a:blip r:embed="rId11"/>
                    <a:stretch>
                      <a:fillRect/>
                    </a:stretch>
                  </pic:blipFill>
                  <pic:spPr>
                    <a:xfrm>
                      <a:off x="0" y="0"/>
                      <a:ext cx="5580000" cy="281539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58 — crop presisi kiriman pengguna; nama berkas sama dengan halaman tujuan; bukan ekstraksi FINAL KHATAM dan bukan gambar ulang]</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saya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يَحِىّ</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وَيُشْفَى</w:t>
      </w:r>
      <w:r>
        <w:rPr>
          <w:rFonts w:ascii="Amiri" w:hAnsi="Amiri" w:cs="Amiri" w:eastAsia="Amiri"/>
          <w:b w:val="0"/>
          <w:i w:val="0"/>
          <w:color w:val="1F2937"/>
          <w:sz w:val="24"/>
          <w:szCs w:val="28"/>
        </w:rPr>
        <w:t>». Sel yang tidak pasti: sudut kiri-bawah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(bisa </w:t>
      </w:r>
      <w:r>
        <w:rPr>
          <w:rFonts w:ascii="Amiri" w:hAnsi="Amiri" w:cs="Amiri" w:eastAsia="Amiri"/>
          <w:b w:val="0"/>
          <w:i w:val="0"/>
          <w:color w:val="1F2937"/>
          <w:sz w:val="28"/>
          <w:szCs w:val="32"/>
          <w:rtl/>
        </w:rPr>
        <w:t>١٤</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١٣٤</w:t>
      </w:r>
      <w:r>
        <w:rPr>
          <w:rFonts w:ascii="Amiri" w:hAnsi="Amiri" w:cs="Amiri" w:eastAsia="Amiri"/>
          <w:b w:val="0"/>
          <w:i w:val="0"/>
          <w:color w:val="1F2937"/>
          <w:sz w:val="24"/>
          <w:szCs w:val="28"/>
        </w:rPr>
        <w:t>); sel tengah bertuliskan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Angka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berulang dan tampak sebagai kode, bukan hasil hitungan yang dapat saya periksa. Wafaq ini praktik yang dinisbatkan kepada penulis, bukan jaminan medis, dan tidak disajikan sebagai anjuran. Harakat dan tanda baca Arab bersifat editorial; kata dan angka yang tidak pasti dibiarkan apa adanya dan dicatat di audit.</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Pr>
        <w:t>)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ظَهْرِهَا</w:t>
      </w:r>
      <w:r>
        <w:rPr>
          <w:rFonts w:ascii="Amiri" w:hAnsi="Amiri" w:cs="Amiri" w:eastAsia="Amiri"/>
          <w:b w:val="0"/>
          <w:i/>
          <w:color w:val="1F2937"/>
          <w:sz w:val="38"/>
          <w:szCs w:val="42"/>
          <w:iCs/>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 [gambar/lambang — lihat pindaian halaman 65].</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ditulis pada mangkuk porselen Cina dengan za‘faran dan air mawar, lalu dipanaskan dengan air sumur yang tidak pernah terkena matahari dan bulan. Dengan nama Allah Yang Maha Pengasih dan Maha Penyayang. «Itu adalah keringanan dari Tuhanmu dan rahmat»; «Allah hendak meringankan (beban)mu, dan manusia diciptakan dalam keadaan lemah»; «Dan milik-Nya apa yang diam (berada) pada malam dan siang, dan Dialah Yang Maha Mendengar lagi Maha Mengetahui; dan jika Dia menghendaki, Dia jadikan ia diam»; «Jika Dia menghendaki, Dia diamkan angin, sehingga (bahtera) itu tertahan di permukaannya».</w:t>
      </w:r>
    </w:p>
    <w:p>
      <w:pPr>
        <w:spacing w:before="40" w:after="100" w:line="269" w:lineRule="auto"/>
        <w:bidi w:val="0"/>
        <w:jc w:val="left"/>
      </w:pPr>
      <w:r>
        <w:rPr>
          <w:rFonts w:ascii="Amiri" w:hAnsi="Amiri" w:cs="Amiri" w:eastAsia="Amiri"/>
          <w:b w:val="0"/>
          <w:i w:val="0"/>
          <w:color w:val="1F2937"/>
          <w:sz w:val="24"/>
          <w:szCs w:val="28"/>
        </w:rPr>
        <w:t xml:space="preserve">Alif Lam Mim, Alif Lam Mim Shad, Alif Lam Mim Ra, Alif Lam Ra, Alif Lam Mim Ra, Kaf Ha Ya ‘Ain Shad, Tha Ha, Tha Sin Mim, Alif Lam Mim (lima kali), Ya Sin, Shad, Ha Mim, Ha Mim ‘Ain Sin Qaf, Ha Mim, Qaf, Nun. «Dengan nama Allah yang tidak ada sesuatu pun yang dapat membahayakan bersama nama-Nya, baik di bumi maupun di langit», dan dijadikan padanya rahmat dan kesembuhan. Ya Allah, sembuhkanlah aku; Engkaulah Yang Menyembuhkan, Yang Memberi kesehatan dari segala penyakit dan sakit, dengan kesembuhan yang tidak meninggalkan penyakit maupun rasa sakit, dengan (nama) Yang tiada daya dan kekuatan kecuali dengan (pertolongan) Allah Yang Mahatinggi lagi Mahaagung. Semoga Allah melimpahkan selawat kepada tuan kami Muhammad, keluarganya, dan para sahabatnya seluruhnya.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[gambar/lambang — lihat pindaian halaman 65].</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menulis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bidi w:val="0"/>
        <w:spacing w:before="120" w:after="60"/>
        <w:jc w:val="center"/>
      </w:pPr>
      <w:r>
        <w:drawing>
          <wp:inline xmlns:a="http://schemas.openxmlformats.org/drawingml/2006/main" xmlns:pic="http://schemas.openxmlformats.org/drawingml/2006/picture">
            <wp:extent cx="5580000" cy="865567"/>
            <wp:docPr id="2" name="Picture 2"/>
            <wp:cNvGraphicFramePr>
              <a:graphicFrameLocks noChangeAspect="1"/>
            </wp:cNvGraphicFramePr>
            <a:graphic>
              <a:graphicData uri="http://schemas.openxmlformats.org/drawingml/2006/picture">
                <pic:pic>
                  <pic:nvPicPr>
                    <pic:cNvPr id="0" name="65.jpg"/>
                    <pic:cNvPicPr/>
                  </pic:nvPicPr>
                  <pic:blipFill>
                    <a:blip r:embed="rId12"/>
                    <a:stretch>
                      <a:fillRect/>
                    </a:stretch>
                  </pic:blipFill>
                  <pic:spPr>
                    <a:xfrm>
                      <a:off x="0" y="0"/>
                      <a:ext cx="5580000" cy="865567"/>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65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 xml:space="preserve">RAJAH HAL.65 —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 deretan lambang garis dan bintang di kaki halaman</w:t>
      </w:r>
    </w:p>
    <w:p>
      <w:pPr>
        <w:spacing w:before="40" w:after="100" w:line="269" w:lineRule="auto"/>
        <w:bidi w:val="0"/>
        <w:jc w:val="left"/>
      </w:pPr>
      <w:r>
        <w:rPr>
          <w:rFonts w:ascii="Amiri" w:hAnsi="Amiri" w:cs="Amiri" w:eastAsia="Amiri"/>
          <w:b/>
          <w:i w:val="0"/>
          <w:color w:val="1F2937"/>
          <w:sz w:val="24"/>
          <w:szCs w:val="28"/>
          <w:bCs/>
        </w:rPr>
        <w:t>WAFAQ HAL.65 — khatam Sulaiman, salinan linear (Amiri 14pt Bold) — usulan transparan, bukan pengesahan</w:t>
      </w:r>
    </w:p>
    <w:tbl>
      <w:tblPr>
        <w:tblStyle w:val="TableGrid"/>
        <w:tblW w:type="auto" w:w="0"/>
        <w:tblLook w:firstColumn="1" w:firstRow="1" w:lastColumn="0" w:lastRow="0" w:noHBand="0" w:noVBand="1" w:val="04A0"/>
        <w:jc w:val="center"/>
      </w:tblPr>
      <w:tblGrid>
        <w:gridCol w:w="4819"/>
        <w:gridCol w:w="4819"/>
      </w:tblGrid>
      <w:tr>
        <w:tc>
          <w:tcPr>
            <w:tcW w:type="dxa" w:w="4819"/>
            <w:vAlign w:val="center"/>
          </w:tcPr>
          <w:p>
            <w:pPr>
              <w:spacing w:before="40" w:after="40"/>
              <w:jc w:val="center"/>
              <w:bidi w:val="1"/>
            </w:pP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p>
        </w:tc>
        <w:tc>
          <w:tcPr>
            <w:tcW w:type="dxa" w:w="4819"/>
            <w:vAlign w:val="center"/>
          </w:tcPr>
          <w:p>
            <w:pPr>
              <w:spacing w:before="40" w:after="40"/>
              <w:jc w:val="center"/>
              <w:bidi w:val="0"/>
            </w:pPr>
            <w:r>
              <w:rPr>
                <w:rFonts w:ascii="Amiri" w:hAnsi="Amiri" w:cs="Amiri" w:eastAsia="Amiri"/>
                <w:b/>
                <w:i w:val="0"/>
                <w:color w:val="1F2937"/>
                <w:sz w:val="24"/>
                <w:szCs w:val="28"/>
                <w:bCs/>
              </w:rPr>
              <w:t xml:space="preserve">☆ ❘❘❘ ⚏ ❘❘❘❘ △ </w:t>
            </w:r>
            <w:r>
              <w:rPr>
                <w:rFonts w:ascii="Amiri" w:hAnsi="Amiri" w:cs="Amiri" w:eastAsia="Amiri"/>
                <w:b/>
                <w:i w:val="0"/>
                <w:color w:val="1F2937"/>
                <w:sz w:val="28"/>
                <w:szCs w:val="32"/>
                <w:bCs/>
                <w:rtl/>
              </w:rPr>
              <w:t>؟</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ﮒ</w:t>
            </w:r>
            <w:r>
              <w:rPr>
                <w:rFonts w:ascii="Amiri" w:hAnsi="Amiri" w:cs="Amiri" w:eastAsia="Amiri"/>
                <w:b/>
                <w:i w:val="0"/>
                <w:color w:val="1F2937"/>
                <w:sz w:val="24"/>
                <w:szCs w:val="28"/>
                <w:bCs/>
              </w:rPr>
              <w:t xml:space="preserve"> ☆</w:t>
            </w: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Transkripsi ini pencatatan bentuk, bukan rekonstruksi. Tiga sampai lima garis tegak dan pagar silang tidak dapat dipastikan sebagai angka Arab; tanda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berarti belum pasti. Gambar adalah potongan pindaian asli, bukan gambar ulang. Bukan pengesahan dan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saya 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menyatakannya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saya, bukan koreksi teks.</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saya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 xml:space="preserve">Waktu: tidak disebutkan dalam sumber unit ini : Media: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Pr>
        <w:t xml:space="preserve"> )</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عَلَيْكَ</w:t>
      </w:r>
    </w:p>
    <w:p>
      <w:pPr>
        <w:spacing w:before="40" w:after="100" w:line="269" w:lineRule="auto"/>
        <w:bidi w:val="1"/>
        <w:jc w:val="start"/>
      </w:pP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الْأَسْقَامِ</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الْأَذَى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وَتُحْمَى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وَتُشْفَى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يُنَاسِبُ</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جَدْوَلُ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وَخُطُوطٌ</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٦٦</w:t>
      </w:r>
      <w:r>
        <w:rPr>
          <w:rFonts w:ascii="Amiri" w:hAnsi="Amiri" w:cs="Amiri" w:eastAsia="Amiri"/>
          <w:b w:val="0"/>
          <w:i w:val="0"/>
          <w:color w:val="1F2937"/>
          <w:sz w:val="38"/>
          <w:szCs w:val="42"/>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 [Gambar besar: tabel huruf dan garis — lihat pindaian halaman 66.]</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Aku berlindung dengan kalimat-kalimat Allah yang sempurna dari setiap setan dan hewan berbisa, dari keburukan setiap mata yang menimpa, dari keburukan para peniup pada simpul-simpul ikatan, dari keburukan orang yang dengki apabila ia dengki, dari keburukan orang yang mengikat (menyihir) dengan penyakit, dan dari keburukan yang datang pada malam dan siang, kecuali yang datang membawa kebaikan dari-Mu, wahai Yang Maha Pengasih. Aku berlindung dengan pemaafan-Mu dari siksa-Mu, dengan keridaan-Mu dari murka-Mu, aku berlindung kepada-Mu dari (murka)-Mu, dan aku berlindung kepada-Mu menuju-Mu; aku tidak mampu menghitung pujian atas-Mu.</w:t>
      </w:r>
    </w:p>
    <w:p>
      <w:pPr>
        <w:spacing w:before="40" w:after="100" w:line="269" w:lineRule="auto"/>
        <w:bidi w:val="0"/>
        <w:jc w:val="left"/>
      </w:pPr>
      <w:r>
        <w:rPr>
          <w:rFonts w:ascii="Amiri" w:hAnsi="Amiri" w:cs="Amiri" w:eastAsia="Amiri"/>
          <w:b w:val="0"/>
          <w:i w:val="0"/>
          <w:color w:val="1F2937"/>
          <w:sz w:val="24"/>
          <w:szCs w:val="28"/>
        </w:rPr>
        <w:t>«Untuk kesembuhan dari segala penyakit dan seluruh sakit»: untuk penyakit-penyakit yang tidak mampu ditangani para tabib, ditulis, dipanaskan, dan (dikatakan) disembuhkan serta digantung; inilah yang ditulis, bersamanya ayat-ayat kesembuhan dan yang sesuai. [Di bawahnya tercetak rajah besar berisi kolom huruf dan garis — tidak saya gambar ulang; bentuk aslinya ada pada pindaian halaman 66.]</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dari sumber (halaman 66):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 Rajah tidak digambar ulang; hanya dari pindaian. Dinisbatkan pada penulis, tanpa jaminan.</w:t>
      </w:r>
    </w:p>
    <w:p>
      <w:pPr>
        <w:bidi w:val="0"/>
        <w:spacing w:before="120" w:after="60"/>
        <w:jc w:val="center"/>
      </w:pPr>
      <w:r>
        <w:drawing>
          <wp:inline xmlns:a="http://schemas.openxmlformats.org/drawingml/2006/main" xmlns:pic="http://schemas.openxmlformats.org/drawingml/2006/picture">
            <wp:extent cx="5277430" cy="3780000"/>
            <wp:docPr id="3" name="Picture 3"/>
            <wp:cNvGraphicFramePr>
              <a:graphicFrameLocks noChangeAspect="1"/>
            </wp:cNvGraphicFramePr>
            <a:graphic>
              <a:graphicData uri="http://schemas.openxmlformats.org/drawingml/2006/picture">
                <pic:pic>
                  <pic:nvPicPr>
                    <pic:cNvPr id="0" name="66.jpg"/>
                    <pic:cNvPicPr/>
                  </pic:nvPicPr>
                  <pic:blipFill>
                    <a:blip r:embed="rId13"/>
                    <a:stretch>
                      <a:fillRect/>
                    </a:stretch>
                  </pic:blipFill>
                  <pic:spPr>
                    <a:xfrm>
                      <a:off x="0" y="0"/>
                      <a:ext cx="5277430"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66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HAL.66 — wafaq berpetak — bingkai 1 tingkat, 3 lajur (sempit–lebar–sempit) × 3 baris; petak tengah berisi panel berbingkai ganda</w:t>
      </w:r>
    </w:p>
    <w:p>
      <w:pPr>
        <w:spacing w:before="40" w:after="100" w:line="269" w:lineRule="auto"/>
        <w:bidi w:val="0"/>
        <w:jc w:val="left"/>
      </w:pPr>
      <w:r>
        <w:rPr>
          <w:rFonts w:ascii="Amiri" w:hAnsi="Amiri" w:cs="Amiri" w:eastAsia="Amiri"/>
          <w:b/>
          <w:i w:val="0"/>
          <w:color w:val="1F2937"/>
          <w:sz w:val="24"/>
          <w:szCs w:val="28"/>
          <w:bCs/>
        </w:rPr>
        <w:t>WAFAQ HAL.66 — Amiri 14pt Bold — Tabel ini pencatatan bentuk per petak, bukan rekonstruksi dan bukan penafsiran. Urutan kolom mengikuti arah ba</w:t>
      </w:r>
    </w:p>
    <w:tbl>
      <w:tblPr>
        <w:tblStyle w:val="TableGrid"/>
        <w:tblW w:type="auto" w:w="0"/>
        <w:tblLook w:firstColumn="1" w:firstRow="1" w:lastColumn="0" w:lastRow="0" w:noHBand="0" w:noVBand="1" w:val="04A0"/>
        <w:jc w:val="center"/>
      </w:tblPr>
      <w:tblGrid>
        <w:gridCol w:w="3213"/>
        <w:gridCol w:w="3213"/>
        <w:gridCol w:w="3213"/>
      </w:tblGrid>
      <w:tr>
        <w:tc>
          <w:tcPr>
            <w:tcW w:type="dxa" w:w="3213"/>
            <w:vAlign w:val="center"/>
          </w:tcPr>
          <w:p>
            <w:pPr>
              <w:spacing w:before="40" w:after="40"/>
              <w:jc w:val="center"/>
              <w:bidi w:val="0"/>
            </w:pPr>
            <w:r>
              <w:rPr>
                <w:rFonts w:ascii="Amiri" w:hAnsi="Amiri" w:cs="Amiri" w:eastAsia="Amiri"/>
                <w:b/>
                <w:i w:val="0"/>
                <w:color w:val="1F2937"/>
                <w:sz w:val="24"/>
                <w:szCs w:val="28"/>
                <w:bCs/>
              </w:rPr>
              <w:t>Lajur kanan (sempit)</w:t>
            </w:r>
          </w:p>
        </w:tc>
        <w:tc>
          <w:tcPr>
            <w:tcW w:type="dxa" w:w="3213"/>
            <w:vAlign w:val="center"/>
          </w:tcPr>
          <w:p>
            <w:pPr>
              <w:spacing w:before="40" w:after="40"/>
              <w:jc w:val="center"/>
              <w:bidi w:val="0"/>
            </w:pPr>
            <w:r>
              <w:rPr>
                <w:rFonts w:ascii="Amiri" w:hAnsi="Amiri" w:cs="Amiri" w:eastAsia="Amiri"/>
                <w:b/>
                <w:i w:val="0"/>
                <w:color w:val="1F2937"/>
                <w:sz w:val="24"/>
                <w:szCs w:val="28"/>
                <w:bCs/>
              </w:rPr>
              <w:t>Lajur tengah (lebar)</w:t>
            </w:r>
          </w:p>
        </w:tc>
        <w:tc>
          <w:tcPr>
            <w:tcW w:type="dxa" w:w="3213"/>
            <w:vAlign w:val="center"/>
          </w:tcPr>
          <w:p>
            <w:pPr>
              <w:spacing w:before="40" w:after="40"/>
              <w:jc w:val="center"/>
              <w:bidi w:val="0"/>
            </w:pPr>
            <w:r>
              <w:rPr>
                <w:rFonts w:ascii="Amiri" w:hAnsi="Amiri" w:cs="Amiri" w:eastAsia="Amiri"/>
                <w:b/>
                <w:i w:val="0"/>
                <w:color w:val="1F2937"/>
                <w:sz w:val="24"/>
                <w:szCs w:val="28"/>
                <w:bCs/>
              </w:rPr>
              <w:t>Lajur kiri (sempit)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satu lambung berekor (angka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gaya Maghribi)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 dua angka; urutan belum pasti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٦٤</w:t>
            </w:r>
            <w:r>
              <w:rPr>
                <w:rFonts w:ascii="Amiri" w:hAnsi="Amiri" w:cs="Amiri" w:eastAsia="Amiri"/>
                <w:b/>
                <w:i w:val="0"/>
                <w:color w:val="1F2937"/>
                <w:sz w:val="24"/>
                <w:szCs w:val="28"/>
                <w:bCs/>
              </w:rPr>
              <w:t>)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١٥</w:t>
            </w:r>
            <w:r>
              <w:rPr>
                <w:rFonts w:ascii="Amiri" w:hAnsi="Amiri" w:cs="Amiri" w:eastAsia="Amiri"/>
                <w:b/>
                <w:i w:val="0"/>
                <w:color w:val="1F2937"/>
                <w:sz w:val="24"/>
                <w:szCs w:val="28"/>
                <w:bCs/>
              </w:rPr>
              <w:t xml:space="preserve"> · keyakinan sedang · di luar bingkai kiri: «</w:t>
            </w:r>
            <w:r>
              <w:rPr>
                <w:rFonts w:ascii="Amiri" w:hAnsi="Amiri" w:cs="Amiri" w:eastAsia="Amiri"/>
                <w:b/>
                <w:i w:val="0"/>
                <w:color w:val="1F2937"/>
                <w:sz w:val="28"/>
                <w:szCs w:val="32"/>
                <w:bCs/>
                <w:rtl/>
              </w:rPr>
              <w:t>ورط</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٢</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٥</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٢٥</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PANEL BERPINGKAI GANDA: (a) lima tanda sejenis berjajar (segitiga-bulat berekor panjang); (b) kotak bergaris berisi dua baris tanda pendek + garis tegak berkait; (c) kotak kecil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Tidak terbaca sebagai kata Arab · struktur sedang, isi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r>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٦</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٤٦</w:t>
            </w:r>
            <w:r>
              <w:rPr>
                <w:rFonts w:ascii="Amiri" w:hAnsi="Amiri" w:cs="Amiri" w:eastAsia="Amiri"/>
                <w:b/>
                <w:i w:val="0"/>
                <w:color w:val="1F2937"/>
                <w:sz w:val="24"/>
                <w:szCs w:val="28"/>
                <w:bCs/>
              </w:rPr>
              <w:t xml:space="preserve"> · keyakinan sedang</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٠</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٤٠</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c>
          <w:tcPr>
            <w:tcW w:type="dxa" w:w="3213"/>
            <w:vAlign w:val="center"/>
          </w:tcPr>
          <w:p>
            <w:pPr>
              <w:spacing w:before="40" w:after="40"/>
              <w:jc w:val="center"/>
              <w:bidi w:val="0"/>
            </w:pPr>
            <w:r>
              <w:rPr>
                <w:rFonts w:ascii="Amiri" w:hAnsi="Amiri" w:cs="Amiri" w:eastAsia="Amiri"/>
                <w:b/>
                <w:i w:val="0"/>
                <w:color w:val="1F2937"/>
                <w:sz w:val="24"/>
                <w:szCs w:val="28"/>
                <w:bCs/>
              </w:rPr>
              <w:t>«</w:t>
            </w:r>
            <w:r>
              <w:rPr>
                <w:rFonts w:ascii="Amiri" w:hAnsi="Amiri" w:cs="Amiri" w:eastAsia="Amiri"/>
                <w:b/>
                <w:i w:val="0"/>
                <w:color w:val="1F2937"/>
                <w:sz w:val="28"/>
                <w:szCs w:val="32"/>
                <w:bCs/>
                <w:rtl/>
              </w:rPr>
              <w:t>٤</w:t>
            </w:r>
            <w:r>
              <w:rPr>
                <w:rFonts w:ascii="Amiri" w:hAnsi="Amiri" w:cs="Amiri" w:eastAsia="Amiri"/>
                <w:b/>
                <w:i w:val="0"/>
                <w:color w:val="1F2937"/>
                <w:sz w:val="24"/>
                <w:szCs w:val="28"/>
                <w:bCs/>
              </w:rPr>
              <w:t>» + «</w:t>
            </w:r>
            <w:r>
              <w:rPr>
                <w:rFonts w:ascii="Amiri" w:hAnsi="Amiri" w:cs="Amiri" w:eastAsia="Amiri"/>
                <w:b/>
                <w:i w:val="0"/>
                <w:color w:val="1F2937"/>
                <w:sz w:val="28"/>
                <w:szCs w:val="32"/>
                <w:bCs/>
                <w:rtl/>
              </w:rPr>
              <w:t>١</w:t>
            </w:r>
            <w:r>
              <w:rPr>
                <w:rFonts w:ascii="Amiri" w:hAnsi="Amiri" w:cs="Amiri" w:eastAsia="Amiri"/>
                <w:b/>
                <w:i w:val="0"/>
                <w:color w:val="1F2937"/>
                <w:sz w:val="24"/>
                <w:szCs w:val="28"/>
                <w:bCs/>
              </w:rPr>
              <w:t>» (</w:t>
            </w:r>
            <w:r>
              <w:rPr>
                <w:rFonts w:ascii="Amiri" w:hAnsi="Amiri" w:cs="Amiri" w:eastAsia="Amiri"/>
                <w:b/>
                <w:i w:val="0"/>
                <w:color w:val="1F2937"/>
                <w:sz w:val="28"/>
                <w:szCs w:val="32"/>
                <w:bCs/>
                <w:rtl/>
              </w:rPr>
              <w:t>؟</w:t>
            </w:r>
            <w:r>
              <w:rPr>
                <w:rFonts w:ascii="Amiri" w:hAnsi="Amiri" w:cs="Amiri" w:eastAsia="Amiri"/>
                <w:b/>
                <w:i w:val="0"/>
                <w:color w:val="1F2937"/>
                <w:sz w:val="24"/>
                <w:szCs w:val="28"/>
                <w:bCs/>
              </w:rPr>
              <w:t>) · keyakinan rendah</w:t>
            </w:r>
          </w:p>
        </w:tc>
      </w:tr>
    </w:tbl>
    <w:p>
      <w:pPr>
        <w:spacing w:after="40"/>
      </w:pPr>
    </w:p>
    <w:p>
      <w:pPr>
        <w:spacing w:before="40" w:after="100" w:line="269" w:lineRule="auto"/>
        <w:bidi w:val="0"/>
        <w:jc w:val="left"/>
      </w:pPr>
      <w:r>
        <w:rPr>
          <w:rFonts w:ascii="Amiri" w:hAnsi="Amiri" w:cs="Amiri" w:eastAsia="Amiri"/>
          <w:b w:val="0"/>
          <w:i w:val="0"/>
          <w:color w:val="1F2937"/>
          <w:sz w:val="24"/>
          <w:szCs w:val="28"/>
        </w:rPr>
        <w:t>Wafaq berpetak, bukan deret lambang. Yang dapat dipastikan dengan keyakinan sedang–tinggi: jumlah garis bingkai, 3 lajur × 3 baris, adanya panel berbingkai ganda di petak tengah, dan adanya angka (bukan kata) di petak-petak sisi. Yang rendah keyakinannya: nilai tiap angka dan urutan satuannya, serta isi panel. Tidak ada angka/huruf yang dikarang, tidak digambar ulang, tidak ditafsirkan sebagai ayat atau nama, bukan pengesahan, tidak dianjurkan dipakai. Revisi 2: pembacaan per sel menggantikan penanda «tidak terbaca» pada sel yang sebenarnya memuat angka.</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saya tidak memverifikasi sanadnya.</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saya hanya menyebut keberadaannya.</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doa perlindungan (ta‘awwudz); bagian «untuk kesembuhan dari segala penyakit» yang ditulis; rajah besar bergambar (kolom-kolom berisi huruf dan garis)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وَرَفْعَةً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Pr>
        <w:t xml:space="preserve"> </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السَّبْعَةُ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Pr>
        <w:t xml:space="preserve"> </w:t>
      </w:r>
      <w:r>
        <w:rPr>
          <w:rFonts w:ascii="Amiri" w:hAnsi="Amiri" w:cs="Amiri" w:eastAsia="Amiri"/>
          <w:b w:val="0"/>
          <w:i w:val="0"/>
          <w:color w:val="1F2937"/>
          <w:sz w:val="42"/>
          <w:szCs w:val="46"/>
          <w:rtl/>
        </w:rPr>
        <w:t>الْأَسْمَاءُ</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سَطْرُ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٦٧</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وَفَاسُوخَ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وَمُسْتَكَةً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وَنُخَلِّفُهُ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[Gambar: baris huruf dan bentuk — lihat pindaian halaman 67.] 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membatalkan sihir dan melepaskan (orang) yang terikat. Tulislah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berikut pada tujuh lembar kertas putih, dan letakkan pada setiap lembar: jawi, lubbān (kemenyan jantan), mastika, dan kayu ‘ūd; lalu angkat ke api agar asapnya mengenai orang yang tersihir atau terikat, dan bacakan surah Yasin padanya — (Yasin, demi Al-Qur’an yang penuh hikmah) yang pertama dan yang kedua sampai (mubīn) yang kedua, dan demikian seterusnya sampai tujuh lembar itu habis hingga akhir surah — maka orang yang tersihir dan yang terikat akan sembuh dengan izin Allah—Mahatinggi—dan inilah nama-namanya.</w:t>
      </w:r>
    </w:p>
    <w:p>
      <w:pPr>
        <w:spacing w:before="40" w:after="100" w:line="269" w:lineRule="auto"/>
        <w:bidi w:val="0"/>
        <w:jc w:val="left"/>
      </w:pPr>
      <w:r>
        <w:rPr>
          <w:rFonts w:ascii="Amiri" w:hAnsi="Amiri" w:cs="Amiri" w:eastAsia="Amiri"/>
          <w:b w:val="0"/>
          <w:i w:val="0"/>
          <w:color w:val="1F2937"/>
          <w:sz w:val="24"/>
          <w:szCs w:val="28"/>
        </w:rPr>
        <w:t>[Di atas bagian ini tercetak rajah berisi huruf dan bentuk; tidak saya gambar ulang.] «Untuk membatalkan sihir, menolak ‘āridh, dan melepaskan yang terikat»: tulislah yang berikut pada tiga lembar kertas, dan letakkan padanya bahan bakaran: habbat al-barakah, fāsūkh Maghribi, pohon Maryam, mastika, kundur, dan sidr kering; lalu asapkan kepada orang sakit, yang tersihir, dan yang terikat, juga untuk ‘āridh dan angin merah; kami tinggalkan (sisanya) — karena ia akan sembuh dengan izin Allah—Mahatinggi—dan inilah yang «…» [bersambung ke segmen berikutnya]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67):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menulis pada tiga lembar dengan campuran bahan (habbat al-barakah, fāsūkh Maghribi, pohon Maryam, mastika, kundur, sadab kering), dibakar dan diuapkan kepada pasien. Dinisbatkan pada penulis; bukan anjuran medis.</w:t>
      </w:r>
    </w:p>
    <w:p>
      <w:pPr>
        <w:bidi w:val="0"/>
        <w:spacing w:before="120" w:after="60"/>
        <w:jc w:val="center"/>
      </w:pPr>
      <w:r>
        <w:drawing>
          <wp:inline xmlns:a="http://schemas.openxmlformats.org/drawingml/2006/main" xmlns:pic="http://schemas.openxmlformats.org/drawingml/2006/picture">
            <wp:extent cx="5580000" cy="1641003"/>
            <wp:docPr id="4" name="Picture 4"/>
            <wp:cNvGraphicFramePr>
              <a:graphicFrameLocks noChangeAspect="1"/>
            </wp:cNvGraphicFramePr>
            <a:graphic>
              <a:graphicData uri="http://schemas.openxmlformats.org/drawingml/2006/picture">
                <pic:pic>
                  <pic:nvPicPr>
                    <pic:cNvPr id="0" name="67.jpg"/>
                    <pic:cNvPicPr/>
                  </pic:nvPicPr>
                  <pic:blipFill>
                    <a:blip r:embed="rId14"/>
                    <a:stretch>
                      <a:fillRect/>
                    </a:stretch>
                  </pic:blipFill>
                  <pic:spPr>
                    <a:xfrm>
                      <a:off x="0" y="0"/>
                      <a:ext cx="5580000" cy="1641003"/>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67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HAL.67 — asror huruf hijaiyah — deret dua baris (bukan wafaq berpetak)</w:t>
      </w:r>
    </w:p>
    <w:p>
      <w:pPr>
        <w:spacing w:before="40" w:after="100" w:line="269" w:lineRule="auto"/>
        <w:bidi w:val="0"/>
        <w:jc w:val="left"/>
      </w:pPr>
      <w:r>
        <w:rPr>
          <w:rFonts w:ascii="Amiri" w:hAnsi="Amiri" w:cs="Amiri" w:eastAsia="Amiri"/>
          <w:b/>
          <w:i w:val="0"/>
          <w:color w:val="1F2937"/>
          <w:sz w:val="24"/>
          <w:szCs w:val="28"/>
          <w:bCs/>
        </w:rPr>
        <w:t>WAFAQ HAL.67 — asror huruf, revisi 2 (Amiri 14pt Bold) — usulan transparan, bukan pengesahan</w:t>
      </w:r>
    </w:p>
    <w:tbl>
      <w:tblPr>
        <w:tblStyle w:val="TableGrid"/>
        <w:tblW w:type="auto" w:w="0"/>
        <w:tblLook w:firstColumn="1" w:firstRow="1" w:lastColumn="0" w:lastRow="0" w:noHBand="0" w:noVBand="1" w:val="04A0"/>
        <w:jc w:val="center"/>
      </w:tblPr>
      <w:tblGrid>
        <w:gridCol w:w="964"/>
        <w:gridCol w:w="964"/>
        <w:gridCol w:w="964"/>
        <w:gridCol w:w="964"/>
        <w:gridCol w:w="964"/>
        <w:gridCol w:w="964"/>
        <w:gridCol w:w="964"/>
        <w:gridCol w:w="964"/>
        <w:gridCol w:w="964"/>
        <w:gridCol w:w="964"/>
      </w:tblGrid>
      <w:tr>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c>
          <w:tcPr>
            <w:tcW w:type="dxa" w:w="964"/>
            <w:vAlign w:val="center"/>
          </w:tcPr>
          <w:p>
            <w:pPr>
              <w:spacing w:before="40" w:after="40"/>
              <w:jc w:val="center"/>
              <w:bidi w:val="0"/>
            </w:pPr>
            <w:r>
              <w:rPr>
                <w:rFonts w:ascii="Amiri" w:hAnsi="Amiri" w:cs="Amiri" w:eastAsia="Amiri"/>
                <w:b/>
                <w:i w:val="0"/>
                <w:color w:val="1F2937"/>
                <w:sz w:val="24"/>
                <w:szCs w:val="28"/>
                <w:bCs/>
                <w:rtl/>
              </w:rPr>
              <w:t>ا</w:t>
            </w:r>
          </w:p>
        </w:tc>
        <w:tc>
          <w:tcPr>
            <w:tcW w:type="dxa" w:w="964"/>
            <w:vAlign w:val="center"/>
          </w:tcPr>
          <w:p>
            <w:pPr>
              <w:spacing w:before="40" w:after="40"/>
              <w:jc w:val="center"/>
              <w:bidi w:val="0"/>
            </w:pPr>
            <w:r>
              <w:rPr>
                <w:rFonts w:ascii="Amiri" w:hAnsi="Amiri" w:cs="Amiri" w:eastAsia="Amiri"/>
                <w:b/>
                <w:i w:val="0"/>
                <w:color w:val="1F2937"/>
                <w:sz w:val="24"/>
                <w:szCs w:val="28"/>
                <w:bCs/>
                <w:rtl/>
              </w:rPr>
              <w:t>ل</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ۥ</w:t>
            </w:r>
          </w:p>
        </w:tc>
        <w:tc>
          <w:tcPr>
            <w:tcW w:type="dxa" w:w="964"/>
            <w:vAlign w:val="center"/>
          </w:tcPr>
          <w:p>
            <w:pPr>
              <w:spacing w:before="40" w:after="40"/>
              <w:jc w:val="center"/>
              <w:bidi w:val="0"/>
            </w:pP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4"/>
                <w:szCs w:val="28"/>
                <w:bCs/>
                <w:rtl/>
              </w:rPr>
              <w:t>م</w:t>
            </w:r>
          </w:p>
        </w:tc>
      </w:tr>
      <w:tr>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ي</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r>
              <w:rPr>
                <w:rFonts w:ascii="Amiri" w:hAnsi="Amiri" w:cs="Amiri" w:eastAsia="Amiri"/>
                <w:b/>
                <w:i w:val="0"/>
                <w:color w:val="1F2937"/>
                <w:sz w:val="20"/>
                <w:szCs w:val="24"/>
                <w:bCs/>
              </w:rPr>
              <w:t>(</w:t>
            </w:r>
            <w:r>
              <w:rPr>
                <w:rFonts w:ascii="Amiri" w:hAnsi="Amiri" w:cs="Amiri" w:eastAsia="Amiri"/>
                <w:b/>
                <w:i w:val="0"/>
                <w:color w:val="1F2937"/>
                <w:sz w:val="24"/>
                <w:szCs w:val="28"/>
                <w:bCs/>
                <w:rtl/>
              </w:rPr>
              <w:t>ح</w:t>
            </w:r>
            <w:r>
              <w:rPr>
                <w:rFonts w:ascii="Amiri" w:hAnsi="Amiri" w:cs="Amiri" w:eastAsia="Amiri"/>
                <w:b/>
                <w:i w:val="0"/>
                <w:color w:val="1F2937"/>
                <w:sz w:val="20"/>
                <w:szCs w:val="24"/>
                <w:bCs/>
              </w:rPr>
              <w:t>/</w:t>
            </w:r>
            <w:r>
              <w:rPr>
                <w:rFonts w:ascii="Amiri" w:hAnsi="Amiri" w:cs="Amiri" w:eastAsia="Amiri"/>
                <w:b/>
                <w:i w:val="0"/>
                <w:color w:val="1F2937"/>
                <w:sz w:val="24"/>
                <w:szCs w:val="28"/>
                <w:bCs/>
                <w:rtl/>
              </w:rPr>
              <w:t>م</w:t>
            </w:r>
            <w:r>
              <w:rPr>
                <w:rFonts w:ascii="Amiri" w:hAnsi="Amiri" w:cs="Amiri" w:eastAsia="Amiri"/>
                <w:b/>
                <w:i w:val="0"/>
                <w:color w:val="1F2937"/>
                <w:sz w:val="20"/>
                <w:szCs w:val="24"/>
                <w:bCs/>
              </w:rPr>
              <w:t xml:space="preserve"> </w:t>
            </w:r>
            <w:r>
              <w:rPr>
                <w:rFonts w:ascii="Amiri" w:hAnsi="Amiri" w:cs="Amiri" w:eastAsia="Amiri"/>
                <w:b/>
                <w:i w:val="0"/>
                <w:color w:val="1F2937"/>
                <w:sz w:val="24"/>
                <w:szCs w:val="28"/>
                <w:bCs/>
                <w:rtl/>
              </w:rPr>
              <w:t>؟</w:t>
            </w:r>
            <w:r>
              <w:rPr>
                <w:rFonts w:ascii="Amiri" w:hAnsi="Amiri" w:cs="Amiri" w:eastAsia="Amiri"/>
                <w:b/>
                <w:i w:val="0"/>
                <w:color w:val="1F2937"/>
                <w:sz w:val="20"/>
                <w:szCs w:val="24"/>
                <w:bCs/>
              </w:rPr>
              <w:t>)</w:t>
            </w: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c>
          <w:tcPr>
            <w:tcW w:type="dxa" w:w="964"/>
            <w:vAlign w:val="center"/>
          </w:tcPr>
          <w:p>
            <w:pPr>
              <w:spacing w:before="40" w:after="40"/>
              <w:jc w:val="center"/>
              <w:bidi w:val="0"/>
            </w:pPr>
          </w:p>
        </w:tc>
      </w:tr>
    </w:tbl>
    <w:p>
      <w:pPr>
        <w:spacing w:after="40"/>
      </w:pPr>
    </w:p>
    <w:p>
      <w:pPr>
        <w:spacing w:before="40" w:after="100" w:line="269" w:lineRule="auto"/>
        <w:bidi w:val="0"/>
        <w:jc w:val="left"/>
      </w:pPr>
      <w:r>
        <w:rPr>
          <w:rFonts w:ascii="Amiri" w:hAnsi="Amiri" w:cs="Amiri" w:eastAsia="Amiri"/>
          <w:b w:val="0"/>
          <w:i w:val="0"/>
          <w:color w:val="1F2937"/>
          <w:sz w:val="24"/>
          <w:szCs w:val="28"/>
        </w:rPr>
        <w:t xml:space="preserve">Pencatatan bentuk huruf dan titik, bukan tafsir makna asror. Yang dapat dipastikan: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(4×),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(2×),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(1×), semuanya tanpa titik. Keluarga bertitik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muncul. Dua unit ○❘❘❘○ memakai tiga GARIS MIRING, bukan titik bulat; bila dimaksud tiga titik, kandidatnya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 ditandai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dan tidak dinormalkan. Baris 2 unsur 1 bertitik dua di bawah, kandidat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keyakinan rendah. Lambang ✳ (trisula/mistar) bukan huruf. Tidak ada rekonstruksi, tidak ada tafsir,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saya 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saya pertahankan tanpa menambal.</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tujuh lembar kertas putih; tiga lembar kertas; rajah nama-nama : Bukhur: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فَقَدَرْنَا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فَنِعْمَ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الْقَادِرُونَ</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الْحَيْضِ</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خُطُوطٌ</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وَأَشْكَالٌ</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38"/>
          <w:szCs w:val="42"/>
        </w:rPr>
        <w:t>[</w:t>
      </w:r>
      <w:r>
        <w:rPr>
          <w:rFonts w:ascii="Amiri" w:hAnsi="Amiri" w:cs="Amiri" w:eastAsia="Amiri"/>
          <w:b w:val="0"/>
          <w:i w:val="0"/>
          <w:color w:val="1F2937"/>
          <w:sz w:val="42"/>
          <w:szCs w:val="46"/>
          <w:rtl/>
        </w:rPr>
        <w:t>جَدْوَلَانِ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٤</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Pr>
        <w:t>: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س</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٦٩</w:t>
      </w:r>
      <w:r>
        <w:rPr>
          <w:rFonts w:ascii="Amiri" w:hAnsi="Amiri" w:cs="Amiri" w:eastAsia="Amiri"/>
          <w:b w:val="0"/>
          <w:i w:val="0"/>
          <w:color w:val="1F2937"/>
          <w:sz w:val="38"/>
          <w:szCs w:val="42"/>
        </w:rPr>
        <w:t>]</w:t>
      </w:r>
    </w:p>
    <w:p>
      <w:pPr>
        <w:spacing w:before="40" w:after="100" w:line="269" w:lineRule="auto"/>
        <w:bidi w:val="1"/>
        <w:jc w:val="start"/>
      </w:pP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[Gambar: garis dan bentuk — lihat pindaian halaman 69.] [Dua tabel 4x4 huruf: (fa jim alif ha / ha fa jim alif / alif ha fa jim / jim alif ha fa) dan (mim wau ha sin / ha sin wau mim / wau mim sin ha / sin ha mim wau) — lihat pindaian halaman 69.] (Annallaaha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 menciptakanmu dari air yang hina, lalu Dia menempatkannya di tempat yang kokoh sampai waktu yang ditentukan; lalu Kami tentukan, dan sebaik-baik yang menentukan.» Faedah untuk kehamilan sekali lagi: jika engkau hendak mencoba, gantungkanlah ia pada seekor ayam, maka ayam itu akan bertelur dan (perempuan) itu hamil, karena itu rahasia yang menakjubkan; inilah yang ditulis dan digantung setelah bersih dari haid.</w:t>
      </w:r>
    </w:p>
    <w:p>
      <w:pPr>
        <w:spacing w:before="40" w:after="100" w:line="269" w:lineRule="auto"/>
        <w:bidi w:val="0"/>
        <w:jc w:val="left"/>
      </w:pPr>
      <w:r>
        <w:rPr>
          <w:rFonts w:ascii="Amiri" w:hAnsi="Amiri" w:cs="Amiri" w:eastAsia="Amiri"/>
          <w:b w:val="0"/>
          <w:i w:val="0"/>
          <w:color w:val="1F2937"/>
          <w:sz w:val="24"/>
          <w:szCs w:val="28"/>
        </w:rPr>
        <w:t xml:space="preserve">[Di atas tabel tercetak rajah berisi garis dan bentuk; tidak saya gambar ulang.] [Dua tabel 4×4 huruf: baris-barisnya berisi 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 xml:space="preserve"> dengan susunan bergeser — bentuk dan susunan sel wajib diambil dari pindaian halaman 69.] «Sesungguhnya Allah yang membelah butir biji dan biji buah, mengeluarkan yang hidup dari yang mati dan mengeluarkan yang mati «…» [tidak disalin penuh pada sumber kerja]»</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Praktik dari sumber (halaman 69): 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 Tabel dan rajah tidak digambar ulang di sini; hanya dari pindaian. Dinisbatkan pada penulis.</w:t>
      </w:r>
    </w:p>
    <w:p>
      <w:pPr>
        <w:bidi w:val="0"/>
        <w:spacing w:before="120" w:after="60"/>
        <w:jc w:val="center"/>
      </w:pPr>
      <w:r>
        <w:drawing>
          <wp:inline xmlns:a="http://schemas.openxmlformats.org/drawingml/2006/main" xmlns:pic="http://schemas.openxmlformats.org/drawingml/2006/picture">
            <wp:extent cx="4509051" cy="3780000"/>
            <wp:docPr id="5" name="Picture 5"/>
            <wp:cNvGraphicFramePr>
              <a:graphicFrameLocks noChangeAspect="1"/>
            </wp:cNvGraphicFramePr>
            <a:graphic>
              <a:graphicData uri="http://schemas.openxmlformats.org/drawingml/2006/picture">
                <pic:pic>
                  <pic:nvPicPr>
                    <pic:cNvPr id="0" name="69.jpg"/>
                    <pic:cNvPicPr/>
                  </pic:nvPicPr>
                  <pic:blipFill>
                    <a:blip r:embed="rId15"/>
                    <a:stretch>
                      <a:fillRect/>
                    </a:stretch>
                  </pic:blipFill>
                  <pic:spPr>
                    <a:xfrm>
                      <a:off x="0" y="0"/>
                      <a:ext cx="4509051" cy="3780000"/>
                    </a:xfrm>
                    <a:prstGeom prst="rect"/>
                  </pic:spPr>
                </pic:pic>
              </a:graphicData>
            </a:graphic>
          </wp:inline>
        </w:drawing>
      </w:r>
    </w:p>
    <w:p>
      <w:pPr>
        <w:spacing w:before="40" w:after="100" w:line="269" w:lineRule="auto"/>
        <w:bidi w:val="0"/>
        <w:jc w:val="center"/>
      </w:pPr>
      <w:r>
        <w:rPr>
          <w:rFonts w:ascii="Amiri" w:hAnsi="Amiri" w:cs="Amiri" w:eastAsia="Amiri"/>
          <w:b w:val="0"/>
          <w:i/>
          <w:color w:val="4B5563"/>
          <w:sz w:val="20"/>
          <w:szCs w:val="24"/>
          <w:iCs/>
        </w:rPr>
        <w:t>[Crop halaman 69 — crop presisi kiriman pengguna; nama berkas sama dengan halaman tujuan; bukan ekstraksi FINAL KHATAM dan bukan gambar ulang]</w:t>
      </w:r>
    </w:p>
    <w:p>
      <w:pPr>
        <w:spacing w:before="40" w:after="100" w:line="269" w:lineRule="auto"/>
        <w:bidi w:val="0"/>
        <w:jc w:val="left"/>
      </w:pPr>
      <w:r>
        <w:rPr>
          <w:rFonts w:ascii="Amiri" w:hAnsi="Amiri" w:cs="Amiri" w:eastAsia="Amiri"/>
          <w:b/>
          <w:i w:val="0"/>
          <w:color w:val="1F2937"/>
          <w:sz w:val="24"/>
          <w:szCs w:val="28"/>
          <w:bCs/>
        </w:rPr>
        <w:t>RAJAH HAL.69 — dua baris lambang talismani (bulan sabit, tiang bercincin, bulatan berekor) + dua wafaq berpetak 4×4 — wafaq kiri berisi rotasi huruf, wafaq kanan belum dapat d</w:t>
      </w:r>
    </w:p>
    <w:p>
      <w:pPr>
        <w:spacing w:before="40" w:after="100" w:line="269" w:lineRule="auto"/>
        <w:bidi w:val="0"/>
        <w:jc w:val="left"/>
      </w:pPr>
      <w:r>
        <w:rPr>
          <w:rFonts w:ascii="Amiri" w:hAnsi="Amiri" w:cs="Amiri" w:eastAsia="Amiri"/>
          <w:b/>
          <w:i w:val="0"/>
          <w:color w:val="1F2937"/>
          <w:sz w:val="24"/>
          <w:szCs w:val="28"/>
          <w:bCs/>
        </w:rPr>
        <w:t>WAFAQ HAL.69 — Amiri 14pt Bold — Wafaq kiri: 4×4, rotasi bersih empat huruf (</w:t>
      </w:r>
      <w:r>
        <w:rPr>
          <w:rFonts w:ascii="Amiri" w:hAnsi="Amiri" w:cs="Amiri" w:eastAsia="Amiri"/>
          <w:b/>
          <w:i w:val="0"/>
          <w:color w:val="1F2937"/>
          <w:sz w:val="28"/>
          <w:szCs w:val="32"/>
          <w:bCs/>
          <w:rtl/>
        </w:rPr>
        <w:t>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w:t>
      </w:r>
      <w:r>
        <w:rPr>
          <w:rFonts w:ascii="Amiri" w:hAnsi="Amiri" w:cs="Amiri" w:eastAsia="Amiri"/>
          <w:b/>
          <w:i w:val="0"/>
          <w:color w:val="1F2937"/>
          <w:sz w:val="24"/>
          <w:szCs w:val="28"/>
          <w:bCs/>
        </w:rPr>
        <w:t>) yang bergeser satu sel tiap baris — keyakinan sedang–ting</w:t>
      </w:r>
    </w:p>
    <w:tbl>
      <w:tblPr>
        <w:tblStyle w:val="TableGrid"/>
        <w:tblW w:type="auto" w:w="0"/>
        <w:tblLook w:firstColumn="1" w:firstRow="1" w:lastColumn="0" w:lastRow="0" w:noHBand="0" w:noVBand="1" w:val="04A0"/>
        <w:jc w:val="center"/>
      </w:tblPr>
      <w:tblGrid>
        <w:gridCol w:w="2409"/>
        <w:gridCol w:w="2409"/>
        <w:gridCol w:w="2409"/>
        <w:gridCol w:w="2409"/>
      </w:tblGrid>
      <w:tr>
        <w:tc>
          <w:tcPr>
            <w:tcW w:type="dxa" w:w="2409"/>
            <w:vAlign w:val="center"/>
          </w:tcPr>
          <w:p>
            <w:pPr>
              <w:spacing w:before="40" w:after="40"/>
              <w:jc w:val="center"/>
              <w:bidi w:val="0"/>
            </w:pPr>
            <w:r>
              <w:rPr>
                <w:rFonts w:ascii="Amiri" w:hAnsi="Amiri" w:cs="Amiri" w:eastAsia="Amiri"/>
                <w:b/>
                <w:i w:val="0"/>
                <w:color w:val="1F2937"/>
                <w:sz w:val="22"/>
                <w:szCs w:val="26"/>
                <w:bCs/>
              </w:rPr>
              <w:t>Wafaq kiri — kolom kanan</w:t>
            </w:r>
          </w:p>
        </w:tc>
        <w:tc>
          <w:tcPr>
            <w:tcW w:type="dxa" w:w="2409"/>
            <w:vAlign w:val="center"/>
          </w:tcPr>
          <w:p>
            <w:pPr>
              <w:spacing w:before="40" w:after="40"/>
              <w:jc w:val="center"/>
              <w:bidi w:val="0"/>
            </w:pPr>
            <w:r>
              <w:rPr>
                <w:rFonts w:ascii="Amiri" w:hAnsi="Amiri" w:cs="Amiri" w:eastAsia="Amiri"/>
                <w:b/>
                <w:i w:val="0"/>
                <w:color w:val="1F2937"/>
                <w:sz w:val="22"/>
                <w:szCs w:val="26"/>
                <w:bCs/>
              </w:rPr>
              <w:t>kolom 2</w:t>
            </w:r>
          </w:p>
        </w:tc>
        <w:tc>
          <w:tcPr>
            <w:tcW w:type="dxa" w:w="2409"/>
            <w:vAlign w:val="center"/>
          </w:tcPr>
          <w:p>
            <w:pPr>
              <w:spacing w:before="40" w:after="40"/>
              <w:jc w:val="center"/>
              <w:bidi w:val="0"/>
            </w:pPr>
            <w:r>
              <w:rPr>
                <w:rFonts w:ascii="Amiri" w:hAnsi="Amiri" w:cs="Amiri" w:eastAsia="Amiri"/>
                <w:b/>
                <w:i w:val="0"/>
                <w:color w:val="1F2937"/>
                <w:sz w:val="22"/>
                <w:szCs w:val="26"/>
                <w:bCs/>
              </w:rPr>
              <w:t>kolom 3</w:t>
            </w:r>
          </w:p>
        </w:tc>
        <w:tc>
          <w:tcPr>
            <w:tcW w:type="dxa" w:w="2409"/>
            <w:vAlign w:val="center"/>
          </w:tcPr>
          <w:p>
            <w:pPr>
              <w:spacing w:before="40" w:after="40"/>
              <w:jc w:val="center"/>
              <w:bidi w:val="0"/>
            </w:pPr>
            <w:r>
              <w:rPr>
                <w:rFonts w:ascii="Amiri" w:hAnsi="Amiri" w:cs="Amiri" w:eastAsia="Amiri"/>
                <w:b/>
                <w:i w:val="0"/>
                <w:color w:val="1F2937"/>
                <w:sz w:val="22"/>
                <w:szCs w:val="26"/>
                <w:bCs/>
              </w:rPr>
              <w:t>Wafaq kiri — kolom kiri</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 (kait)</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di atas</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r>
      <w:tr>
        <w:tc>
          <w:tcPr>
            <w:tcW w:type="dxa" w:w="2409"/>
            <w:vAlign w:val="center"/>
          </w:tcPr>
          <w:p>
            <w:pPr>
              <w:spacing w:before="40" w:after="40"/>
              <w:jc w:val="center"/>
              <w:bidi w:val="0"/>
            </w:pPr>
            <w:r>
              <w:rPr>
                <w:rFonts w:ascii="Amiri" w:hAnsi="Amiri" w:cs="Amiri" w:eastAsia="Amiri"/>
                <w:b/>
                <w:i w:val="0"/>
                <w:color w:val="1F2937"/>
                <w:sz w:val="26"/>
                <w:szCs w:val="30"/>
                <w:bCs/>
                <w:rtl/>
              </w:rPr>
              <w:t>ف</w:t>
            </w:r>
            <w:r>
              <w:rPr>
                <w:rFonts w:ascii="Amiri" w:hAnsi="Amiri" w:cs="Amiri" w:eastAsia="Amiri"/>
                <w:b/>
                <w:i w:val="0"/>
                <w:color w:val="1F2937"/>
                <w:sz w:val="22"/>
                <w:szCs w:val="26"/>
                <w:bCs/>
              </w:rPr>
              <w:t xml:space="preserve"> — 1 titik atas</w:t>
            </w:r>
          </w:p>
        </w:tc>
        <w:tc>
          <w:tcPr>
            <w:tcW w:type="dxa" w:w="2409"/>
            <w:vAlign w:val="center"/>
          </w:tcPr>
          <w:p>
            <w:pPr>
              <w:spacing w:before="40" w:after="40"/>
              <w:jc w:val="center"/>
              <w:bidi w:val="0"/>
            </w:pPr>
            <w:r>
              <w:rPr>
                <w:rFonts w:ascii="Amiri" w:hAnsi="Amiri" w:cs="Amiri" w:eastAsia="Amiri"/>
                <w:b/>
                <w:i w:val="0"/>
                <w:color w:val="1F2937"/>
                <w:sz w:val="26"/>
                <w:szCs w:val="30"/>
                <w:bCs/>
                <w:rtl/>
              </w:rPr>
              <w:t>ح</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ا</w:t>
            </w:r>
            <w:r>
              <w:rPr>
                <w:rFonts w:ascii="Amiri" w:hAnsi="Amiri" w:cs="Amiri" w:eastAsia="Amiri"/>
                <w:b/>
                <w:i w:val="0"/>
                <w:color w:val="1F2937"/>
                <w:sz w:val="22"/>
                <w:szCs w:val="26"/>
                <w:bCs/>
              </w:rPr>
              <w:t xml:space="preserve"> — tanpa titik</w:t>
            </w:r>
          </w:p>
        </w:tc>
        <w:tc>
          <w:tcPr>
            <w:tcW w:type="dxa" w:w="2409"/>
            <w:vAlign w:val="center"/>
          </w:tcPr>
          <w:p>
            <w:pPr>
              <w:spacing w:before="40" w:after="40"/>
              <w:jc w:val="center"/>
              <w:bidi w:val="0"/>
            </w:pPr>
            <w:r>
              <w:rPr>
                <w:rFonts w:ascii="Amiri" w:hAnsi="Amiri" w:cs="Amiri" w:eastAsia="Amiri"/>
                <w:b/>
                <w:i w:val="0"/>
                <w:color w:val="1F2937"/>
                <w:sz w:val="26"/>
                <w:szCs w:val="30"/>
                <w:bCs/>
                <w:rtl/>
              </w:rPr>
              <w:t>ل</w:t>
            </w:r>
            <w:r>
              <w:rPr>
                <w:rFonts w:ascii="Amiri" w:hAnsi="Amiri" w:cs="Amiri" w:eastAsia="Amiri"/>
                <w:b/>
                <w:i w:val="0"/>
                <w:color w:val="1F2937"/>
                <w:sz w:val="22"/>
                <w:szCs w:val="26"/>
                <w:bCs/>
              </w:rPr>
              <w:t xml:space="preserve"> — tanpa titik</w:t>
            </w:r>
          </w:p>
        </w:tc>
      </w:tr>
    </w:tbl>
    <w:p>
      <w:pPr>
        <w:spacing w:after="40"/>
      </w:pPr>
    </w:p>
    <w:p>
      <w:pPr>
        <w:spacing w:before="40" w:after="100" w:line="269" w:lineRule="auto"/>
        <w:bidi w:val="0"/>
        <w:jc w:val="left"/>
      </w:pPr>
      <w:r>
        <w:rPr>
          <w:rFonts w:ascii="Amiri" w:hAnsi="Amiri" w:cs="Amiri" w:eastAsia="Amiri"/>
          <w:b w:val="0"/>
          <w:i w:val="0"/>
          <w:color w:val="1F2937"/>
          <w:sz w:val="24"/>
          <w:szCs w:val="28"/>
        </w:rPr>
        <w:t>Yang dapat dipastikan: jumlah garis bingkai dua wafaq 4×4, rotasi huruf pada wafaq kiri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dan bahwa baris atas berisi lambang bukan kata. Yang rendah keyakinannya: seluruh isi wafaq kanan dan identitas bulatan/tiang pada dua baris lambang. Tidak ada huruf/titik yang dikarang, tidak digambar ulang, tidak ditafsirkan sebagai asma atau ayat, bukan pengesahan, tidak dianjurkan dipakai.</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Harakat dan tanda baca Arab bersifat editorial. Rajah, wafaq, dan lambang pada halaman ini TIDAK digambar ulang di sini; bentuk aslinya wajib diambil dari pindaian halaman yang bersangkutan.</w:t>
      </w:r>
    </w:p>
    <w:p>
      <w:pPr>
        <w:spacing w:before="40" w:after="100" w:line="269" w:lineRule="auto"/>
        <w:bidi w:val="0"/>
        <w:jc w:val="left"/>
      </w:pPr>
      <w:r>
        <w:rPr>
          <w:rFonts w:ascii="Amiri" w:hAnsi="Amiri" w:cs="Amiri" w:eastAsia="Amiri"/>
          <w:b w:val="0"/>
          <w:i w:val="0"/>
          <w:color w:val="1F2937"/>
          <w:sz w:val="24"/>
          <w:szCs w:val="28"/>
        </w:rPr>
        <w:t>tabel huruf pada halaman ini sulit dipastikan; saya mencatat susunan yang tampak dan menyatakan bahwa sel dan garis harus disalin dari gambar asli, bukan dari tulisan saya. Kutipan mengacu QS al-An‘am 6:95.</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tulisan yang digantungkan; dua tabel/wafaq 4×4 huruf; rajah bergambar : Bukhur: tidak disebutkan dalam sumber unit ini</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فَالَّذِي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الَازَلِي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ذُو</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عَشْرَةَ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فَافْهَمَا</w:t>
      </w:r>
      <w:r>
        <w:rPr>
          <w:rFonts w:ascii="Amiri" w:hAnsi="Amiri" w:cs="Amiri" w:eastAsia="Amiri"/>
          <w:b w:val="0"/>
          <w:i w:val="0"/>
          <w:color w:val="1F2937"/>
          <w:sz w:val="38"/>
          <w:szCs w:val="42"/>
        </w:rPr>
        <w:t xml:space="preserve"> </w:t>
      </w:r>
      <w:r>
        <w:rPr>
          <w:rFonts w:ascii="Amiri" w:hAnsi="Amiri" w:cs="Amiri" w:eastAsia="Amiri"/>
          <w:b w:val="0"/>
          <w:i w:val="0"/>
          <w:color w:val="1F2937"/>
          <w:sz w:val="42"/>
          <w:szCs w:val="46"/>
          <w:rtl/>
        </w:rPr>
        <w:t>تَرْشُدُ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Metode, Penentuan Jam, dan Catatan Penyunting</w:t>
      </w:r>
    </w:p>
    <w:p>
      <w:pPr>
        <w:pStyle w:val="Heading3"/>
        <w:bidi w:val="0"/>
        <w:spacing w:before="160" w:after="100"/>
        <w:jc w:val="left"/>
      </w:pPr>
      <w:r>
        <w:rPr>
          <w:rFonts w:ascii="Amiri" w:hAnsi="Amiri" w:cs="Amiri" w:eastAsia="Amiri"/>
          <w:b/>
          <w:i w:val="0"/>
          <w:color w:val="1F2937"/>
          <w:sz w:val="26"/>
          <w:szCs w:val="30"/>
          <w:bCs/>
        </w:rPr>
        <w:t>1. Metode</w:t>
      </w:r>
    </w:p>
    <w:p>
      <w:pPr>
        <w:spacing w:before="40" w:after="100" w:line="269" w:lineRule="auto"/>
        <w:bidi w:val="0"/>
        <w:jc w:val="left"/>
      </w:pPr>
      <w:r>
        <w:rPr>
          <w:rFonts w:ascii="Amiri" w:hAnsi="Amiri" w:cs="Amiri" w:eastAsia="Amiri"/>
          <w:b w:val="0"/>
          <w:i w:val="0"/>
          <w:color w:val="1F2937"/>
          <w:sz w:val="24"/>
          <w:szCs w:val="28"/>
        </w:rPr>
        <w:t xml:space="preserve">Praktik: </w:t>
      </w:r>
      <w:r>
        <w:rPr>
          <w:rFonts w:ascii="Amiri" w:hAnsi="Amiri" w:cs="Amiri" w:eastAsia="Amiri"/>
          <w:b/>
          <w:i w:val="0"/>
          <w:color w:val="1F2937"/>
          <w:sz w:val="24"/>
          <w:szCs w:val="28"/>
          <w:bCs/>
        </w:rPr>
        <w:t>penutup</w:t>
      </w:r>
      <w:r>
        <w:rPr>
          <w:rFonts w:ascii="Amiri" w:hAnsi="Amiri" w:cs="Amiri" w:eastAsia="Amiri"/>
          <w:b w:val="0"/>
          <w:i w:val="0"/>
          <w:color w:val="1F2937"/>
          <w:sz w:val="24"/>
          <w:szCs w:val="28"/>
        </w:rPr>
        <w:t xml:space="preserve">. Halaman terakhir berjudul </w:t>
      </w:r>
      <w:r>
        <w:rPr>
          <w:rFonts w:ascii="Amiri" w:hAnsi="Amiri" w:cs="Amiri" w:eastAsia="Amiri"/>
          <w:b/>
          <w:i w:val="0"/>
          <w:color w:val="1F2937"/>
          <w:sz w:val="28"/>
          <w:szCs w:val="32"/>
          <w:bCs/>
          <w:rtl/>
        </w:rPr>
        <w:t>الخاتمة</w:t>
      </w:r>
      <w:r>
        <w:rPr>
          <w:rFonts w:ascii="Amiri" w:hAnsi="Amiri" w:cs="Amiri" w:eastAsia="Amiri"/>
          <w:b w:val="0"/>
          <w:i w:val="0"/>
          <w:color w:val="1F2937"/>
          <w:sz w:val="24"/>
          <w:szCs w:val="28"/>
        </w:rPr>
        <w:t xml:space="preserve"> (tanpa nomor halaman yang terbaca). Berisi pujian kepada Allah karena telah menyelesaikan kitab, pernyataan penulis bahwa ia tidak dapat mengungkap lebih banyak rahasia, penyebutan dirinya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 lalu </w:t>
      </w:r>
      <w:r>
        <w:rPr>
          <w:rFonts w:ascii="Amiri" w:hAnsi="Amiri" w:cs="Amiri" w:eastAsia="Amiri"/>
          <w:b/>
          <w:i w:val="0"/>
          <w:color w:val="1F2937"/>
          <w:sz w:val="24"/>
          <w:szCs w:val="28"/>
          <w:bCs/>
        </w:rPr>
        <w:t>wasiat</w:t>
      </w:r>
      <w:r>
        <w:rPr>
          <w:rFonts w:ascii="Amiri" w:hAnsi="Amiri" w:cs="Amiri" w:eastAsia="Amiri"/>
          <w:b w:val="0"/>
          <w:i w:val="0"/>
          <w:color w:val="1F2937"/>
          <w:sz w:val="24"/>
          <w:szCs w:val="28"/>
        </w:rPr>
        <w:t xml:space="preserve"> kepada pembaca: berwudu, salat dua rakaat, membaca al-Fatihah sepuluh kali, lalu bertanya kepada «asy-Syaikh» — ditutup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ترشد</w:t>
      </w:r>
      <w:r>
        <w:rPr>
          <w:rFonts w:ascii="Amiri" w:hAnsi="Amiri" w:cs="Amiri" w:eastAsia="Amiri"/>
          <w:b w:val="0"/>
          <w:i w:val="0"/>
          <w:color w:val="1F2937"/>
          <w:sz w:val="24"/>
          <w:szCs w:val="28"/>
        </w:rPr>
        <w:t>» (pahamilah keduanya, engkau akan mendapat petunjuk).</w:t>
      </w:r>
    </w:p>
    <w:p>
      <w:pPr>
        <w:pStyle w:val="Heading3"/>
        <w:bidi w:val="0"/>
        <w:spacing w:before="160" w:after="100"/>
        <w:jc w:val="left"/>
      </w:pPr>
      <w:r>
        <w:rPr>
          <w:rFonts w:ascii="Amiri" w:hAnsi="Amiri" w:cs="Amiri" w:eastAsia="Amiri"/>
          <w:b/>
          <w:i w:val="0"/>
          <w:color w:val="1F2937"/>
          <w:sz w:val="26"/>
          <w:szCs w:val="30"/>
          <w:bCs/>
        </w:rPr>
        <w:t>2. Penentuan Jam</w:t>
      </w:r>
    </w:p>
    <w:p>
      <w:pPr>
        <w:spacing w:before="40" w:after="100" w:line="269" w:lineRule="auto"/>
        <w:bidi w:val="0"/>
        <w:jc w:val="left"/>
      </w:pPr>
      <w:r>
        <w:rPr>
          <w:rFonts w:ascii="Amiri" w:hAnsi="Amiri" w:cs="Amiri" w:eastAsia="Amiri"/>
          <w:b w:val="0"/>
          <w:i w:val="0"/>
          <w:color w:val="1F2937"/>
          <w:sz w:val="24"/>
          <w:szCs w:val="28"/>
        </w:rPr>
        <w:t>«tidak ada hitungan di halaman ini»</w:t>
      </w:r>
    </w:p>
    <w:p>
      <w:pPr>
        <w:pStyle w:val="Heading3"/>
        <w:bidi w:val="0"/>
        <w:spacing w:before="160" w:after="100"/>
        <w:jc w:val="left"/>
      </w:pPr>
      <w:r>
        <w:rPr>
          <w:rFonts w:ascii="Amiri" w:hAnsi="Amiri" w:cs="Amiri" w:eastAsia="Amiri"/>
          <w:b/>
          <w:i w:val="0"/>
          <w:color w:val="1F2937"/>
          <w:sz w:val="26"/>
          <w:szCs w:val="30"/>
          <w:bCs/>
        </w:rPr>
        <w:t>Catatan penyunting</w:t>
      </w:r>
    </w:p>
    <w:p>
      <w:pPr>
        <w:spacing w:before="40" w:after="100" w:line="269" w:lineRule="auto"/>
        <w:bidi w:val="0"/>
        <w:jc w:val="left"/>
      </w:pPr>
      <w:r>
        <w:rPr>
          <w:rFonts w:ascii="Amiri" w:hAnsi="Amiri" w:cs="Amiri" w:eastAsia="Amiri"/>
          <w:b w:val="0"/>
          <w:i w:val="0"/>
          <w:color w:val="1F2937"/>
          <w:sz w:val="24"/>
          <w:szCs w:val="28"/>
        </w:rPr>
        <w:t>halaman ini {tanpa nomor halaman} yang terbaca pada pindaian; saya tidak memberi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Saya pertahankan keduanya dan menandai bahwa bentuk persis nama dan gelar penulis pada halaman ini belum dapat saya 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spacing w:before="40" w:after="100" w:line="269" w:lineRule="auto"/>
        <w:bidi w:val="0"/>
        <w:jc w:val="left"/>
      </w:pPr>
      <w:r>
        <w:rPr>
          <w:rFonts w:ascii="Amiri" w:hAnsi="Amiri" w:cs="Amiri" w:eastAsia="Amiri"/>
          <w:b w:val="0"/>
          <w:i w:val="0"/>
          <w:color w:val="1F2937"/>
          <w:sz w:val="24"/>
          <w:szCs w:val="28"/>
        </w:rPr>
        <w:t>penutup kitab; tidak ada halaman berikutnya dalam pindaian 62 lembar. seluruh isi 97–121 berisi praktik yang tidak bersumber dari Al-Qur’an/Sunnah; saya mencatat dan menerjemahkan sebagai dokumen, bukan mengamalkan atau mengesahkannya. Harakat dan tanda baca Arab bersifat editorial. Rajah, wafaq, dan jadwal angka/huruf pada halaman ini TIDAK digambar ulang; bentuk aslinya wajib diambil dari pindaian halaman yang bersangkutan.</w:t>
      </w:r>
    </w:p>
    <w:p>
      <w:pPr>
        <w:pStyle w:val="Heading2"/>
        <w:bidi w:val="0"/>
        <w:spacing w:before="240" w:after="100"/>
        <w:jc w:val="left"/>
      </w:pPr>
      <w:r>
        <w:rPr>
          <w:rFonts w:ascii="Amiri" w:hAnsi="Amiri" w:cs="Amiri" w:eastAsia="Amiri"/>
          <w:b/>
          <w:i w:val="0"/>
          <w:color w:val="1F2937"/>
          <w:sz w:val="30"/>
          <w:szCs w:val="34"/>
          <w:bCs/>
        </w:rPr>
        <w:t>5. Khususiyah — Waktu : Media : Bukhur</w:t>
      </w:r>
    </w:p>
    <w:p>
      <w:pPr>
        <w:spacing w:before="40" w:after="100" w:line="269" w:lineRule="auto"/>
        <w:bidi w:val="0"/>
        <w:jc w:val="left"/>
      </w:pPr>
      <w:r>
        <w:rPr>
          <w:rFonts w:ascii="Amiri" w:hAnsi="Amiri" w:cs="Amiri" w:eastAsia="Amiri"/>
          <w:b w:val="0"/>
          <w:i w:val="0"/>
          <w:color w:val="1F2937"/>
          <w:sz w:val="24"/>
          <w:szCs w:val="28"/>
        </w:rPr>
        <w:t>Waktu: tidak disebutkan dalam sumber unit ini : Media: tidak disebutkan dalam sumber unit ini : Bukhur: tidak disebutkan dalam sumber unit ini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t xml:space="preserve">Teks dinisbatkan kepada penulis kitab; bukan anjuran atau jaminan hasil.  </w:t>
    </w: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r>
      <w:rPr>
        <w:rFonts w:ascii="Amiri" w:hAnsi="Amiri" w:cs="Amiri" w:eastAsia="Amiri"/>
        <w:b w:val="0"/>
        <w:i/>
        <w:color w:val="4B5563"/>
        <w:sz w:val="18"/>
        <w:szCs w:val="18"/>
        <w:iCs/>
      </w:rPr>
      <w:t>Al-Qorin war Riyadhah — revisi dokumenter 5 lapis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 — Revisi 5 Lapis</dc:title>
  <dc:subject>Revisi terjemahan dokumenter mengikuti standar 123 artikel</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