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Tata cara yang dicatat penulis adalah duduk di tempat yang kosong dari manusia pada hari tanpa angin, hujan, dan awan; menulis khatam berikut pada telapak tangan; mengasapinya dengan cendana merah; dan membaca 'azimah atasnya sampai—menurut klaim penulis—seekor merpati putih turun dan terbang menuju khatam.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Tulislah khatam berikut pada tangan kirimu; asapilah khatam itu hanya dengan cendana merah; bacalah 'azimah atasnya sampai—menurut klaim penulis—seekor merpati putih datang dan turun kepadamu; jilatlah khatam itu lalu pergilah.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Daftar hasil yang diklaim penulis mencakup membelah bumi dan nasf-nya (menyerbak/menghancurkannya), memindahkan harta karun dan harta terpendam di bumi ke tempat yang dikehendaki dalam sekejap mata, menurunkan seorang penguasa dan menempatkan orang lain sebagai penggantinya, serta mengalahkan pasukan. Semua itu dicatat sebagai klaim penulis.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 Sesudah itu pelaku diarahkan menghadap kebutuhannya, dengan klaim penulis bahwa kebutuhan itu akan dipenuhi dengan izin Allah Taala.</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M112.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M113.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M117.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M118.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M119.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Tulisan itu digantungkan pada anak atau orang yang disebut maqrun, dengan klaim penulis bahwa ia akan terjaga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