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teks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Teks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teks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teks,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teks,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teks; tidak diubah menjadi formula shalawat yang lebih lazim, tidak ditambah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teks,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teks;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teks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ditambah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teks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teks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teks/pembacaan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teks;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Khalwat/riyadhah empat puluh dan kelipatannya menurut penjelasan penulis</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teks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ditambah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لِلْآخِرَةِ</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فَطُورُهُ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إِنَائِهِ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دَسِمٍ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وَاسْتِدَامَةِ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Makan malam sesudah terbenam/Magrib; rangkaian 12 rakaat sesudah makan dan rangkaian 12 rakaat sesudah Isya, witir, lalu tidur dalam keadaan berwudu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Batas makan ±24 ūqiyah bagi salik berkeluarga; roti hangat dipecah sambil membaca awal surah al-Mulk; tanpa lemak hewani; Ayat al-Kursi tiga kali pada rangkaian sesudah makan dan tujuh kali pada rangkaian sesudah Isya menurut ringkasan Metode</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w:t>
      </w:r>
    </w:p>
    <w:p>
      <w:pPr>
        <w:spacing w:before="40" w:after="100" w:line="269" w:lineRule="auto"/>
        <w:bidi w:val="0"/>
        <w:jc w:val="left"/>
      </w:pPr>
      <w:r>
        <w:rPr>
          <w:rFonts w:ascii="Amiri" w:hAnsi="Amiri" w:cs="Amiri" w:eastAsia="Amiri"/>
          <w:b w:val="0"/>
          <w:i w:val="0"/>
          <w:color w:val="1F2937"/>
          <w:sz w:val="24"/>
          <w:szCs w:val="28"/>
        </w:rPr>
        <w:t>«…»cahaya-cahaya,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Bangun sebelum fajar; zikir hingga Subuh dan terbit; isyraq; zawal; Zuhur–Asar–Magrib; tahapan malam ke-7 lalu tiap pekan hingga 80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menghadap kiblat; isyraq empat rakaat dengan al-Fātiḥah dan al-Ikhlāṣ tiga kali; zawal empat rakaat dengan al-Fātiḥah, Ayat al-Kursi, dan al-Ikhlāṣ; roti sesudah Magrib seperti M11</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Membatasi makan pada dua roti, berbuka setelah Isya, sedikit minum, roti hangat, mengurangi tidur, membaca Surah Yasin, mengurangi roti setengah dirham tiap malam, melewati malam Jumat, berzikir Subhanallah al-'Ali al-Wahhab sampai delapan puluh hari.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Berbuka sesudah Isya; pengurangan setengah dirham tiap malam; malam Jumat sesudah empat puluh pertama; total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roti hangat dan sedikit air; surah Yāsīn; zikir “Subḥānallāh al-‘Aliyy al-Wahhāb”; konteks makanan halal, menyendiri dari suara, dan duduk dalam gelap</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riyadhah, sebagai respons ketika tabir/lintasan muncul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atau mandi; zikir Yā Hādī, Yā Laṭīf, Yā Fansyah (bacaan tidak pasti), Yā Qawiyy, Yā Qādir, dan Yā Dzā al-Quwwah sesuai jenis tabir</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Syarat salik yang dinyatakan enam oleh sumber: tidak makan dari sumber tak diketahui, tidak menerima sebelum waktunya, tidak bergerak tanpa sebab, tidak tanpa wudu, tidak tidur lalai, tidak berbicara kecuali darurat, dan tidak meninggalkan kesucian</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w:t>
      </w:r>
    </w:p>
    <w:p>
      <w:pPr>
        <w:spacing w:before="40" w:after="100" w:line="269" w:lineRule="auto"/>
        <w:bidi w:val="0"/>
        <w:jc w:val="left"/>
      </w:pPr>
      <w:r>
        <w:rPr>
          <w:rFonts w:ascii="Amiri" w:hAnsi="Amiri" w:cs="Amiri" w:eastAsia="Amiri"/>
          <w:b w:val="0"/>
          <w:i w:val="0"/>
          <w:color w:val="1F2937"/>
          <w:sz w:val="24"/>
          <w:szCs w:val="28"/>
        </w:rPr>
        <w:t>«…»rahasia-rahasia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Israfil, yaitu sosok yang memandang dari-Ku «…»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dan sesungguhnya seluruh gerakannya dengan sunnah, pintu itu senantiasa terbuka. Maka jika ia mengambil sisi lahir sunnah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dikenali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ditemukan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diberi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dipilih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tidak diverifikasi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Khalwat delapan puluh hari dengan zikir dan fikr; berbuka dengan roti gandum (sya‘ir) atau burghul. Dicatat sebagai isi kitab, bukan anjuran medis, dan tidak ada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atau burghul/jarisya untuk berbuka</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diberi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terverifikasi;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w:t>
      </w:r>
    </w:p>
    <w:p>
      <w:pPr>
        <w:spacing w:before="40" w:after="100" w:line="269" w:lineRule="auto"/>
        <w:bidi w:val="0"/>
        <w:jc w:val="left"/>
      </w:pPr>
      <w:r>
        <w:rPr>
          <w:rFonts w:ascii="Amiri" w:hAnsi="Amiri" w:cs="Amiri" w:eastAsia="Amiri"/>
          <w:b w:val="0"/>
          <w:i w:val="0"/>
          <w:color w:val="1F2937"/>
          <w:sz w:val="24"/>
          <w:szCs w:val="28"/>
        </w:rPr>
        <w:t>«…»mengenal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diambil pembacaan pertama dan tidak dipaksakan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dijadikan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diganti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tidak diverifikasi derajat sanadnya dan tidak ditambahkan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dikoreksi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tercatat statusnya sebagai kutipan penulis.</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tidak diverifikasi sanadnya dan tidak ditambah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Tanpa penetapan hari tertentu menurut sumber; salat fardu beserta sunahnya, ditambah dua rakaat duha dan dua rakaat zawal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Berzikir jahr sejauh terdengar sendiri, lalu dengan suara yang terdengar orang dekat, lalu kembali kepada kadar semula bila sudah tenang.</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jahr bertahap: sejauh terdengar sendiri, lalu terdengar orang terdekat sampai tenang, kemudian kembali ke kadar semula</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ilmu; lintasanmu «…» memberi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dibiarkan bertitik dan tidak dikarang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Bila kantuk menyerang, berbaring ke sisi kanan; setelah hilang, bangun dan berwudu lalu kembali berzikir; menyempurnakan delapan puluh hari meski tanda sudah muncul.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penyempurnaan delapan puluh hari, meski tanda sudah muncul; bila kantuk menyerang</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Berbaring ke sisi kanan sampai kantuk hilang, lalu bangun, berwudu, dan kembali berzikir</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dipertahankan bentuk cetak.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90 hari: 20 hari pertama puasa tanpa washal; 20 kedua washal pada malam Jumat dan Senin; 20 ketiga washal tiap malam dan mandi tiap hari; 20 keempat menurut rincian sumber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Air tawar hangat, minyak lembap, dan wangi-wangian pada tahap keempat; nama-nama Allah as-Sarī‘, al-Ḥabīb, dan al-Qābiḍ saat keadaan mendesak; menghadap kiblat</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puasa dan salat berjamaah; memperbanyak salawat pada hari Jumat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tidak ditambahkan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tidak dihitung ulang nilai numeriknya dan tidak disahkan.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Jumat untuk memperbanyak salawat; sedekah setiap hari; riyadhah kecil tiga hari; sesudah tiap salat fardu untuk contoh zikir yang diberikan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Sedekah sebesar makanan yang dimakan; pantang yang bernyawa selama khalwat tiga hari; satu atau dua nama Allah yang dinilai penulis setara nilai nama sendiri (contoh as-Salām 131 kali—hitungan tidak diverifikasi)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dicatat sebagai atribusi penulis dan tidak diverifikasi takhrij.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dinyatakan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dipertahankan bentuk cetak dan tidak ditambah huruf.</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Ayat ditulis di antara kedua mata; Khatam Sulaiman bertanduk tujuh dengan huruf pada tiap tanduk ditulis pada tangan kanan; lambang/rajah akhir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tidur untuk membakhurkan tujuh barawāt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diobati pada siang dan penghuni malam pada malam (yang malam ditinggalkan sampai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dan ‘azīmah; khatam dibentuk dalam ḥirz dan digantungkan di tempat itu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pada siang dan penghuni malam pada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Tempat bersih tanpa perempuan haid; keadaan tertutup (satr); selawat dengan suara diangkat; ‘azm dan syarṭah; tanpa menggantung ḥirz; bekerja di bawah atap atau penghalang dari langit</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Pagi, sesudah Asar, sesudah Magrib, dan waktu sahur; selama pengobatan suami tidak menggauli istri yang terkena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Empat ‘azā’im dengan pengasapan; minyak-minyakan yang disertai tulisan; tulisan hijab; pengaturan duduk/berbaring dan pendamping sesama jenis; tidak di depan pintu rumah</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Mandi sebelum bekerja; penghuni siang pada siang dan penghuni malam pada malam; jin terbang pada petang dan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Memandikan orang yang terkena dengan penutup dan oleh sesama jenis; pakaian kasar; ‘azīmah yang kuat; syarat kerja ringkasan (bersih, satr, selawat, tanpa ḥirz gantung, di bawah atap)</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dipertahankan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diterjemahkan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Larangan pendamping pada unit ini: tidak keluar pada malam hari dan tidak mendekati perempuan pada hari-hari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berisi khawātim surah al-Baqarah dan surah Yāsīn; susunan bacaan al-Fātiḥah, awal al-Baqarah, empat khawātim pertama dan empat terakhir al-Baqarah dengan Ayat Kursi di tengah, dan akhir al-Ḥasyr</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dipastikan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Ada kesalahan cetak yang dibiarkan: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panjang dibuka basmalah dan selawat, memuat kutipan akhir surah (dirujuk catatan ke at-Taubah 9:128), al-Ikhlāṣ, al-Mu‘awwidzatain, al-Fātiḥah, Āli ‘Imrān, dan al-Ḥasyr, lalu rangkaian asma dan qasam</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dikarang.</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Penutup doa dengan qasam; wafaq mukhammas 5×5 «untuk segala penyakit» berisi angka dan kata at-taukīl</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dipertahankan dan tidak ditambal.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pengetahuan prasyarat yang dituntut penulis: hari-hari, buruj, nama-nama bulan, sulṭān malaikat, tujuh raja, tujuh rūḥānī, tujuh bintang (darārī), dan empat kepala</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dibaca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hari Ahad–Sabtu dengan planet yang dinisbatkan penulis: Matahari, Bulan, Mars, Merkurius, Jupiter, Venus, Saturnus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Logam padanan tiap hari menurut penulis: emas, perak, besi, air raksa, timah, tembaga, timbal; awal daftar buruj: Aries, Taurus, Gemini, Cancer</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cetakan; ditulis apa yang terbaca dan tidak dikoreksi menjadi nama yang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dikoreksi ejaannya.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Rujukan buruj 5–12 (Leo, Virgo, Libra, Scorpio, Sagitarius, Capricorn, Aquarius, Pisces), tujuh bintang/planet, dan dua kolom nama bulan (ejaan banyak nama tidak pasti)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raja menurut hari: Madzhab (Ahad), Marrah (Senin), al-Aḥmar (Selasa), Barqān (Rabu), Syamhūrasy (Kamis), al-Abyaḍ (Jumat), Maimūn (Sabtu); ejaan dipertahankan</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قَنْدُورَةُ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عُنْيَائِيلُ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عَخْبِيرَةٌ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1 - maazarun 2 - kathmun 3 - qanduuratu 4 - thaykalu. «Asmaa-ur ruuhaniyyatis sab'ati» «…»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ditulis apa yang terbaca dan tidak dikoreksi.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anggap pemisah cetak, bukan angka.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Pada hari apa pun dari tujuh hari, menurut raja hari dan raja rūḥānī yang bersangkutan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ru’ūs dan tujuh rūḥānī (ejaan dipertahankan); bantuan empat kepala beserta planet-planet; ‘azīmah; rangkaian nama pada judul «tabṭīl as-siḥr wa bakhūr li-jamī‘ ar-riyāḥ mujarrab»</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وَمَكْرُو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يَرْفَعُهُ</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وَصَدْوِ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كَرَاهِيَةٍ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dicatat rujukannya sebagai bantuan, bukan koreksi teks.</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Kutipan Quran dan doa «allāhumma-ṣrif warfa‘ wa-dzhab…»; baris lambang Khatam Sulaiman bergambar; tulisan ditulis dan dibawa sebagai jimat dengan minyak misik, za‘farān, dan air mawar</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Pr>
        <w:t>) (</w:t>
      </w:r>
      <w:r>
        <w:rPr>
          <w:rFonts w:ascii="Amiri" w:hAnsi="Amiri" w:cs="Amiri" w:eastAsia="Amiri"/>
          <w:b w:val="0"/>
          <w:i w:val="0"/>
          <w:color w:val="1F2937"/>
          <w:sz w:val="42"/>
          <w:szCs w:val="46"/>
          <w:rtl/>
        </w:rPr>
        <w:t>أَنْ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ظَهْرِهَا</w:t>
      </w:r>
      <w:r>
        <w:rPr>
          <w:rFonts w:ascii="Amiri" w:hAnsi="Amiri" w:cs="Amiri" w:eastAsia="Amiri"/>
          <w:b w:val="0"/>
          <w:i/>
          <w:color w:val="1F2937"/>
          <w:sz w:val="38"/>
          <w:szCs w:val="42"/>
          <w:iCs/>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dinyatakan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bukan koreksi teks.</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ditulis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الْأَسْقَامِ</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الْأَذَى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يُنَاسِبُ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٦٦</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tidak diverifikasi sanadnya.</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hanya menyebut keberadaannya.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perlindungan (ta‘awwudz); bagian «untuk kesembuhan dari segala penyakit» yang ditulis; rajah besar bergambar (kolom-kolom berisi huruf dan garis)</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السَّبْعَةُ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وَفَاسُوخَ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وَنُخَلِّفُهُ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dipastikan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dipertahankan tanpa ditambal.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ditulis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Tujuh lembar kertas putih; tiga lembar kertas; rajah nama-nama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تَكْتُبُ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dipastikan huruf dan maknanya; disalin apa adanya dan tidak dikoreksi.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diterjemahkan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Rajah dua baris huruf/lambang sesudah kata «taktubu»; bacaan ‘azm pengusiran dengan nama orang dan ibunya serta penanda tiga kali; ayat QS al-Kahf 18:25 dan «Alif Lām Mīm» ditulis lalu digantungkan pada perempuan</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الْقَادِرُونَ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جَدْوَلَانِ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«Sesungguhnya Allah yang membelah butir biji dan biji buah,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Tabel huruf pada halaman ini sulit dipastikan; tercatat susunan yang tampak dan dinyatakan bahwa sel dan garis harus disalin dari gambar asli, bukan dari tulisan. Kutipan mengacu QS al-An‘am 6:95.</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yang digantungkan; dua tabel/wafaq 4×4 huruf; rajah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الْإِفْطَارِ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٧٠</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dicatat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dipastikan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diterjemahkan netral.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Langsung sesudah bersih dari haid; satu aṭbāq diminum setiap hari sebelum berbuka; ḥirz penutup juga digantung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kabīrah, dan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Bulan ketiga kehamilan (faidah janin), lalu tulisan dipindahkan kepada bayi sesudah lahir; faidah kehamilan: waktu Zuhur pada hari yang baik («yawm sa‘īd») dan diminum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dibaca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berisi basmalah, taṣliyah, al-Fātiḥah, deretan huruf, ḥauqalah, dan potongan Āli ‘Imrān 3:37–41, al-A‘rāf 7:189, serta ayat lain; enam unsur grafis tanpa petak</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dicatat tanpa ditambal.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dibiarkan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 disertai rajah bergambar dan rangkaian ayat (al-Fatihah, Ali Imran, al-A‘raf, Maryam).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tulisan dengan susu kambing hitam menurut uraian sumber; rangkaian ayat penciptaan dan ayat kehamilan; rajah lambang</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غَيْرَةٌ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بَاهُو</w:t>
      </w:r>
    </w:p>
    <w:p>
      <w:pPr>
        <w:spacing w:before="40" w:after="100" w:line="269" w:lineRule="auto"/>
        <w:bidi w:val="1"/>
        <w:jc w:val="start"/>
      </w:pPr>
      <w:r>
        <w:rPr>
          <w:rFonts w:ascii="Amiri" w:hAnsi="Amiri" w:cs="Amiri" w:eastAsia="Amiri"/>
          <w:b w:val="0"/>
          <w:i w:val="0"/>
          <w:color w:val="1F2937"/>
          <w:sz w:val="42"/>
          <w:szCs w:val="46"/>
          <w:rtl/>
        </w:rPr>
        <w:t>٩٩٩٩٩٩٩٩٩٩٩٩٩٩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yah yah yah (berulang).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berulang-ulang. (Yang lain, untuk kehamilan, sudah dicoba): tulis nama-nama ini dalam dua naskah — satu dibawa lelaki dan yang kedua dibawa perempuan — maka Allah—Mahatinggi—akan memberi mereka kehamilan dengan izin-Nya; (diawali) basmalah.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diterjemahkan harfiah dan dijelaskan.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dibaca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dinyatakan.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tidak ditafsirkan.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ditulis lalu digantungkan; dua naskah nama masing-masing dibawa lelaki dan perempuan; rajah penutup besar tanpa petak</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وَكَبَرْبَرَةٌ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الْغُرُوبِ</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مَسْدُودٌ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dipastikan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Bacaan pembakaran ‘āriḍ pada waktu matahari terbenam, sebelum terbenam (redaksi dipertahankan)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Ucapan pembakaran dengan nama orang yang terkena dan ibunya;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بِقَطْلَمِيدَ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الْأَوْرَاقِ</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٧٦</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pisahkan.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ditulis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Tiga malam berturut-turut; satu lembar dibakar setiap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lembar kertas bertinta misik hitam; rajah baris huruf/angka dan bentuk; unit juga memuat kelanjutan formula istiġāṡah dari M75</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dipastikan;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dibaca sebagai dipindahkan/diminumkan dan dinyatakan.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tidak ditafsirkan.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dipastikan; disalin apa adanya dan ditandai, tidak dikarang.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ditulis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 Dinisbatkan pada penulis;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Wadah bersih ditulis dengan misik hitam, dipanaskan lalu dipindahkan/diminumkan menurut sumber; tulisan lanjutan dan rajah huruf/angka/ayat; hijab sakit kepala ditulis dan digantungkan di kepala</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يَسِيرًا</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الْوَفَقُ</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Hanya dicatat dan tidak dikarang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“uskun” dengan ayat-ayat (al-An‘ām 6:13; Yā-Sīn 36:38; al-Furqān 25:45–46); wafaq sel berisi “‘alli” dan angka dengan nama Mikail dan tulisan lain</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كَسِفًا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dipastikan;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Puasa/riyadhah hari Sabtu; pelepah ditulis pagi hari; qasam sesudah Isya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Pelepah hijau bertuliskan surah al-‘Ādiyāt sampai akhir, dipegang di tangan; qasam tujuh puluh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اصْرِفْهُ</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بِاصْرَافِ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عَلَيَّزِي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وَالْمَفَاصِلِ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dipastikan.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dipertahankan dan tidak ditambal.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Lanjutan qasam M79; untuk sengatan: al-Fātiḥah tujuh kali tanpa basmalah dan tanpa ta’mīn, lalu qasam al-ladġ</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وَالِانْشِرَاحُ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سَنْدَوَرِس</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Ghālib bin Abi Thalib, dengan hak apa yang telah ada dan akan ada, dan dengan hak apa yang ada pada Lauh Mahfuz, semuanya, pada tempat sengatan itu dan dari sana ke arah kiri punggung«…»»,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dibiarkan dan ditandai.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dipastikan.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perdamaian ditulis hari Kamis pada saat kekuatan bulan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ayat-ayat perdamaian digantungkan oleh perempuan (faidah kembalinya suami); tulisan bab perdamaian suami-istri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dapat diperiksa; tidak dikarang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dicatat sebagai bantuan rujukan, bukan koreksi.</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deret angka dan ayat pengumpulan (al-Ḥijr 15:47 dan ayat lain) dikuburkan di pintu pihak sasaran menurut Terjemahan; rajah angka/rumus; al-Fātiḥah 31 kali dengan pengulangan ayat “iyyāka na‘budu…” 31 kali pada kali terakhir; nama-nama ditulis pada jari untuk bab berikutnya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lubbān dzakar, labu jin, dan bakhūr sawdān</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كَبَرْبَرَةٌ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يَطُو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شَلْيَشٌ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اهْمَاكَيَشٌ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أَنْكَفَ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صَعِقًا</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٨٣</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وَالثَّقِيفَةُ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dipastikan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pada jari dan azimah dua puluh satu kali; untuk rasa takut: thilsim, ayat-ayat ketakutan, dan Ayat al-Kursi ditulis pada kertas; dua baris angka/rumus</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الْحَاجَةِ</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طَفَيْتُكُمْ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وَبِخُبُورٍ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«Mereka mencintai mereka seperti mencintai Allah» — «yang seandainya engkau menafkahkan segala yang ada di bumi seluruhnya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dipastikan;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mahabbah ditulis pada saat baik/mubarak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basmalah/tasliyah dan formula kebutuhan digantungkan; thilsim mahabbah dengan ayat di sekelilingnya digantung dan ayat dibaca tujuh puluh dua kali dengan taukil setiap kali;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«Wahai orang-orang yang beriman, janganlah kamu menjadi seperti orang-orang yang «…»» «…»dan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tidak ditambal;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Kelanjutan formula mahabbah M84; untuk peminangan: thilsim pada kertas dengan taukil dan nama pemohon serta yang diminta, ayat dibaca tujuh puluh dua kali, kertas dibawa pemohon;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وَأَذِنَتْ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dipastikan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persalinan ditulis dan digantungkan pada perut; ayat bumi diratakan (al-Insyiqāq 84:3–4), perumpamaan Maryam melahirkan Isa, dan pembukaan surat Sulaiman; empat wafaq kecil di kepala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riwayat hadis ini dikutip seperti tercetak dan belum terverifikasi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ditulis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وَصَنَعِي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فَأَتَّصِلْ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dipertahankan dan ditandai.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Dicatat apa adanya dan tidak disarankan menghubungi nomor apa pun.</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الْجِنُّ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يَأْكُلُ</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وَيَشْرَبُ</w:t>
      </w:r>
      <w:r>
        <w:rPr>
          <w:rFonts w:ascii="Amiri" w:hAnsi="Amiri" w:cs="Amiri" w:eastAsia="Amiri"/>
          <w:b w:val="0"/>
          <w:i/>
          <w:color w:val="1F2937"/>
          <w:sz w:val="38"/>
          <w:szCs w:val="42"/>
          <w:iCs/>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أَخْتَلِفَ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وَالِاشْتِيَاءُ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يَسْعَرُ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يَسْتَنْجِيَ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أَخْوَانِكُمْ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dipertahankan bentuk cetak dan ditandai.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dibiarkan dan ditandai, tidak ditambal.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dicatat sebagai klaim penulis, belum terverifikasi.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فَانْصَرَفَاتْ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مَرْأَتُكَ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يَسْتَنْجِي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رِزْقًا</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الْقَرِينُ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يَتَزَوَّجُ</w:t>
      </w:r>
      <w:r>
        <w:rPr>
          <w:rFonts w:ascii="Amiri" w:hAnsi="Amiri" w:cs="Amiri" w:eastAsia="Amiri"/>
          <w:b w:val="0"/>
          <w:i/>
          <w:color w:val="1F2937"/>
          <w:sz w:val="38"/>
          <w:szCs w:val="42"/>
          <w:iCs/>
        </w:rPr>
        <w:t xml:space="preserve"> </w:t>
      </w:r>
    </w:p>
    <w:p>
      <w:pPr>
        <w:spacing w:before="40" w:after="100" w:line="269" w:lineRule="auto"/>
        <w:bidi w:val="1"/>
        <w:jc w:val="start"/>
      </w:pPr>
      <w:r>
        <w:rPr>
          <w:rFonts w:ascii="Amiri" w:hAnsi="Amiri" w:cs="Amiri" w:eastAsia="Amiri"/>
          <w:b w:val="0"/>
          <w:i w:val="0"/>
          <w:color w:val="1F2937"/>
          <w:sz w:val="42"/>
          <w:szCs w:val="46"/>
          <w:rtl/>
        </w:rPr>
        <w:t>قَالَهُ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افَتَخَذُونِي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dipertahankan bentuk cetak dan ditandai perbedaannya, tidak diubah. Kutipan pertama QS ar-Rahman 55:56. Sanad hadis belum diverifikasi.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وَالزَّرِيهِ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وَرَفَقَتُهُمْ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dipertahankan dan tidak ditambal karena tidak yakin pada maksud aslinya. Kutipan ayat adalah QS Yasin 36:36 (bukan 26:7) — dicatat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الْعَذَابِ</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مَنْهُيُونَ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dicatat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Diterjemahkan maknanya dan dinyatakan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الطَّوَائِفِ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وَغَيْرِهِمْ</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dipertahankan dan ditandai.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terverifikasi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dipertahankan bentuk cetak dan ditandai.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dicatat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disebutkan perubahannya, bukan disembunyikan.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ditandai agar tidak dikira ayat.</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الِاسْتِطَاعَةِ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dari setiap jin di (lembah) ini «…»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baris pertama syair terpotong di tepi atas cetakan — hanya dicatat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dipastikan.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dicatat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فَعَلَتْهُ</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dinyatakan agar tidak dianggap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tanpa angin, hujan, dan awan; dilanjutkan pada hari kedua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Duduk di tempat kosong dari manusia; khatam ditulis di telapak tangan; azimah Ratu Jamjah dibaca berulang (rincian bab dipotong tegas pada catatan sumber)</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أَحْيِي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أَخْبَارِهَا</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صُفُوفٍ</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وَيُهْلِكُ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dibiarkan, tidak ditambal.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ditandai; tidak dihapus agar apa adanya tercatat. I‘rab tidak dapat diterapkan konsisten pada teks yang rusak.</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tujuh hari mulai hari Ahad, saat tidak ada angin/awan/hujan dan bulan bertambah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Azimah dengan bilangan dan huruf pada tujuh hari pertama; rajah di kepala halaman</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وَنَحَرَهُ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وَاسْمَحْ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تَسْكُهَا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فَعَادَهَا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فَاحْلِسِ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Dipertahankan bentuk cetak dan tidak ditambal. Kata asing «fahlish/fahlis» dibiarkan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dipastikan.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dibiarkan bermakna ganda.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pertama dan hari kedua pada tempat yang sama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Khatam ditulis pada tangan/telapak kiri; azimah/da‘wah diulang; pelepah hijau disebut hadir di tangan kanan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سَمْسَسَائِيلَ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لِأَسْمَائِكُمْ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dicatat,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dipertahankan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ditulis sebagai bunyi, bukan sebagai nama yang dikenali.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diberi tanda (?) — tidak diperbaiki.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ditulis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Dicatat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azimah lanjutan dengan rangkaian nama (Yahyūkh, Ar‘ūkh, Syamhisy, Harmisy) dalam rangkaian Abū Zanāṣir Syam‘alah</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شَرْنَطْيَا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شَرْنَطْيَا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dikenali; ditulis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dipastikan; ditulis sebagai bunyi dan tidak dikarang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tidak diubah teks, hanya dicatat.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lanjutannya ada di halaman 102.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Asmā’ as-Sulaimāniyyah (nama-nama thilsim lanjutan bab)</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بَفْطَلَمْ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ditulis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Dicatat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 lalu menoleh ke kanan dan ke kiri dengan bacaan tertentu sampai terdengar suara yang memberi salam.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Menghadap kiblat; “mā syā’ Allāh” tiga kali, tahlil tujuh kali, ḥauqalah tujuh kali, surah al-Jinn tujuh kali; seruan ke kanan tujuh kali dan formula ke kiri tujuh kali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الْكَلِمِ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الضَّمَائِرِ</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وَسَامِعٍ</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ditulis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dipertahankan dan tidak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dan makna yang dinisbatkan kepadanya untuk empat nama pertama. Tidak ada tata cara baru di halaman ini; tata caranya menyusul di halaman 105–106.</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Basmalah atas perapian (al-kānūn) dengan seruan kepada khadimnya (penutup fasal 19)</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الْأَثِيمِ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السَّوْدَاءِ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tidak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dipertahankan pengulangannya dan ditandai.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tidak diubah, karena mengubah nama dalam bacaan bukan wewenang.</w:t>
      </w:r>
    </w:p>
    <w:p>
      <w:pPr>
        <w:spacing w:before="40" w:after="100" w:line="269" w:lineRule="auto"/>
        <w:bidi w:val="0"/>
        <w:jc w:val="left"/>
      </w:pPr>
      <w:r>
        <w:rPr>
          <w:rFonts w:ascii="Amiri" w:hAnsi="Amiri" w:cs="Amiri" w:eastAsia="Amiri"/>
          <w:b w:val="0"/>
          <w:i w:val="0"/>
          <w:color w:val="1F2937"/>
          <w:sz w:val="24"/>
          <w:szCs w:val="28"/>
        </w:rPr>
        <w:t>Pembacaan ulang cetakan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Arab di atas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الْخَاطِفِ</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Tidak dihitung ulang nilainya.</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dipertahankan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Dicatat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tiga hari—Ahad, Senin, Selasa atau Selasa, Rabu, Kamis (kedua rangkaian pada cetakan dipertahankan); nama-nama disebut hingga pagi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Sepuluh nama yang dibaca menurut bilangan jummal masing-masing (1072, 535, 1403, 1598, 517, 646, 1813, 1314, 908, dan 1598)</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لِتَلْطِيفِ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تَغْشَى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dipertahankan keduanya dan ditandai, tidak dihapus.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dinyatakan dan tidak diratakan.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ditutup nasihat agar dipakai untuk kebaikan saja. Dicatat sebagai klaim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dibaca</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وَمَازَالَتْ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قُرَيْشِيَّةٍ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فَاقْتَلِى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[bagian ini kacau pada cetakan] «…»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dipahami dan tampaknya rusak pada cetakan; diberi tanda […], tidak ditambal.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dikenali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dicatat, tidak diuji dan tidak disarankan.</w:t>
      </w:r>
    </w:p>
    <w:p>
      <w:pPr>
        <w:spacing w:before="40" w:after="100" w:line="269" w:lineRule="auto"/>
        <w:bidi w:val="0"/>
        <w:jc w:val="left"/>
      </w:pPr>
      <w:r>
        <w:rPr>
          <w:rFonts w:ascii="Amiri" w:hAnsi="Amiri" w:cs="Amiri" w:eastAsia="Amiri"/>
          <w:b w:val="0"/>
          <w:i w:val="0"/>
          <w:color w:val="1F2937"/>
          <w:sz w:val="24"/>
          <w:szCs w:val="28"/>
        </w:rPr>
        <w:t>Pembacaan ulang cetakan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di atas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perbedaan itu dicatat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lalu pergi ke tanah lapang, memukul tanah dengan telapak tangan, sehingga raja-raja jin hadir.</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Riyāḍah 11 hari; menurut pembacaan cetakan asli, dibaca 21 kali sesudah setiap salat fardu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وَتَخْضِيرُ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مُسْتَنْفَرُونَ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رَقَبَا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diterjemahkan apa adanya dan ditandai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rakaat dan dua langkah ke arah mereka; ucapan “as-salāmu ‘alaikum yā rijāl al-ghaib” dan tiga nama pembuka rangkaian tawasul</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dicatat teksnya dan tidak diikuti.</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Setiap hari dari setiap bulan; satu dari delapan arah ditentukan menurut hari pada da’irah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Da’irah bergambar delapan arah dengan angka Hindi di sekelilingnya</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يَسْئَلُونَ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أَكْثَارَ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فَيَقْصِدُونَ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فَيُسْتَنْقَذُونَ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dipertahankan.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terverifikasi: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أَعْرَضَتْ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اجْلَوْا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sahkan;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dibiarkan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perluasan tawasul dibaca; Metode mencatat pembacaan tiga kali dalam konteks penyebutan keperluan (redaksi Terjemahan dipertahankan)</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الْأَخْوَالِ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وَأَرْزُقْنَا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خَيْثَمَ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الْيَمَانِيِّ</w:t>
      </w:r>
    </w:p>
    <w:p>
      <w:pPr>
        <w:spacing w:before="40" w:after="100" w:line="269" w:lineRule="auto"/>
        <w:bidi w:val="1"/>
        <w:jc w:val="start"/>
      </w:pP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أُدْرِيسَ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الْبِطَاحِي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الدَّرِينِي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Tercatat posisi itu, tidak diputuskan.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diterjemahkan sebagai «ketakutan» dan ditandai.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dicatat posisinya.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tawasul lanjutan (nama nabi, malaikat, sahabat, wali/ulama)</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الْجُرَيْدِيِّ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وَالْجُنَيْدِ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الْفَارُوقِي</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وَالشَّقِيقِ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الْعِرَاقِيّ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al-Warid, Abu ‘Umar al-Haddad, al-Qasim al-Wadud, as-Sari as-Saqathi, dan Abu Hasyim al-‘Iraqi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diikuti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dipastikan bacaannya; tidak dikarang.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dicatat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dipastikan. Tidak ada tata cara baru.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nama tawasul lanjutan hingga rangkaian Asmā’ al-Ḥusnā</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سَعْوَانَةَ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التَّنَعُّيمِ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وَخَيْرُهُمْ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يَعْمَلُونَ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سَابِقًا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dicatat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diberi tanda dan tidak ditambal.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dipertahankan dan ditandai. Ini klaim kosmologi penulis tentang para wali; dicatat, tidak diiyakan.</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يَتَوَضَّا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اغِيثُونِي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بِغَوْثِهِ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وَمَدْرَكُمْ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dipertahankan ganda. Menghadiahkan al-Fatihah kepada «para wali» dan meminta pertolongan mereka adalah persoalan akidah yang tidak dianjurkan; dicatat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dipertahankan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dicatat tegas, tidak disarankan.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Berwudu, salat dua rakaat, menghadap ke arah mereka, membaca al-Fatihah lalu «menghadiahkannya» kepada mereka, mengucapkan salam kepada «rijal al-ghaib» dengan menyebut quthb/ghauts/abdāl, menyebutkan keperluan, dan — menurut penulis — tidak ada bedanya engkau menghadap atau tidak.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dua rakaat, menghadap arah kaum rijāl al-ghaib, al-Fātiḥah dihadiahkan, lalu salam</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Sambungannya ada di unit berikutnya (M117).</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Kertas putih berisi wafaq Basmalah dan huruf-huruf di sekelilingnya; «hākadzā kahwu lahū» ditulis 100 kali; rangkaian «hayyā syarāhiyā…» ditulis 41 kali; ayat-ayat penjagaan, Ayat Kursi, penutup al-Baqarah, at-Taubah, al-Hasyr, dan al-Hadid, ash-Shamadiyyah, serta al-Mu‘awwidzatain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فَائْتَشِدْكُمْ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الْوَافِعِ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p>
    <w:p>
      <w:pPr>
        <w:spacing w:before="40" w:after="100" w:line="269" w:lineRule="auto"/>
        <w:bidi w:val="1"/>
        <w:jc w:val="start"/>
      </w:pP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(demikian seterusnya, kata-kata yang tidak dapat diterjemahkan). Dan kami bertasbih «…» (diulang) «…»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diterjemahkan; ditulis sebagai bunyi dan ditandai.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dicatat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ditulis sesuai teks. Penulis menempatkannya di tengah bacaan penangkal dan menyambungnya dengan ayat-ayat lain pada halaman 118 tanpa jeda — dipertahankan urutan itu dan ditandai batas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dicatat apa adanya.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besar lanjutan hijab dengan rangkaian Asmā’ al-Ḥusnā dan ayat-ayat hijab</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وَيَامَنُ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نِعْمَةً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تُخْصَى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وَبِأَمْنِكَ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الْقَرَايِنِ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وَالتَّزْوَايَعِ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بِحَفِيظٍ</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«…»bagi setiap pintu ada penjaganya.» «Dan sesungguhnya bagi kalian ada (malaikat) penjaga-penjaga.» «…»penjagaan dari setiap setan yang durhaka, dan penjagaan — itulah ketetapan Yang Mahaperkasa lagi Maha Mengetahui.» «Dan Kami menjaganya dari setiap setan yang terkutuk.» «Sesungguhnya Kamilah yang menurunkan Al-Qur’an, dan sesungguhnya Kami benar-benar memeliharanya.» «…»mereka di dalamnya» «…»sesungguhnya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dikenali,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Tidak ditambal dan tidak diklaim semuanya ayat; yang dapat dipastikan: QS al-Baqarah 2:256–257, ar-Ra‘d 13:11, Hud 11:57, al-Hijr 15:9, al-Infithar 82:10, Fushshilat 41:12, al-Mulk 67:5. Kutipan lain dibiarkan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dipastikan maknanya; dibiarkan bertanda dan tidak dikarang arti.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lanjutan dengan rangkaian Asmā’, ayat takdir, ḥauqalah, dan bacaan ayat/rukun iman</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صَحِيحٌ</w:t>
      </w:r>
    </w:p>
    <w:p>
      <w:pPr>
        <w:spacing w:before="40" w:after="100" w:line="269" w:lineRule="auto"/>
        <w:bidi w:val="1"/>
        <w:jc w:val="start"/>
      </w:pPr>
      <w:r>
        <w:rPr>
          <w:rFonts w:ascii="Amiri" w:hAnsi="Amiri" w:cs="Amiri" w:eastAsia="Amiri"/>
          <w:b w:val="0"/>
          <w:i w:val="0"/>
          <w:color w:val="1F2937"/>
          <w:sz w:val="42"/>
          <w:szCs w:val="46"/>
          <w:rtl/>
        </w:rPr>
        <w:t>وَحِفْظُهُ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وَالْوَلَدِ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dipertahankan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dan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dipertahankan keduanya dan ditandai — tidak dihapus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penjagaan dari ṭawāriq al-lail wa an-nahār; akhir at-Taubah, akhir al-Ḥasyr, al-Mu‘awwidzatain, dan al-Ikhlāṣ menurut ringkasan Metode (nama surah terakhir pada Terjemahan tidak pasti)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الصِّبْيَاتِ</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الصِّبْيَاتِ</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بِجَلْبِ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diterjemahkan dan tidak dihitung ulang; disalin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tidak menjamin ketepatannya; rujuk cetakan.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dicatat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Surah al-Burūj dan al-Ḥadīd ditulis dalam huruf-huruf terpisah bersama kutipan al-Ḥasyr sampai akhir surah, lalu digantungkan pada anak atau maqrūn</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وَصِلْهُمْ</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dipertahankan.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ditulis sebagai bunyi. I‘rab tidak dapat diterapkan konsisten.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 ditulis huruf abjad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Wafaq Basmalah dengan huruf alif sampai ẓā’ mengelilinginya; «hākadzā kahwu lahū» ditulis 100 kali; rangkaian «hayyā syarāhiyā…» ditulis 41 kali; ayat-ayat penjagaan dan al-Mu‘awwidzatain; wafaq 3×3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فَافْهَمَا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Nomor halaman tidak terbaca pada cetakan; tidak diberi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Dipertahankan keduanya dan ditandai bahwa bentuk persis nama dan gelar penulis pada halaman ini belum dapat dipastikan;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 kemudian membaca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