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 Semua akibat dalam paragraf ini adalah klaim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 Seluruh mekanisme dan akibat pada halaman ini adalah klaim penulis yang tidak diverifikasi.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 Ketiga rangkaian ini diterjemahkan sebagai klaim penulis, bukan sebagai diagnosis atau penjelasan medis.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dengan hak orang pilihan-Mu Nuh serta bahteranya, dan para nabi serta rasul yang berketurunan di antara keduanya. Sembuhkanlah aku dengan kesembuhan-Mu, obatilah aku dengan obat-Mu, dan sehatkanlah aku dengan kesehatan serta pemberian kesehatan-Mu, karena tidak ada tuhan selain Engkau dan tidak ada Tuhan selain Engkau; dan jagalah dia.” Semoga Allah melimpahkan salawat kepada junjungan kami Muhammad, keluarganya, dan para sahabatnya. Objek “dia” pada kata terakhir doa tidak disebutkan secara tegas.</w:t>
      </w:r>
    </w:p>
    <w:p>
      <w:pPr>
        <w:spacing w:before="40" w:after="100" w:line="269" w:lineRule="auto"/>
        <w:bidi w:val="0"/>
        <w:jc w:val="left"/>
      </w:pPr>
      <w:r>
        <w:rPr>
          <w:rFonts w:ascii="Amiri" w:hAnsi="Amiri" w:cs="Amiri" w:eastAsia="Amiri"/>
          <w:b w:val="0"/>
          <w:i w:val="0"/>
          <w:color w:val="1F2937"/>
          <w:sz w:val="24"/>
          <w:szCs w:val="28"/>
        </w:rPr>
        <w:t xml:space="preserve">Judul dalam Arab final berbunyi: “Mukhammas untuk segala penyakit; [tulisannya] dihapus/dilarutkan dan [orangnya] disembuhkan.” Paragraf Arab berikutnya adalah deskriptor: “Wafaq mukhammas 5×5; tabel aslinya dilihat pada gambar halaman 58.” Isi yang terbaca, baris demi baris dari kanan ke kiri, adalah: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(tidak pasti)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Judul dan susunan ini dipertahankan sebagai deskripsi wafaq penulis, bukan sebagai anjuran atau bukti kesembuhan.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 Rangkaian ini diterjemahkan sebagai petunjuk dan klaim penulis semata, bukan bukti keamanan atau keberhasilan.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