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20 — AL-WAFQU AL-MUTSALLATS 3×3 — الْوَفْقُ الْمُثَلَّثُ</w:t>
      </w:r>
    </w:p>
    <w:p>
      <w:pPr>
        <w:pStyle w:val="Heading2"/>
      </w:pPr>
      <w:r>
        <w:t>arab</w:t>
      </w:r>
    </w:p>
    <w:p>
      <w:pPr>
        <w:pStyle w:val="Heading2"/>
      </w:pPr>
      <w:r>
        <w:t>latin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</w:p>
    <w:p>
      <w:pPr>
        <w:pStyle w:val="Heading2"/>
      </w:pPr>
      <w:r>
        <w:t>Syarah dan Penjelasan</w:t>
      </w:r>
    </w:p>
    <w:p>
      <w:r>
        <w:rPr>
          <w:sz w:val="17"/>
        </w:rPr>
        <w:t>Wafaq musallas 3×3 Tadmīr azh-Zhālim berbingkai hijau dengan empat sudut Anfāyīl (diagonal) dan bingkai basmalah muwāliyah lil-mutsallas. Delapan angka luar berjumlah 1896 per baris/kolom (614+1230+52=1896 dst.), jantung dibiarkan kosong untuk diisi hasil hisab huruf daf‘ yang dilingkari. Angka-angka ditulis dengan tinta asror tanpa dialih-aksarakan; keempat arkan berfungsi sebagai pasak penjaga segitiga.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Wafaq ini tidak berdiri sendiri: harus diukir di tembaga merah, dibasuh basmalah, diasapi qisth al-murr, dibakar, direndam, dan diaktifkan dengan ‘azīmah 1264×. Kehati-hatian dalam arah tulisan (kanan→kiri, muwāliyah) menentukan kesempurnaan hisab.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66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20_wafaq_3x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[Gambar: HALAMAN 20 — AL-WAFQU AL-MUTSALLATS 3×3 — الْوَفْقُ الْمُثَلَّثُ — hal_20_wafaq_3x3.jpg]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Hal20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