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Halaman 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Halaman 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Halaman 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manna biriwaaqit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bi-aayatil 'ajzi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ushuulil-mawjuudaati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 telah menganugerahkan serambi penciptaan 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tanda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prinsip-prinsip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Arab final membaca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(manna, “telah menganugerahkan”), bukan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vokalisasi itu diikuti pada Latin dan Terjemahan.</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4"/>
          <w:szCs w:val="28"/>
        </w:rPr>
        <w:t xml:space="preserve">Arab final membaca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 xml:space="preserve"> (ushūl, “prinsip-prinsip/dasar-dasar”), sehingga kandidat </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tidak dipakai.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Halaman 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Halaman 5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Halaman 6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Halaman 7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Halaman 8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Halaman 9 — BAB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Halaman 10 —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Halaman 11 —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aaniyatin mughaththaatin. Fa-idzaa shallal maghriba raka'as sunnata wa yajlisu mustaqbilal qiblati yumuddu yadahu min tahtil ghithaa'i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tidak terbaca pasti pada cetakan. Sesudah kata wadah, Arab final membaca «</w:t>
      </w:r>
      <w:r>
        <w:rPr>
          <w:rFonts w:ascii="Amiri" w:hAnsi="Amiri" w:cs="Amiri" w:eastAsia="Amiri"/>
          <w:b w:val="0"/>
          <w:i w:val="0"/>
          <w:color w:val="1F2937"/>
          <w:sz w:val="28"/>
          <w:szCs w:val="32"/>
          <w:rtl/>
        </w:rPr>
        <w:t>مُغَطَّاةٍ</w:t>
      </w:r>
      <w:r>
        <w:rPr>
          <w:rFonts w:ascii="Amiri" w:hAnsi="Amiri" w:cs="Amiri" w:eastAsia="Amiri"/>
          <w:b w:val="0"/>
          <w:i w:val="0"/>
          <w:color w:val="1F2937"/>
          <w:sz w:val="24"/>
          <w:szCs w:val="28"/>
        </w:rPr>
        <w:t>» dan klausa tangan dari bawah penutup, sehingga keduanya kini ditransliterasikan.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Halaman 12 —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Halaman 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Halaman 11</w:t>
      </w:r>
    </w:p>
    <w:p>
      <w:r>
        <w:br w:type="page"/>
      </w:r>
    </w:p>
    <w:p>
      <w:pPr>
        <w:pStyle w:val="Heading1"/>
        <w:bidi w:val="0"/>
        <w:spacing w:before="240" w:after="100"/>
        <w:jc w:val="left"/>
      </w:pPr>
      <w:r>
        <w:rPr>
          <w:rFonts w:ascii="Amiri" w:hAnsi="Amiri" w:cs="Amiri" w:eastAsia="Amiri"/>
          <w:b/>
          <w:i w:val="0"/>
          <w:color w:val="1F2937"/>
          <w:sz w:val="36"/>
          <w:szCs w:val="40"/>
          <w:bCs/>
        </w:rPr>
        <w:t>Halaman 13 —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Halaman 14 —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Halaman 15 —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Halaman 16 —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Halaman 17 —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Halaman 18 —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Halaman 19 —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Halaman 20 —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Halaman 21 —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Halaman 22 —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Halaman 23 —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Halaman 24 —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Halaman 25 —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Halaman 26 —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Halaman 27 —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Halaman 28 —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Halaman 29 —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Halaman 30 —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Halaman 31 —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Halaman 32 —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Halaman 33 —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Halaman 34 —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Halaman 35 —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Halaman 36 —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Halaman 37 —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Halaman 38 —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Halaman 39 —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Halaman 40 —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Halaman 41 —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Halaman 42 —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Halaman 43 —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Halaman 44 —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Halaman 45 —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Halaman 46 —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Halaman 47 —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Halaman 48 —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Halaman 49 —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50 —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Halaman 51 —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Halaman 52 —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Halaman 53 —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Halaman 54 —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55 —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Halaman 56 —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Halaman 57 —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58 —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Halaman 59 —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Halaman 60 —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Halaman 61 —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Halaman 62 —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Halaman 63 —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64 —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65 —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66 —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67 —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68 —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Halaman 69 —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70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71 —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Halaman 72 —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Halaman 73 —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Halaman 74 —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75 —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76 —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Halaman 75</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77 —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78 —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79 —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80 —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Halaman 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81 —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82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83 —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84 —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85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Halaman 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86 —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87 —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Halaman 88 —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Halaman 89 —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90 —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Halaman 91 —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92 —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93 —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Halaman 94 —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Halaman 95 —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Halaman 96 —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97 —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Halaman 98 —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Halaman 99 —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100 —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Halaman 101 —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Halaman 102 —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Halaman 103 —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Halaman 104 —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Halaman 105 —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Halaman 106 —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Halaman 107 —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Halaman 108 —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Halaman 109 —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Halaman 110 —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Halaman 111 —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Halaman 112 —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Halaman 113 —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Halaman 114 —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Halaman 115 —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116 —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(Halaman 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Halaman 117 —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Halaman 118 —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Halaman 119 —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120 —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121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