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Halaman 16–Halaman 64, Halaman 6–Halaman 15/Halaman 72–Halaman 121, dan batch terakhir Halaman 68/Halaman 70/Halaman 71 telah dikurasi setingkat pilot (catatan dipilih dari catatan lama, Khususiyah tingkat frasa, stub/kontradiksi Metode yang terbukti dikoreksi), sehingga seluruh 123 unit telah masuk pilot atau salah satu batch semantik. Crop wafaq adalah crop presisi kiriman pengguna, bukan ekstraksi FINAL KHATAM. Aturan lapis kondisional 2026-10-28: SAMPUL tampil 3 lapis (catatan sampul di akhir Terjemahan), Halaman 1 (Muqodimah) dan Halaman 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Halaman 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Halaman 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manna biriwaaqit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bi-aayatil 'ajzi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ushuulil-mawjuudaati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 telah menganugerahkan serambi penciptaan 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tanda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prinsip-prinsip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Arab final membaca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(manna, “telah menganugerahkan”), bukan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vokalisasi itu diikuti pada Latin dan Terjemahan.</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4"/>
          <w:szCs w:val="28"/>
        </w:rPr>
        <w:t xml:space="preserve">Arab final membaca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 xml:space="preserve"> (ushūl, “prinsip-prinsip/dasar-dasar”), sehingga kandidat </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tidak dipakai.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5 — BAB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6 — BAB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7 — BAB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8 — BAB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9 — BAB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10 —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11 —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aaniyatin mughaththaatin. Fa-idzaa shallal maghriba raka'as sunnata wa yajlisu mustaqbilal qiblati yumuddu yadahu min tahtil ghithaa'i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tidak terbaca pasti pada cetakan. Sesudah kata wadah, Arab final membaca «</w:t>
      </w:r>
      <w:r>
        <w:rPr>
          <w:rFonts w:ascii="Amiri" w:hAnsi="Amiri" w:cs="Amiri" w:eastAsia="Amiri"/>
          <w:b w:val="0"/>
          <w:i w:val="0"/>
          <w:color w:val="1F2937"/>
          <w:sz w:val="28"/>
          <w:szCs w:val="32"/>
          <w:rtl/>
        </w:rPr>
        <w:t>مُغَطَّاةٍ</w:t>
      </w:r>
      <w:r>
        <w:rPr>
          <w:rFonts w:ascii="Amiri" w:hAnsi="Amiri" w:cs="Amiri" w:eastAsia="Amiri"/>
          <w:b w:val="0"/>
          <w:i w:val="0"/>
          <w:color w:val="1F2937"/>
          <w:sz w:val="24"/>
          <w:szCs w:val="28"/>
        </w:rPr>
        <w:t>» dan klausa tangan dari bawah penutup, sehingga keduanya kini ditransliterasikan.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12 —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Halaman 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Halaman 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13 —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14 —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15 —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16 —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ialah sisi yang dengannya ia mengetahui bekas-bekas malakut, hakikat-hakikat jabarut, dan tajalli cahaya-cahaya. Kepadanyalah isyarat firman Allah Taala: “Dan demikianlah Kami memperlihatkan kepada Ibrahim malakut langit dan bumi.” Sebagian al-muhaqqiq berkata bahwa yang dimaksud ialah wajah hati, karena wajah penjasadan hanya mengetahui sesuatu yang mempunyai wajah dan ‘ayn, sedangkan wajah hati mengetahui “mil’a wajhin lahu”—susunan frasa ini belum mantap. Termasuk dalam pengertian itu firman-Nya: “Aku menghadapkan wajahku kepada Zat yang menciptakan langit dan bumi dengan lurus.” Sebagian mereka berkata bahwa yang dimaksud ialah wajah hatinya.</w:t>
      </w:r>
    </w:p>
    <w:p>
      <w:pPr>
        <w:spacing w:before="40" w:after="100" w:line="269" w:lineRule="auto"/>
        <w:bidi w:val="0"/>
        <w:jc w:val="left"/>
      </w:pPr>
      <w:r>
        <w:rPr>
          <w:rFonts w:ascii="Amiri" w:hAnsi="Amiri" w:cs="Amiri" w:eastAsia="Amiri"/>
          <w:b w:val="0"/>
          <w:i w:val="0"/>
          <w:color w:val="1F2937"/>
          <w:sz w:val="24"/>
          <w:szCs w:val="28"/>
        </w:rPr>
        <w:t>Wajah kedua dimaksudkan sebagai zat insani. Dengannya manusia bertindak dalam al-mulk dan mengetahui bekas-bekas alam kesaksian serta hakikat beragamnya perbuatan. Kemudian ada dua wajah lain.</w:t>
      </w:r>
    </w:p>
    <w:p>
      <w:pPr>
        <w:spacing w:before="40" w:after="100" w:line="269" w:lineRule="auto"/>
        <w:bidi w:val="0"/>
        <w:jc w:val="left"/>
      </w:pPr>
      <w:r>
        <w:rPr>
          <w:rFonts w:ascii="Amiri" w:hAnsi="Amiri" w:cs="Amiri" w:eastAsia="Amiri"/>
          <w:b w:val="0"/>
          <w:i w:val="0"/>
          <w:color w:val="1F2937"/>
          <w:sz w:val="24"/>
          <w:szCs w:val="28"/>
        </w:rPr>
        <w:t>Wajah pertama ialah iman: iman yang Allah tuliskan di dalam hatinya. Ia adalah lathifah insani yang Rabbani, yang mengetahui cahaya-cahaya as-shafahat (halaman-halaman) dan “kenabian tajalli”—susunan istilah ini dipertahankan apa adanya. Hal itu bagi para pemilik ahwal dalam muamalat dan para ahli munazalat. Wajah kedua ialah nama-nama: Allah menitipkan ilmu dan kelembutan nama-nama di dalamnya. Makna-makna mengambil bentuk melalui wajah ini ketika muncul dari hakikat ruh dan berlangsungnya perbuatan sesuai tuntutan ilmu. Ia pula yang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17 —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menyingkapkan hakikat segala maujud: bagaimana maujud itu tegak dengan nama-nama dan perbuatan-perbuatan, dan bagaimana kelangsungan wujudnya berasal dari Zat yang mengesakannya, yaitu Allah Taala—baik dalam tauhid nama-nama maupun tauhid perbuatan. Kemudian ada dua wajah lain: wajah untuk menyaksikan al-amr al-‘ulya, yang dengannya Kitab Allah Taala dibaca dan kelembutan Al-Qur'an yang agung dipahami. Dengannya seseorang bergerak dalam ilmu pemahaman dan menjadi lapang di arena takwil, sehingga Kitab Allah Taala dipahami menurut kadar yang Allah khususkan baginya, sesuai dengan yang Dia kehendaki.</w:t>
      </w:r>
    </w:p>
    <w:p>
      <w:pPr>
        <w:spacing w:before="40" w:after="100" w:line="269" w:lineRule="auto"/>
        <w:bidi w:val="0"/>
        <w:jc w:val="left"/>
      </w:pPr>
      <w:r>
        <w:rPr>
          <w:rFonts w:ascii="Amiri" w:hAnsi="Amiri" w:cs="Amiri" w:eastAsia="Amiri"/>
          <w:b w:val="0"/>
          <w:i w:val="0"/>
          <w:color w:val="1F2937"/>
          <w:sz w:val="24"/>
          <w:szCs w:val="28"/>
        </w:rPr>
        <w:t xml:space="preserve">Wajah kedua ialah alam perintah yang tertinggi, yaitu yang terbit dari Kalimat pertama. Dengannya seseorang menyaksikan hakikat dan rahasia sunah serta mengikuti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perbuatan, ucapan, perintah, dan larangan beliau. Dengannya pula diketahui kedudukan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Al-Qur'an dari Allah, Mahasuci dan Mahatinggi Dia, sehingga orang itu senantiasa beradab lahir dan batin serta memahami dari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maksud beliau dalam hukum-hukum sunahnya dan kelembutan hikmahnya. Kemudian ada dua wajah lain.</w:t>
      </w:r>
    </w:p>
    <w:p>
      <w:pPr>
        <w:spacing w:before="40" w:after="100" w:line="269" w:lineRule="auto"/>
        <w:bidi w:val="0"/>
        <w:jc w:val="left"/>
      </w:pPr>
      <w:r>
        <w:rPr>
          <w:rFonts w:ascii="Amiri" w:hAnsi="Amiri" w:cs="Amiri" w:eastAsia="Amiri"/>
          <w:b w:val="0"/>
          <w:i w:val="0"/>
          <w:color w:val="1F2937"/>
          <w:sz w:val="24"/>
          <w:szCs w:val="28"/>
        </w:rPr>
        <w:t>Wajah pertama ialah sisi tempat alam ikhtira‘ (penciptaan baru) bertajalli; alam itu berada di luar ribq al-mitsal (lingkaran perumpamaan). Bahkan ia adalah penampakan kekuasaan atas [al-jam‘]—kata dalam kurung siku pada sumber belum pasti—dan dengannya disaksikan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18 —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keturunan pertama sebelum mereka berada dalam alam penggambaran dan pembentukan, sehingga perkara Allah Taala dan ketetapan-Nya menjadi agung di sisinya secara keseluruhan. Wajah kedua ialah wajah al-fatq (pembukaan), yaitu cermin tempat alam ibda‘ bertajalli. Alam ibda‘ bergantung pada kehendak, sebagaimana alam ikhtira‘ bergantung pada kekuasaan. Dengannya ia menyaksikan alam-alam fitrah dan bagaimana alam itu tersusun melalui rahasia kehendak tertinggi. Allah Mahasuci menjadikan …</w:t>
      </w:r>
    </w:p>
    <w:p>
      <w:pPr>
        <w:spacing w:before="40" w:after="100" w:line="269" w:lineRule="auto"/>
        <w:bidi w:val="0"/>
        <w:jc w:val="left"/>
      </w:pPr>
      <w:r>
        <w:rPr>
          <w:rFonts w:ascii="Amiri" w:hAnsi="Amiri" w:cs="Amiri" w:eastAsia="Amiri"/>
          <w:b w:val="0"/>
          <w:i w:val="0"/>
          <w:color w:val="1F2937"/>
          <w:sz w:val="24"/>
          <w:szCs w:val="28"/>
        </w:rPr>
        <w:t xml:space="preserve">… rahasia tauhidnya dalam alam al-jam‘ (penghimpunan). Dialah yang mahasuci pada tahap-tahap segala maujud. Sekalipun susunan “menambah wujud” di atas perbedaan tatanannya belum mantap, maksud penulis ialah bahwa wujud itu muncul dengan hikmah tersembunyi dan pengistimewaan qadari. Inilah wajah-wajah hati; kemudian hati mempunyai dua mata. Termasuk dalil yang dikemukakan penulis ialah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“Waspadalah terhadap firasat orang mukmin, karena ia memandang dengan cahaya Allah Taala.”</w:t>
      </w:r>
    </w:p>
    <w:p>
      <w:pPr>
        <w:spacing w:before="40" w:after="100" w:line="269" w:lineRule="auto"/>
        <w:bidi w:val="0"/>
        <w:jc w:val="left"/>
      </w:pPr>
      <w:r>
        <w:rPr>
          <w:rFonts w:ascii="Amiri" w:hAnsi="Amiri" w:cs="Amiri" w:eastAsia="Amiri"/>
          <w:b w:val="0"/>
          <w:i w:val="0"/>
          <w:color w:val="1F2937"/>
          <w:sz w:val="24"/>
          <w:szCs w:val="28"/>
        </w:rPr>
        <w:t>Termasuk pula firman Allah ‘Azza wa Jalla: “Engkau melihat mereka memandang kepadamu, padahal mereka tidak melihat.” Allah Taala juga berfirman: “Sesungguhnya bukan penglihatan mata yang buta, melainkan hati yang di dalam dada itulah yang buta.” Inilah isyarat-isyarat mengenai mata hati. Kemudian ada dua mata lain.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19 —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Mata pertama adalah bagi jiwa. Menurut penulis, mata ini menyingkapkan alam langit, tingkatan falak, tasbih para Karubiyyin, cara Allah Taala menyusun peredaran falaknya, perbedaan bentuk para malaikatnya, dan beragam ibadah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adalah bagi susunan insani dan alam bawah secara keseluruhan. Dengannya tersingkap rahasia-rahasia Allah Taala yang dengan rahasia itu Dia mengukuhkan bumi-bumi, serta rahasia yang dengannya Allah mengangkat langit dengan penopang kekuasaan dan tiang kehendak. Hal ini senantiasa berada dalam peredaran atau suatu qanah—istilah sumber ini belum jelas—yang dipergilirkan oleh tangan-tangan pikiran dan berbagai “tangan” pengaturan. Kemudian ada dua mata lain: mata yang memandang dengan cahaya iman. Dengannya, menurut penulis, ia menyaksikan alam-alam Kursi dan cara Allah menitipkan di dalamnya bentuk-bentuk segala maujud serta berbagai khalwat; ia juga memahami rahasia penempatan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20 —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 nama-nama. Menurut penulis, dengannya Lauh Mahfuz dipandang—susunan Arab pada bagian ini belum mantap—dan tersingkap rahasia yang Allah Taala titipkan di dalamnya berupa ragam kehendak-Nya pada tahap-tahap maujud-Nya, menurut bagian yang ditetapkan baginya. Penyingkapannya terjadi dengan kekuasaan Rabbani. Frasa berikutnya, yang menyebut gerakan-gerakannya “tidak ditentukan sampai Ia melepaskannya dan memuliakannya di atas kami”, hubungannya belum dapat ditetapkan. Penulis mengaitkannya dengan ucapan yang ia nisbatkan kepada Abu-Bakr—semoga Allah meridainya—: “Aku tidak melihat sesuatu melainkan aku melihat Allah sebelumnya,” sehingga orang itu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ada dua mata lain. Pertama, mata untuk memandang rahasia al-amr, yaitu batin kekuasaan. Dengannya Allah Taala menyingkapkan rahasia ilmu qadari yang menulis sebab-sebab ketetapan kekuasaan. Orang itu menyaksikan rahasia yang Allah Taala titipkan dari rahasia al-amr dan batin qadar yang tertata. Menurut penulis, merekalah orang-orang yang diliputi fana dalam perbuatan dan tenggelam dalam al-hal; mereka adalah orang-orang yang mengucapkan prinsip-prinsip hikmah.</w:t>
      </w:r>
    </w:p>
    <w:p>
      <w:pPr>
        <w:spacing w:before="40" w:after="100" w:line="269" w:lineRule="auto"/>
        <w:bidi w:val="0"/>
        <w:jc w:val="left"/>
      </w:pPr>
      <w:r>
        <w:rPr>
          <w:rFonts w:ascii="Amiri" w:hAnsi="Amiri" w:cs="Amiri" w:eastAsia="Amiri"/>
          <w:b w:val="0"/>
          <w:i w:val="0"/>
          <w:color w:val="1F2937"/>
          <w:sz w:val="24"/>
          <w:szCs w:val="28"/>
        </w:rPr>
        <w:t>Mata kedua memandang dengan cahaya alam al-amr. Dengannya disaksikan hakikat bentuk-bentuk dan cara pembagian bagi Israfil. Ia adalah sosok yang menunggu saat diperintahkan meniup; dan ia menyaksikan hakikat peniupan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21 —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22 —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23 —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24 —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25 —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26 —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27 —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28 —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29 —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30 —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31 —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32 —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33 —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34 —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35 —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36 —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37 —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38 —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39 —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40 —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41 —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42 —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43 —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44 —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45 —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46 —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47 —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48 —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49 —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50 —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Halaman 51 —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Halaman 52 —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Halaman 53 —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Halaman 54 —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55 —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56 —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57 —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58 —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dengan hak orang pilihan-Mu Nuh serta bahteranya, dan para nabi serta rasul yang berketurunan di antara keduanya. Sembuhkanlah aku dengan kesembuhan-Mu, obatilah aku dengan obat-Mu, dan sehatkanlah aku dengan kesehatan serta pemberian kesehatan-Mu, karena tidak ada tuhan selain Engkau dan tidak ada Tuhan selain Engkau; dan jagalah dia.” Semoga Allah melimpahkan salawat kepada junjungan kami Muhammad, keluarganya, dan para sahabatnya. Objek “dia” pada kata terakhir doa tidak disebutkan secara tegas.</w:t>
      </w:r>
    </w:p>
    <w:p>
      <w:pPr>
        <w:spacing w:before="40" w:after="100" w:line="269" w:lineRule="auto"/>
        <w:bidi w:val="0"/>
        <w:jc w:val="left"/>
      </w:pPr>
      <w:r>
        <w:rPr>
          <w:rFonts w:ascii="Amiri" w:hAnsi="Amiri" w:cs="Amiri" w:eastAsia="Amiri"/>
          <w:b w:val="0"/>
          <w:i w:val="0"/>
          <w:color w:val="1F2937"/>
          <w:sz w:val="24"/>
          <w:szCs w:val="28"/>
        </w:rPr>
        <w:t xml:space="preserve">Judul dalam Arab final berbunyi: “Mukhammas untuk segala penyakit; [tulisannya] dihapus/dilarutkan dan [orangnya] disembuhkan.” Paragraf Arab berikutnya adalah deskriptor: “Wafaq mukhammas 5×5; tabel aslinya dilihat pada gambar halaman 58.” Isi yang terbaca, baris demi baris dari kanan ke kiri, adalah: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(tidak pasti)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Judul dan susunan ini dipertahankan sebagai deskripsi wafaq penulis, bukan sebagai anjuran atau bukti kesembuhan.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59 —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60 —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61 —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bi-maqluubihii.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62 —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63 —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1 - maazarun 2 - kathmun 3 - qanduuratu 4 - thaykalu. «Asmaa-ur ruuhaniyyatis sab'ati»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64 —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65 —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Alif Lam Mim; Alif Lam Mim; Alif Lam Mim Shad; Alif Lam Mim Ra; Alif Lam Ra; Alif Lam Mim Ra; Kaf Ha Ya ‘Ain Shad; Tha Ha; Tha Sin Mim; Alif Lam Mim lima kali; Ya Sin; Shad; Ha Mim; Ha Mim ‘Ain Sin Qaf; Ha Mim lima kali; Qaf; Nun.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66 —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67 —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“Ya Sin.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68 —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Ashba'ut,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Alif Lam Mim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69 —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70 —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71 —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thaa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tha' bahwa siapa yang menulisnya seperti itu dan menulis “Tha Sin Mim”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72 —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fa, jim, syin, tsa, zha, kha, za; Jabbar, Syakur, Tsabit, Zhahir, Khabir, Dzaki; serta hauqalah. Bismillahirrahmanirrahim. Alif Lam Mim.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73 —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fa, jim, syin,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Kaf Ha Ya 'Ain Shad sampai “wa 'asyiyyan” (Maryam), dan “Ia berkata: Sesungguhnya aku hanyalah utusan Tuhanmu” sampai formula “ia mengandungnya dengan izin Allah; maka ia mengandungnya dengan kekuasaan Allah; maka ia mengandungnya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74 —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75 —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76 —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Halaman 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77 —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Alif Lam Mim.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Thaha, 93, min, 4, Shad, Dal.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78 —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79 —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80 —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Halaman 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81 —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82 —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83 —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84 —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85 —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Halaman 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86 —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87 —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88 —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89 —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90 —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91 —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92 —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93 —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94 —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95 —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96 —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97 —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Halaman 98 —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99 —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100 —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101 —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102 —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103 —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104 —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105 —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106 —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107 —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Halaman 108 —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109 —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[Lingkaran dibagi menjadi delapan bagian yang memuat arah, angka, dan nama—rujuk gambar/crop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110 —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111 —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112 —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113 —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114 —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115 —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116 —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Al-Qarinah. Bab untuk mencegah al-Qarinah Umm ash-Shibyan.” Penulis mengarahkan agar wafaq Basmalah asy-Syarifah al-Untsa ditulis pada kertas putih, kemudian di sekelilingnya ditulis huruf-huruf berikut: alif, ba, ta, tsa, jim, ha, kha, dal, dzal, ra, zai, sin, syin, shad, dhad, tha, zha, 'ain, ghain, fa, qaf, kaf, lam, mim, nun, ha, wau, lam, alif, ya. Kalimat berikutnya secara harfiah berbunyi: “tulis 100 kali begini: Kahwu lahuu, Hayya Syarahiya, Adunai, Ashba'uts, El Syaddai (41 kali)”; hubungan kedua hitungan itu tidak diputuskan di sini. Penulis juga mengarahkan penulisan semua ayat penjagaan, Ayat Kursi, akhir surah al-Baqarah, akhir surah at-Taubah, akhir surah al-Hasyr, akhir surah al-Hadid “sampai dzat ash-shudur” sebagaimana redaksi final, ash-Shamadiyah, dan al-Mu'awwidzatain. Tulisan itu diasapi lalu, menurut penulis, dibawa oleh orang yang disebut maqrun dan oleh perempuan yang menggugurkan anak-anak.</w:t>
      </w:r>
    </w:p>
    <w:p>
      <w:pPr>
        <w:spacing w:before="40" w:after="100" w:line="269" w:lineRule="auto"/>
        <w:bidi w:val="0"/>
        <w:jc w:val="left"/>
      </w:pPr>
      <w:r>
        <w:rPr>
          <w:rFonts w:ascii="Amiri" w:hAnsi="Amiri" w:cs="Amiri" w:eastAsia="Amiri"/>
          <w:b w:val="0"/>
          <w:i w:val="0"/>
          <w:color w:val="1F2937"/>
          <w:sz w:val="24"/>
          <w:szCs w:val="28"/>
        </w:rPr>
        <w:t>“Bab lain untuk al-Qarinah.” Penulis menyatakan teks berikutnya ditulis dan dibawa untuk perempuan yang menggugurkan anak-anak “dan selainnya”; tulisan diasapi dan dibawa oleh perempuan itu. Halaman berakhir dengan, “Inilah yang ditulis:” dan teksnya berlanjut pada Halaman 117.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Halaman 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Halaman 117 —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 Rangkaian awal ditransliterasikan apa adanya: “Irqan, Syarqan, 'Armuqasya, Istathafa, Suthufa, Khuthufa, Khaththafa, Sya'dasya, Syatukha—Allah, Rabb kemuliaan dan keagungan—bi-Amhisyalu, wa Subbuhin, an Qajja, Syatukha, Irmuhaitsa, Yang Qadim, Yang Azali, Yang Kekal, Yang Abadi.” Penulis kemudian mengutip: “Sesungguhnya orang-orang yang menganiaya orang-orang mukmin laki-laki dan perempuan, kemudian mereka tidak bertobat, maka bagi mereka azab Jahanam dan bagi mereka azab yang membakar.” Ia melanjutkan seruan: “Aku memohon dengan sangat kepadamu, wahai sekalian jin, dengan Allah Yang Mahaperkasa, Yang Esa, Yang Maha Menundukkan, Yang Maha Memelihara, Yang Memenuhi, Yang Mencegah, Yang Menolak, dan dengan perjanjian yang diambil atas kalian oleh tuan kami Sulaiman bin Dawud—semoga keselamatan atas keduanya—jangan dekati dan jangan menghampiri pembawa tulisanku ini atau pembawa haikal ini. Tinggalkan dia, pergilah darinya, dan jagalah dia dalam lindungan dan pemeliharaan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Penulis kemudian mengutip Ayat Kursi: “Allah, tidak ada tuhan selain Dia, Yang Mahahidup lagi terus-menerus mengurus makhluk-Nya. Dia tidak mengantuk dan tidak tidur. Milik-Nya apa yang di langit dan apa yang di bumi. Siapakah yang dapat memberi syafaat di sisi-Nya tanpa izin-Nya? Dia mengetahui apa yang di hadapan mereka dan apa yang di belakang mereka; mereka tidak mengetahui sesuatu pun dari ilmu-Nya melainkan apa yang Dia kehendaki. Kursi-Nya meliputi langit dan bumi, dan memelihara keduanya tidak memberatkan-Nya. Dia Mahatinggi lagi Mahaagung.” Berikutnya: “Tidak ada paksaan dalam agama; sungguh telah jelas jalan yang benar dari jalan yang sesat. Siapa yang ingkar kepada thaghut dan beriman kepada Allah, sungguh ia telah berpegang pada tali yang sangat kokoh yang tidak akan putus. Allah Maha Mendengar lagi Maha Mengetahui.” Kutipan berlanjut: “Allah adalah Pelindung orang-orang yang beriman; Dia mengeluarkan mereka dari aneka kegelapan menuju cahaya. Orang-orang yang kafir, pelindung-pelindung mereka adalah thaghut yang mengeluarkan mereka dari cahaya menuju aneka kegelapan—” Halaman berhenti di tengah ayat; penutupnya berada pada Halaman 118.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118 —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Halaman 119 —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120 —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ha', 'ain, ghain, wau, 91119, wau, 1116, wau, tha', alif, 115, 119, shad, shad, shad, 11, 55, mim, sha' (shad dan 'ain tertulis rapat), ba', alif, jim, wa-l, shad, alif, alif berhamzah, wau, lam, alif berhamzah, 922, wau, 111, tha', alif berhamzah, 'ain, alif, ha', 5115, 111, 196, 55, wau, kaf, lam, wau, ra', 5, 'ain, 6, 'ain, wau, 49, wau, 111, dal, 'ain, 191, wau,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121 —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alif, ba, ta, tsa, jim, ha, kha, dal, dzal, ra, zai, sin, syin, shad, dhad, tha, zha. Sesudah itu redaksi final berbunyi secara harfiah: “tulis mi'ata jimin (seratus jim) begini: Kahwu lahuu (Hayya Syarahiya, Adunai, Ashba'uts,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[Wafaq mutsallats 3 × 3 tergambar pada halaman; di dalam baris/kotaknya terdapat “Bismillahir-Rahmanir-Rahim” dan angka-angka, sedangkan pada tepinya tertulis “Wafaq al-Basmalah”—rujuk gambar/crop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