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M65 — WAFQ ASLI dari Crop Rajah yang Sudah Kamu Crop</w:t>
      </w:r>
    </w:p>
    <w:p>
      <w:pPr>
        <w:bidi w:val="0"/>
        <w:jc w:val="start"/>
      </w:pPr>
      <w:r>
        <w:rPr>
          <w:b/>
        </w:rPr>
        <w:t>1. Arab Berharokat — kanan</w:t>
      </w:r>
    </w:p>
    <w:p>
      <w:pPr>
        <w:bidi w:val="1"/>
        <w:jc w:val="end"/>
      </w:pPr>
      <w:r>
        <w:t>خَاتَمُ سُلَيْمَانَ . يُكْتَبُ فِي إِنَاءٍ صِينِيٍّ بِزَعْفَرَانٍ وَمَاءِ وَرْدٍ</w:t>
      </w:r>
    </w:p>
    <w:p>
      <w:pPr>
        <w:bidi w:val="0"/>
        <w:jc w:val="start"/>
      </w:pPr>
      <w:r>
        <w:rPr>
          <w:b/>
        </w:rPr>
        <w:t>2. Latin — kiri</w:t>
      </w:r>
    </w:p>
    <w:p>
      <w:pPr>
        <w:bidi w:val="0"/>
        <w:jc w:val="start"/>
      </w:pPr>
      <w:r>
        <w:t>Khaatamu Sulaimaan — crop rajah asli dari halaman -65-</w:t>
      </w:r>
    </w:p>
    <w:p>
      <w:pPr>
        <w:bidi w:val="0"/>
        <w:jc w:val="start"/>
      </w:pPr>
      <w:r>
        <w:rPr>
          <w:b/>
        </w:rPr>
        <w:t>3. Terjemahan</w:t>
      </w:r>
    </w:p>
    <w:p>
      <w:pPr>
        <w:bidi w:val="0"/>
        <w:jc w:val="start"/>
      </w:pPr>
      <w:r>
        <w:rPr>
          <w:b/>
        </w:rPr>
        <w:t>5. Khususiyah + Wafaq Center — WAJIB CROP ASLI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537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37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↑ WAFQ ASLI 65.jpg — CROP PRESISI RAJAH DARI FOTO — DITIRU APA ADANYA — JANGAN DIGAMBAR ULANG 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