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26 — DU'Ā'UL-KHĀ'IF — دُعَاءُ الْخَائِفِ</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دُعَاءُ الْخَائِفِ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إِخْوَتِي فِي اللهِ، إِلَيْكُمْ هَذَا الدُّعَاءَ النَّافِعَ بِإِذْنِ اللهِ لِلِاحْتِجَابِ مِنَ الْأَعْدَاءِ وَمِنْ كُلِّ مَنْ يَخَافُ مِنْهُ الْمَرْءُ مِنْ طُغَاةٍ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تَقْرَأُ أَوَّلًا آيَةَ الْكُرْسِيِّ ثَلَاثَ مَرَّاتٍ، ثُمَّ تَدْعُو بِهَذَا الدُّعَاءِ</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وَفَّقَكُمُ اللهُ لِكُلِّ خَيْرٍ</w:t>
      </w:r>
    </w:p>
    <w:p>
      <w:pPr>
        <w:pStyle w:val="Heading2"/>
      </w:pPr>
      <w:r>
        <w:t>latin</w:t>
      </w:r>
    </w:p>
    <w:p>
      <w:r>
        <w:rPr>
          <w:i/>
          <w:sz w:val="17"/>
        </w:rPr>
        <w:t>Du'ā'ul-khā'ifi.</w:t>
      </w:r>
    </w:p>
    <w:p>
      <w:r>
        <w:rPr>
          <w:i/>
          <w:sz w:val="17"/>
        </w:rPr>
        <w:t>As-salāmu 'alaikum wa rahmatullāhi wa barakātuh.</w:t>
      </w:r>
    </w:p>
    <w:p>
      <w:r>
        <w:rPr>
          <w:i/>
          <w:sz w:val="17"/>
        </w:rPr>
        <w:t>Ikhwatī fillāhi, ilaikum hādzad-du'ā'an-nāfi'a bi-idznillāhi lil-ihtijābi minal-a'dā'i wa min kulli man yakhāfu minhul-mar'u min thughātin.</w:t>
      </w:r>
    </w:p>
    <w:p>
      <w:r>
        <w:rPr>
          <w:i/>
          <w:sz w:val="17"/>
        </w:rPr>
        <w:t>Taqra'u awwalan āyatil-kursiyyi tsalātsa marrātin, tsumma tad'ū bihādzad-du'ā'i:</w:t>
      </w:r>
    </w:p>
    <w:p>
      <w:r>
        <w:rPr>
          <w:i/>
          <w:sz w:val="17"/>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[Yā-Sīn ilā fahum lā yubshirūna] (QS. Yā-Sīn: 1-9). Wa shallillāhumma 'alā sayyidinā Muhammadin wa 'alā ālihi ajma'īna].</w:t>
      </w:r>
    </w:p>
    <w:p>
      <w:r>
        <w:rPr>
          <w:i/>
          <w:sz w:val="17"/>
        </w:rPr>
        <w:t>Waffaqakumullāhu li-kulli khairin.</w:t>
      </w:r>
    </w:p>
    <w:p>
      <w:pPr>
        <w:pStyle w:val="Heading2"/>
      </w:pPr>
      <w:r>
        <w:t>Terjemahan</w:t>
      </w:r>
    </w:p>
    <w:p>
      <w:pPr>
        <w:shd w:val="clear" w:color="auto" w:fill="E3F2FD"/>
        <w:pBdr>
          <w:left w:val="single" w:sz="12" w:space="6" w:color="64B5F6"/>
        </w:pBdr>
      </w:pPr>
      <w:r>
        <w:rPr>
          <w:color w:val="0D47A1"/>
          <w:sz w:val="17"/>
        </w:rPr>
        <w:t>Doa orang yang takut.</w:t>
        <w:br/>
        <w:br/>
      </w:r>
      <w:r>
        <w:rPr>
          <w:color w:val="0D47A1"/>
          <w:sz w:val="17"/>
        </w:rPr>
        <w:t>Assalamu'alaikum warahmatullahi wabarakatuh.</w:t>
        <w:br/>
        <w:br/>
      </w:r>
      <w:r>
        <w:rPr>
          <w:color w:val="0D47A1"/>
          <w:sz w:val="17"/>
        </w:rPr>
        <w:t>Wahai saudara-saudaraku karena Allah, aku sampaikan kepada kalian doa yang bermanfaat ini — dengan izin Allah — untuk berlindung dari musuh-musuh dan dari setiap penguasa zalim yang ditakuti seseorang.</w:t>
        <w:br/>
        <w:br/>
      </w:r>
      <w:r>
        <w:rPr>
          <w:color w:val="0D47A1"/>
          <w:sz w:val="17"/>
        </w:rPr>
        <w:t>Bacalah terlebih dahulu Ayat Kursi sebanyak tiga kali, kemudian berdoalah dengan doa ini:</w:t>
        <w:br/>
        <w:br/>
      </w:r>
      <w:r>
        <w:rPr>
          <w:color w:val="0D47A1"/>
          <w:sz w:val="17"/>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br/>
        <w:br/>
      </w:r>
      <w:r>
        <w:rPr>
          <w:color w:val="0D47A1"/>
          <w:sz w:val="17"/>
        </w:rPr>
        <w:t>Semoga Allah memberi taufik kepada kalian untuk segala kebaikan.</w:t>
        <w:br/>
        <w:br/>
      </w:r>
    </w:p>
    <w:p>
      <w:pPr>
        <w:pStyle w:val="Heading2"/>
      </w:pPr>
      <w:r>
        <w:t>Syarah dan Penjelasan</w:t>
      </w:r>
    </w:p>
    <w:p>
      <w:pPr>
        <w:jc w:val="left"/>
      </w:pPr>
      <w:r>
        <w:rPr>
          <w:sz w:val="17"/>
        </w:rPr>
        <w:t>Konstruksi Benteng Tak Terlihat (Ihtijāb): Amalan ini berfungsi membentuk perisai aura tak kasat mata di sekeliling praktisi. Ketika berhadapan dengan musuh, orang jahat, atau penguasa yang hendak berbuat zalim, musuh tidak akan memiliki daya untuk mencelakai atau bahkan pandangan mereka dikunci oleh Allah.</w:t>
      </w:r>
    </w:p>
    <w:p>
      <w:pPr>
        <w:jc w:val="left"/>
      </w:pPr>
      <w:r>
        <w:rPr>
          <w:sz w:val="17"/>
        </w:rPr>
        <w:t>Kombinasi Ayat-Ayat Penjaga (Āyātul-Hifzh): Doa ini merajut lima pilar ayat perlindungan utama Al-Qur'an: (1) Ayat Kursi (3×) sebagai pondasi benteng tauhid; (2) QS. al-Baqarah: 137 (Fa-sayakfīkahumullāhu) — janji pengawalan langsung dari Allah; (3) QS. al-Hijr: 9 (Innā Nahnu Nazzalnādz-Dzikra) — memindahkan jaminan pemeliharaan Al-Qur'an ke keselamatan fisik dan jiwa pengamal; (4) QS. ar-Ra'd: 11 (Mu'aqqibāt) — mengaktifkan pengawalan Malaikat Mu'aqqibat di depan dan belakang tubuh; (5) QS. Yā-Sīn: 1–9 (Wa Ja'alnā min Baini Aidīhim) — mengunci mata musuh agar buta dari keberadaan pengamal.</w:t>
      </w:r>
    </w:p>
    <w:p>
      <w:pPr>
        <w:pStyle w:val="Heading2"/>
      </w:pPr>
      <w:r>
        <w:t>Khususiyah dan Tatacara Praktik</w:t>
      </w:r>
    </w:p>
    <w:p>
      <w:pPr>
        <w:jc w:val="left"/>
      </w:pPr>
      <w:r>
        <w:rPr>
          <w:sz w:val="17"/>
        </w:rPr>
        <w:t>Kepraktisan Tanpa Sarat Berat: Tidak memerlukan tirakat puasa atau penulisan wafaq rumit; cukup dibaca saat merasa terancam atau hendak menemui orang zalim.</w:t>
      </w:r>
    </w:p>
    <w:p>
      <w:pPr>
        <w:jc w:val="left"/>
      </w:pPr>
      <w:r>
        <w:rPr>
          <w:sz w:val="17"/>
        </w:rPr>
        <w:t>Keamanan Mutlak Perjalanan dan Darurat: Sangat ampuh dibaca saat berada di daerah rawan kejahatan, ancaman tindak kekerasan, intimidasi penguasa, maupun gangguan makhluk halus.</w:t>
      </w:r>
    </w:p>
    <w:p>
      <w:pPr>
        <w:jc w:val="center"/>
      </w:pPr>
      <w:r>
        <w:drawing>
          <wp:inline xmlns:a="http://schemas.openxmlformats.org/drawingml/2006/main" xmlns:pic="http://schemas.openxmlformats.org/drawingml/2006/picture">
            <wp:extent cx="5029200" cy="3886200"/>
            <wp:docPr id="1" name="Picture 1"/>
            <wp:cNvGraphicFramePr>
              <a:graphicFrameLocks noChangeAspect="1"/>
            </wp:cNvGraphicFramePr>
            <a:graphic>
              <a:graphicData uri="http://schemas.openxmlformats.org/drawingml/2006/picture">
                <pic:pic>
                  <pic:nvPicPr>
                    <pic:cNvPr id="0" name="hal_26.png"/>
                    <pic:cNvPicPr/>
                  </pic:nvPicPr>
                  <pic:blipFill>
                    <a:blip r:embed="rId11"/>
                    <a:stretch>
                      <a:fillRect/>
                    </a:stretch>
                  </pic:blipFill>
                  <pic:spPr>
                    <a:xfrm>
                      <a:off x="0" y="0"/>
                      <a:ext cx="5029200" cy="3886200"/>
                    </a:xfrm>
                    <a:prstGeom prst="rect"/>
                  </pic:spPr>
                </pic:pic>
              </a:graphicData>
            </a:graphic>
          </wp:inline>
        </w:drawing>
      </w:r>
    </w:p>
    <w:p>
      <w:pPr>
        <w:jc w:val="center"/>
      </w:pPr>
      <w:r>
        <w:rPr>
          <w:i/>
          <w:sz w:val="15"/>
        </w:rPr>
        <w:t>[Gambar: HALAMAN 26 — DU'Ā'UL-KHĀ'IF — دُعَاءُ الْخَائِفِ — hal_26.png]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Hal26 • 5 Lapis Bersih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