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35 — DA'WATUT-TAFWĪDHI — دَعْوَةُ التَّفْوِيضِ</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التَّفْوِيضِ</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اخْتِمْ بِفَاتِحَةِ الْكِتَابِ وَالصَّلَاةِ عَلَى الْحَبِيبِ مُحَمَّدٍ صَلَّى اللهُ عَلَيْهِ وَسَلَّمَ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2"/>
      </w:pPr>
      <w:r>
        <w:t>latin</w:t>
      </w:r>
    </w:p>
    <w:p>
      <w:r>
        <w:rPr>
          <w:i/>
          <w:sz w:val="17"/>
        </w:rPr>
        <w:t>Da'watut-tafwīdhi.</w:t>
      </w:r>
    </w:p>
    <w:p>
      <w:r>
        <w:rPr>
          <w:i/>
          <w:sz w:val="17"/>
        </w:rPr>
        <w:t>Ikhwatī fillāhi adha'u lakum hādzihid-da'watal-mubārakatan-nāfi'ata bi-idznillāhi fī daf'il-ahwāli wal-umūrish-shi'ābi, wa hiya da'watut-tafwīdhi wa man arāda-sti'mālahā falyaqra'hā kamā nasyrahuhā bi-idznillāhil-'Azīzil-Wahhābi,</w:t>
      </w:r>
    </w:p>
    <w:p>
      <w:r>
        <w:rPr>
          <w:i/>
          <w:sz w:val="17"/>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i/>
          <w:sz w:val="17"/>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Kāf-Hā-Yā-'Ain-Shād ikfinī mā ahammanī yā Hā-Mīm-'Ain-Sīn-Qāf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i/>
          <w:sz w:val="17"/>
        </w:rPr>
        <w:t>Tsummakhtim bifātihatil-kitābi wash-shalāti 'alal-habībi Muhammadin shallallāhu 'alaihi wa sallama.</w:t>
      </w:r>
    </w:p>
    <w:p>
      <w:r>
        <w:rPr>
          <w:i/>
          <w:sz w:val="17"/>
        </w:rPr>
        <w:t>As'alullāha 'azza wa jalla an yanfa'anī wa iyyākum bil-Qur'ānil-'azhīmi wa yahdiyanī wa iyyākum ilā shirāthil-haqqil-mubīni wa yarzuqanī wa iyyākum syafā'ata sayyidinā Muhammadin 'alaihi afdhalush-shalāti wat-taslīmi āmīna.</w:t>
      </w:r>
    </w:p>
    <w:p>
      <w:pPr>
        <w:pStyle w:val="Heading2"/>
      </w:pPr>
      <w:r>
        <w:t>Terjemahan</w:t>
      </w:r>
    </w:p>
    <w:p>
      <w:pPr>
        <w:shd w:val="clear" w:color="auto" w:fill="E3F2FD"/>
        <w:pBdr>
          <w:left w:val="single" w:sz="12" w:space="6" w:color="64B5F6"/>
        </w:pBdr>
      </w:pPr>
      <w:r>
        <w:rPr>
          <w:color w:val="0D47A1"/>
          <w:sz w:val="17"/>
        </w:rPr>
        <w:t>Doa Tafwīdh (penyerahan urusan kepada Allah).</w:t>
      </w:r>
    </w:p>
    <w:p>
      <w:pPr>
        <w:shd w:val="clear" w:color="auto" w:fill="E3F2FD"/>
        <w:pBdr>
          <w:left w:val="single" w:sz="12" w:space="6" w:color="64B5F6"/>
        </w:pBdr>
      </w:pPr>
      <w:r>
        <w:rPr>
          <w:color w:val="0D47A1"/>
          <w:sz w:val="17"/>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pPr>
        <w:shd w:val="clear" w:color="auto" w:fill="E3F2FD"/>
        <w:pBdr>
          <w:left w:val="single" w:sz="12" w:space="6" w:color="64B5F6"/>
        </w:pBdr>
      </w:pPr>
      <w:r>
        <w:rPr>
          <w:color w:val="0D47A1"/>
          <w:sz w:val="17"/>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pPr>
        <w:shd w:val="clear" w:color="auto" w:fill="E3F2FD"/>
        <w:pBdr>
          <w:left w:val="single" w:sz="12" w:space="6" w:color="64B5F6"/>
        </w:pBdr>
      </w:pPr>
      <w:r>
        <w:rPr>
          <w:color w:val="0D47A1"/>
          <w:sz w:val="17"/>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Kāf-Hā-Yā-'Ain-Shād, cukupkanlah (lindungilah) aku dari apa yang menyusahkanku; wahai Hā-Mīm-'Ain-Sīn-Qāf,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pPr>
        <w:shd w:val="clear" w:color="auto" w:fill="E3F2FD"/>
        <w:pBdr>
          <w:left w:val="single" w:sz="12" w:space="6" w:color="64B5F6"/>
        </w:pBdr>
      </w:pPr>
      <w:r>
        <w:rPr>
          <w:color w:val="0D47A1"/>
          <w:sz w:val="17"/>
        </w:rPr>
        <w:t>Kemudian tutuplah dengan Surah al-Fatihah dan shalawat atas al-Habib Muhammad shallallahu 'alaihi wa sallam.</w:t>
      </w:r>
    </w:p>
    <w:p>
      <w:pPr>
        <w:shd w:val="clear" w:color="auto" w:fill="E3F2FD"/>
        <w:pBdr>
          <w:left w:val="single" w:sz="12" w:space="6" w:color="64B5F6"/>
        </w:pBdr>
      </w:pPr>
      <w:r>
        <w:rPr>
          <w:color w:val="0D47A1"/>
          <w:sz w:val="17"/>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2"/>
      </w:pPr>
      <w:r>
        <w:t>Syarah dan Penjelasan</w:t>
      </w:r>
    </w:p>
    <w:p>
      <w:r>
        <w:rPr>
          <w:sz w:val="17"/>
        </w:rPr>
        <w:t>1. Verifikasi 3× vs `hal_35.png` — Pengembalian Terjemahan Doa &amp; Penutup yang Hilang:</w:t>
        <w:br/>
        <w:t xml:space="preserve">   - Pada draf kiriman sebelumnya, seluruh isi Doa Tafwīdh (10 baris penuh warna merah) sama sekali tidak diterjemahkan di bagian `Terjemahan`! Selain itu, kalimat pengantar `وَمَنْ أَرَادَ اسْتِعْمَالَهَا فَلْيَقْرَأْهَا كَمَا نَشْرَحُهَا بِإِذْنِ اللهِ الْعَزِيزِ الْوَهَّابِ` dan doa penutup pengarang di bagian bawah halaman (`أَسْأَلُ اللهَ عَزَّ وَجَلَّ أَنْ يَنْفَعَنِي وَإِيَّاكُمْ بِالْقُرْآنِ الْعَظِيمِ... آمِينَ`) juga hilang dari teks Arab, Latin, maupun Terjemahan draf. Kini seluruhnya telah dikembalikan 100% lengkap.</w:t>
        <w:br/>
        <w:t xml:space="preserve">   - Koreksi ejaan Latin: `أَلَمَّ بِي` ditulis *alamma bī* (satu fi'il madhi *alamma*, bukan dipisah *alam ma bī*), `يُخْشَى` ditulis *yukhsyā* (dengan `kh` dan `sy`), `تَمَّتِ الدَّعْوَةُ` disertakan sesuai scan.</w:t>
      </w:r>
    </w:p>
    <w:p>
      <w:r>
        <w:rPr>
          <w:sz w:val="17"/>
        </w:rPr>
        <w:t>2. Rahasia Dua Ayat Kunci Keamanan &amp; Tafwīdh:</w:t>
        <w:br/>
        <w:t xml:space="preserve">   - QS. Āli 'Imrān: 96–97 (`وَمَنْ دَخَلَهُ كَانَ آمِنًا` — dibaca 7×): Menarik energi keamanan Baitullah (*al-amnu*) ke dalam ruang batin pengamal dari ketakutan di ketujuh arah (depan, belakang, kanan, kiri, atas, bawah, dan dalam diri).</w:t>
        <w:br/>
        <w:t xml:space="preserve">   - QS. Ghāfir: 44 (`وَأُفَوِّضُ أَمْرِي إِلَى اللهِ إِنَّ اللهَ بَصِيرٌ بِالْعِبَادِ` — dibaca 33×):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17"/>
        </w:rPr>
        <w:t>3. Kunci Huruf Muqaththa'ah `كهيعص` &amp; `حمعسق` serta Lima Isti'ādzah Dosa:</w:t>
        <w:br/>
        <w:t xml:space="preserve">   - Doa ini menggabungkan tawassul dengan 10 huruf nuraniyyah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2"/>
      </w:pPr>
      <w:r>
        <w:t>Khususiyah dan Tatacara Praktik</w:t>
      </w:r>
    </w:p>
    <w:p>
      <w:r>
        <w:rPr>
          <w:sz w:val="17"/>
        </w:rPr>
        <w:t>1. Waktu Utama Pengamalan: Dikerjakan setelah shalat Isya, dan waktu yang paling mustajab (*ajwad*) adalah di tengah malam (*jauful-lail* / sepertiga malam terakhir).</w:t>
        <w:br/>
        <w:t>2. Urutan Wirid Pembuka (4 × 100):</w:t>
        <w:br/>
        <w:t xml:space="preserve">   - Shalat sunnah hajat/mutlak 2 rakaat karena Allah Ta'ala.</w:t>
        <w:br/>
        <w:t xml:space="preserve">   - Istighfar 100×, Shalawat Nabi ﷺ 100×, Tahlil (`لَا إِلَهَ إِلَّا اللهُ`) 100×, dan Hauqalah (`لَا حَوْلَ وَلَا قُوَّةَ إِلَّا بِاللهِ`) 100×.</w:t>
        <w:br/>
        <w:t xml:space="preserve">   - Membaca QS. Āli 'Imrān: 96–97 sebanyak 7× dan QS. Ghāfir: 44 sebanyak 33×.</w:t>
        <w:br/>
        <w:t>3. Pembacaan Doa Tafwīdh (3× atau 7×) &amp; Penutup:</w:t>
        <w:br/>
        <w:t xml:space="preserve">   - Membaca teks *Da'watut-Tafwīdh* sebanyak 3 kali (untuk penjagaan rutin) atau 7 kali (saat menghadapi bahaya besar, makar musuh, atau kesulitan berat), lalu ditutup dengan membaca Surah al-Fatihah dan shalawat atas Nabi Muhammad ﷺ.</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35.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Scan Halaman 35 — hal_35.png]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Hal35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