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15 — FAIDAH THARD 'ATHLUSH 1/2 — فَائِدَةٌ لِطَرْدِ عَطْلُوشٍ</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pPr>
        <w:jc w:val="left"/>
      </w:pPr>
      <w:r>
        <w:rPr>
          <w:i/>
          <w:color w:val="1A237E"/>
          <w:sz w:val="18"/>
        </w:rPr>
        <w:t>Fā’idatun li-thardi ‘Athlūshin mufsidil-a‘mālir-rūḥāniyyah</w:t>
      </w:r>
    </w:p>
    <w:p>
      <w:pPr>
        <w:jc w:val="left"/>
      </w:pPr>
      <w:r>
        <w:rPr>
          <w:i/>
          <w:color w:val="1A237E"/>
          <w:sz w:val="18"/>
        </w:rPr>
        <w:t>Ikhwatī fillāh, aḍa‘u baina aidīkum hādzihil-fā’idatan-nāfi‘ata fī daf‘il-khādimil-mufsidi lil-a‘māli wanqilābihā bishaddil-marghūbi fīhā, wa huwa khādimun ismuhu [‘Athlūshun], wal-ḥākimu ‘alaihi Abū Thārishin malikul-‘ummār.</w:t>
      </w:r>
    </w:p>
    <w:p>
      <w:pPr>
        <w:jc w:val="left"/>
      </w:pPr>
      <w:r>
        <w:rPr>
          <w:i/>
          <w:color w:val="1A237E"/>
          <w:sz w:val="18"/>
        </w:rPr>
        <w:t>Taktubul-wafqa fī yadikal-yumnā bishamghin —ayil-midādil-aswadil-mustakhraji min shūfil-ghanami—, wa tubakhkhiru yadaka bil-quzburati, wa hādzā thab‘an ba‘da ishrāfil-‘ummār. Tsumma tu‘azzimu ‘alal-yadi iḥdā wa ‘isyrīna marratan, wa hādzihi hiyal-‘azīmatu:</w:t>
      </w:r>
    </w:p>
    <w:p>
      <w:pPr>
        <w:jc w:val="left"/>
      </w:pPr>
      <w:r>
        <w:rPr>
          <w:i/>
          <w:color w:val="1A237E"/>
          <w:sz w:val="18"/>
        </w:rPr>
        <w:t>(Aqsamtu ‘alaikum yā ‘Athlūshu billadzī khalaqakum wa shawwarakum fakuntum ḍarūratan li-ahlil-ḥikmati allā tufsidū lī mā ‘amiltu wa lā taqrabūnī fīmā shana‘tu wa lā tataḥarrakū biḥaqqi hādzihil-asmā’il-muḥriqati ‘alaikum: Jaljalin itsnatain, Jalnīshin itsnatain, Qahrin itsnatain, Barhatin itsnatain, Shathīshin itsnatain, Shahin itsnatain, fa-ainamā tuwallū fatsamma wajhullāhi ‘alaikum yā ‘Athlūshu ibna Aghlaghalin falā taqrabūnī wa lā bisāḥatī biḥaqqi hādzihil-asmā’i: Salhūbin, Malhūbin, Abīka, Yalīkhin, Alqamūshin, Marūshin, Harmūshin, Qarmūshin, infirū khifāfan wa tsiqālan biḥaqqi: Idzā zulzilatil-arḍu zilzālahā ... ilā ... Asytātan Asytātan Asytātan).</w:t>
      </w:r>
    </w:p>
    <w:p>
      <w:pPr>
        <w:jc w:val="left"/>
      </w:pPr>
      <w:r>
        <w:rPr>
          <w:i/>
          <w:color w:val="1A237E"/>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‘Athlūsh,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[‘Athlūsh],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‘Athlūsh,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Jalnīsh (2×), Qahr (2×), Barhah (2×), Shathīsh (2×), Shah (2×). Maka ke mana pun kalian berpaling, di sanalah Wajah Allah mengawasi kalian — wahai ‘Athlūsh bin Aghlaghal, maka jangan dekati aku dan jangan dekati halamanku — demi hak nama-nama ini: Salhūb, Malhūb, Abīka, Yalīkh, Alqamūsh, Marūsh, Harmūsh, Qarmūsh.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rFonts w:ascii="Calibri" w:hAnsi="Calibri"/>
          <w:b w:val="0"/>
          <w:i w:val="0"/>
          <w:sz w:val="17"/>
        </w:rPr>
        <w:t>Halaman ini adalah bagian 1/2 faedah ‘Athlūsh. Pokok masalahnya adalah *inqilāb al-a‘māl* — amal ruhaniyyah yang berbalik merusak hajat karena gangguan khādim bernama ‘Athlūsh bin Aghlaghal, di bawah kekuasaan Abū Thārish malik al-‘ummār (raja jin ‘ummār/‘āmir — penghuni bangunan/empat penjuru). Penjelasan rinci: ‘Athlūsh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‘Athlūsh dilepaskan dari tugas merusak. Media *shamgh* (jelaga bulu domba) dipilih karena tinta ini bersifat *bārid yābis* (dingin-kering) yang menetralisir sifat panas-lembab jin ‘Athlūsh; *quzburah* (ketumbar/biji ketumbar kering) adalah bukhūr penolak ‘ummār yang dibenci mereka karena aromanya menusuk namun tidak menyengat manusia. *Ishrāf al-‘ummār* wajib didahulukan — memindahkan ‘ummār baik agar tidak terkena dampak pengusiran ‘Athlūsh (adab Qādiriyyah: jangan mengusir tetangga ghaib yang baik saat mengusir parasit). Azimah terdiri dari tiga lapis: (1) Qasam pencipta — *billadzī khalaqakum wa shawwarakum* — mengingatkan asal kejadian jin, (2) Enam nama muḥriqah masing-masing 2× (Jaljal, Jalnīsh, Qahr, Barhah, Shathīsh, Shah) — adalah *asmā’ qahriyyah* yang membakar, diulang 2× untuk penekanan (*ta’kīd*), (3) Ayat *fa-ainamā tuwallū fatsamma wajhullāh* (QS</w:t>
      </w:r>
    </w:p>
    <w:p>
      <w:pPr>
        <w:pStyle w:val="Heading2"/>
      </w:pPr>
      <w:r>
        <w:t>Khususiyah dan Tatacara Praktik</w:t>
      </w:r>
    </w:p>
    <w:p>
      <w:pPr>
        <w:jc w:val="left"/>
      </w:pPr>
      <w:r>
        <w:rPr>
          <w:rFonts w:ascii="Calibri" w:hAnsi="Calibri"/>
          <w:b w:val="0"/>
          <w:i w:val="0"/>
          <w:sz w:val="17"/>
        </w:rPr>
        <w:t>Kegunaan: menetralisir gangguan ‘Athlūsh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‘Athlūsh kembali. Waktu: tidak terikat hari Rabu/Sabtu (berbeda dengan faedah mass), tetapi dianjurkan malam hari setelah Isya agar frekuensi ‘Athlūsh aktif.</w:t>
      </w:r>
    </w:p>
    <w:p>
      <w:pPr>
        <w:jc w:val="left"/>
      </w:pPr>
      <w:r>
        <w:rPr>
          <w:rFonts w:ascii="Calibri" w:hAnsi="Calibri"/>
          <w:b w:val="0"/>
          <w:i w:val="0"/>
          <w:sz w:val="17"/>
        </w:rPr>
        <w:t>![Halaman 15 — Scan 300 DPI](hal_15.png)</w:t>
        <w:br/>
        <w:t>[Gambar: Halaman 15 — Faedah ‘Athlūsh 1/2 — 21× azimah — 7 hari botol]</w:t>
      </w:r>
    </w:p>
    <w:p>
      <w:pPr>
        <w:jc w:val="center"/>
      </w:pPr>
      <w:r>
        <w:drawing>
          <wp:inline xmlns:a="http://schemas.openxmlformats.org/drawingml/2006/main" xmlns:pic="http://schemas.openxmlformats.org/drawingml/2006/picture">
            <wp:extent cx="4572000" cy="3532909"/>
            <wp:docPr id="1" name="Picture 1"/>
            <wp:cNvGraphicFramePr>
              <a:graphicFrameLocks noChangeAspect="1"/>
            </wp:cNvGraphicFramePr>
            <a:graphic>
              <a:graphicData uri="http://schemas.openxmlformats.org/drawingml/2006/picture">
                <pic:pic>
                  <pic:nvPicPr>
                    <pic:cNvPr id="0" name="hal_15.png"/>
                    <pic:cNvPicPr/>
                  </pic:nvPicPr>
                  <pic:blipFill>
                    <a:blip r:embed="rId11"/>
                    <a:stretch>
                      <a:fillRect/>
                    </a:stretch>
                  </pic:blipFill>
                  <pic:spPr>
                    <a:xfrm>
                      <a:off x="0" y="0"/>
                      <a:ext cx="4572000" cy="3532909"/>
                    </a:xfrm>
                    <a:prstGeom prst="rect"/>
                  </pic:spPr>
                </pic:pic>
              </a:graphicData>
            </a:graphic>
          </wp:inline>
        </w:drawing>
      </w:r>
    </w:p>
    <w:p>
      <w:pPr>
        <w:spacing w:before="20" w:after="80"/>
        <w:jc w:val="center"/>
      </w:pPr>
      <w:r>
        <w:rPr>
          <w:i/>
          <w:color w:val="424242"/>
          <w:sz w:val="15"/>
        </w:rPr>
        <w:t>[Gambar: HALAMAN 15 — FAIDAH THARD 'ATHLUSH 1/2 — فَائِدَةٌ لِطَرْدِ عَطْلُوشٍ — Scan 300 DPI — hal_15.png]</w:t>
      </w:r>
    </w:p>
    <w:sectPr w:rsidR="00FC693F" w:rsidRPr="0006063C" w:rsidSect="00034616">
      <w:headerReference w:type="default" r:id="rId9"/>
      <w:footerReference w:type="default" r:id="rId10"/>
      <w:pgSz w:w="11909" w:h="16834"/>
      <w:pgMar w:top="792" w:right="936" w:bottom="792"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Hal15 • 5 Lapis Bersih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ANWAR MUJAROBAT — Syeikh Basyir • Hal15 • 5 Lapis Bersih • Arab • Latin • Terjemahan • Syarah • Khususiyah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2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HALAMAN 15 — FAIDAH THARD 'ATHLUSH 1/2 — فَائِدَةٌ لِطَرْدِ عَطْلُوشٍ</dc:title>
  <dc:subject>5 Lapis Bersih</dc:subject>
  <dc:creator>kitab — 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