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8"/>
        </w:rPr>
        <w:t>Fāidatun fī tadmirizh zhālim.</w:t>
      </w:r>
    </w:p>
    <w:p>
      <w:r>
        <w:rPr>
          <w:i/>
          <w:sz w:val="18"/>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8"/>
        </w:rPr>
        <w:t>Tammad du'ā', wal 'azīmah: [Lā ilāha illallāhul Hasībul Wakīl]</w:t>
      </w:r>
    </w:p>
    <w:p>
      <w:r>
        <w:rPr>
          <w:i/>
          <w:sz w:val="18"/>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8"/>
        </w:rPr>
        <w:t>Faedah dalam menghancurkan orang zalim.</w:t>
        <w:br/>
        <w:br/>
      </w:r>
      <w:r>
        <w:rPr>
          <w:color w:val="0D47A1"/>
          <w:sz w:val="18"/>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8"/>
        </w:rPr>
        <w:t>Selesai doa. Adapun azimahnya: [Tidak ada tuhan selain Allah Yang Maha Mencukupi lagi Maha Melindungi].</w:t>
        <w:br/>
        <w:br/>
      </w:r>
      <w:r>
        <w:rPr>
          <w:color w:val="0D47A1"/>
          <w:sz w:val="18"/>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jc w:val="center"/>
      </w:pPr>
      <w:r>
        <w:drawing>
          <wp:inline xmlns:a="http://schemas.openxmlformats.org/drawingml/2006/main" xmlns:pic="http://schemas.openxmlformats.org/drawingml/2006/picture">
            <wp:extent cx="5029200" cy="3886200"/>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5029200" cy="3886200"/>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8"/>
              </w:rPr>
              <w:t>٥٢</w:t>
            </w:r>
          </w:p>
        </w:tc>
        <w:tc>
          <w:tcPr>
            <w:tcW w:type="dxa" w:w="3346"/>
            <w:shd w:val="clear" w:color="auto" w:fill="E8F5E9"/>
          </w:tcPr>
          <w:p>
            <w:pPr>
              <w:jc w:val="center"/>
              <w:bidi w:val="1"/>
            </w:pPr>
            <w:r>
              <w:rPr>
                <w:rFonts w:ascii="Scheherazade New" w:hAnsi="Scheherazade New"/>
                <w:color w:val="1A237E"/>
                <w:sz w:val="28"/>
              </w:rPr>
              <w:t>١٢٣٠</w:t>
            </w:r>
          </w:p>
        </w:tc>
        <w:tc>
          <w:tcPr>
            <w:tcW w:type="dxa" w:w="3346"/>
            <w:shd w:val="clear" w:color="auto" w:fill="FFF8E1"/>
          </w:tcPr>
          <w:p>
            <w:pPr>
              <w:jc w:val="center"/>
              <w:bidi w:val="1"/>
            </w:pPr>
            <w:r>
              <w:rPr>
                <w:rFonts w:ascii="Scheherazade New" w:hAnsi="Scheherazade New"/>
                <w:color w:val="1A237E"/>
                <w:sz w:val="28"/>
              </w:rPr>
              <w:t>٦١٤</w:t>
            </w:r>
          </w:p>
        </w:tc>
      </w:tr>
      <w:tr>
        <w:tc>
          <w:tcPr>
            <w:tcW w:type="dxa" w:w="3346"/>
            <w:shd w:val="clear" w:color="auto" w:fill="E8F5E9"/>
          </w:tcPr>
          <w:p>
            <w:pPr>
              <w:jc w:val="center"/>
              <w:bidi w:val="1"/>
            </w:pPr>
            <w:r>
              <w:rPr>
                <w:rFonts w:ascii="Scheherazade New" w:hAnsi="Scheherazade New"/>
                <w:color w:val="1A237E"/>
                <w:sz w:val="28"/>
              </w:rPr>
              <w:t>١١٦٠</w:t>
            </w:r>
          </w:p>
        </w:tc>
        <w:tc>
          <w:tcPr>
            <w:tcW w:type="dxa" w:w="3346"/>
            <w:shd w:val="clear" w:color="auto" w:fill="FFF8E1"/>
          </w:tcPr>
          <w:p>
            <w:pPr>
              <w:jc w:val="center"/>
              <w:bidi w:val="1"/>
            </w:pPr>
            <w:r>
              <w:rPr>
                <w:rFonts w:ascii="Scheherazade New" w:hAnsi="Scheherazade New"/>
                <w:color w:val="1A237E"/>
                <w:sz w:val="28"/>
              </w:rPr>
              <w:t>[القلب الخالي — يوضع فيه عدد حروف الدفع بعد الجمع والدائرة]</w:t>
            </w:r>
          </w:p>
        </w:tc>
        <w:tc>
          <w:tcPr>
            <w:tcW w:type="dxa" w:w="3346"/>
            <w:shd w:val="clear" w:color="auto" w:fill="E8F5E9"/>
          </w:tcPr>
          <w:p>
            <w:pPr>
              <w:jc w:val="center"/>
              <w:bidi w:val="1"/>
            </w:pPr>
            <w:r>
              <w:rPr>
                <w:rFonts w:ascii="Scheherazade New" w:hAnsi="Scheherazade New"/>
                <w:color w:val="1A237E"/>
                <w:sz w:val="28"/>
              </w:rPr>
              <w:t>٧٣٦</w:t>
            </w:r>
          </w:p>
        </w:tc>
      </w:tr>
      <w:tr>
        <w:tc>
          <w:tcPr>
            <w:tcW w:type="dxa" w:w="3346"/>
            <w:shd w:val="clear" w:color="auto" w:fill="FFF8E1"/>
          </w:tcPr>
          <w:p>
            <w:pPr>
              <w:jc w:val="center"/>
              <w:bidi w:val="1"/>
            </w:pPr>
            <w:r>
              <w:rPr>
                <w:rFonts w:ascii="Scheherazade New" w:hAnsi="Scheherazade New"/>
                <w:color w:val="1A237E"/>
                <w:sz w:val="28"/>
              </w:rPr>
              <w:t>٦٨٤</w:t>
            </w:r>
          </w:p>
        </w:tc>
        <w:tc>
          <w:tcPr>
            <w:tcW w:type="dxa" w:w="3346"/>
            <w:shd w:val="clear" w:color="auto" w:fill="E8F5E9"/>
          </w:tcPr>
          <w:p>
            <w:pPr>
              <w:jc w:val="center"/>
              <w:bidi w:val="1"/>
            </w:pPr>
            <w:r>
              <w:rPr>
                <w:rFonts w:ascii="Scheherazade New" w:hAnsi="Scheherazade New"/>
                <w:color w:val="1A237E"/>
                <w:sz w:val="28"/>
              </w:rPr>
              <w:t>٦٦٦</w:t>
            </w:r>
          </w:p>
        </w:tc>
        <w:tc>
          <w:tcPr>
            <w:tcW w:type="dxa" w:w="3346"/>
            <w:shd w:val="clear" w:color="auto" w:fill="FFF8E1"/>
          </w:tcPr>
          <w:p>
            <w:pPr>
              <w:jc w:val="center"/>
              <w:bidi w:val="1"/>
            </w:pPr>
            <w:r>
              <w:rPr>
                <w:rFonts w:ascii="Scheherazade New" w:hAnsi="Scheherazade New"/>
                <w:color w:val="1A237E"/>
                <w:sz w:val="28"/>
              </w:rPr>
              <w:t>٥٤٦</w:t>
            </w:r>
          </w:p>
        </w:tc>
      </w:tr>
    </w:tbl>
    <w:p>
      <w:pPr>
        <w:jc w:val="center"/>
      </w:pPr>
      <w:r>
        <w:rPr>
          <w:i/>
          <w:sz w:val="14"/>
        </w:rPr>
        <w:t>Visual LTR: 614|1230|52 / 736|[القلب الخالي]|1160 / 546|666|684 — Penyimpanan RTL agar dir=rtl</w:t>
      </w:r>
    </w:p>
    <w:p>
      <w:pPr>
        <w:jc w:val="center"/>
      </w:pPr>
      <w:r>
        <w:rPr>
          <w:sz w:val="16"/>
        </w:rPr>
        <w:t>الأركان: أَنْفَايِيل ×4</w:t>
      </w:r>
    </w:p>
    <w:p>
      <w:pPr>
        <w:jc w:val="center"/>
      </w:pPr>
      <w:r>
        <w:drawing>
          <wp:inline xmlns:a="http://schemas.openxmlformats.org/drawingml/2006/main" xmlns:pic="http://schemas.openxmlformats.org/drawingml/2006/picture">
            <wp:extent cx="5029200" cy="2714625"/>
            <wp:docPr id="12" name="Picture 12"/>
            <wp:cNvGraphicFramePr>
              <a:graphicFrameLocks noChangeAspect="1"/>
            </wp:cNvGraphicFramePr>
            <a:graphic>
              <a:graphicData uri="http://schemas.openxmlformats.org/drawingml/2006/picture">
                <pic:pic>
                  <pic:nvPicPr>
                    <pic:cNvPr id="0" name="hal_20_wafaq_3x3.jpg"/>
                    <pic:cNvPicPr/>
                  </pic:nvPicPr>
                  <pic:blipFill>
                    <a:blip r:embed="rId22"/>
                    <a:stretch>
                      <a:fillRect/>
                    </a:stretch>
                  </pic:blipFill>
                  <pic:spPr>
                    <a:xfrm>
                      <a:off x="0" y="0"/>
                      <a:ext cx="5029200" cy="2714625"/>
                    </a:xfrm>
                    <a:prstGeom prst="rect"/>
                  </pic:spPr>
                </pic:pic>
              </a:graphicData>
            </a:graphic>
          </wp:inline>
        </w:drawing>
      </w:r>
    </w:p>
    <w:p>
      <w:pPr>
        <w:jc w:val="center"/>
      </w:pPr>
      <w:r>
        <w:rPr>
          <w:i/>
          <w:sz w:val="15"/>
        </w:rPr>
        <w:t>[Gambar: HALAMAN 20 — الْوَفْقُ الْمُثَلَّثُ (3×3) لِتَدْمِيرِ الظَّالِمِ — hal_20_wafaq_3x3.jpg]</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نَفَعَنِي اللهُ وَإِيَّاكُمْ بِالْقُرْآنِ الْعَظِيمِ وَجَعَلَنَا مِنَ الْمُتَّقِينَ وَهَدَانَا وَإِيَّاكُمْ إِلَى صِرَاطِهِ الْمُسْتَقِيمِ</w:t>
      </w:r>
    </w:p>
    <w:p>
      <w:pPr>
        <w:pStyle w:val="Heading2"/>
      </w:pPr>
      <w:r>
        <w:t>latin</w:t>
      </w:r>
    </w:p>
    <w:p>
      <w:r>
        <w:rPr>
          <w:i/>
          <w:sz w:val="18"/>
        </w:rPr>
        <w:t>Fāidatun mujarrabatun li-qahril-qarīn.</w:t>
      </w:r>
    </w:p>
    <w:p>
      <w:r>
        <w:rPr>
          <w:i/>
          <w:sz w:val="18"/>
        </w:rPr>
        <w:t>As-salāmu 'alaikum wa rahmatullāhi wa barakātuh.</w:t>
      </w:r>
    </w:p>
    <w:p>
      <w:r>
        <w:rPr>
          <w:i/>
          <w:sz w:val="18"/>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8"/>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8"/>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8"/>
        </w:rPr>
        <w:t>Tsumma taqūmu min sujūdika wastaghfirillāha 15 marratan wa shalli 'alā rasūlillāhi 15 marratan.</w:t>
      </w:r>
    </w:p>
    <w:p>
      <w:r>
        <w:rPr>
          <w:i/>
          <w:sz w:val="18"/>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8"/>
        </w:rPr>
        <w:t>Faedah yang teruji untuk menundukkan qarin.</w:t>
        <w:br/>
        <w:br/>
      </w:r>
      <w:r>
        <w:rPr>
          <w:color w:val="0D47A1"/>
          <w:sz w:val="18"/>
        </w:rPr>
        <w:t>Assalamu'alaikum warahmatullahi wabarakatuh.</w:t>
        <w:br/>
        <w:br/>
      </w:r>
      <w:r>
        <w:rPr>
          <w:color w:val="0D47A1"/>
          <w:sz w:val="18"/>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8"/>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8"/>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8"/>
        </w:rPr>
        <w:t>Kemudian bangkitlah dari sujudmu; mohon ampunlah kepada Allah 15 kali dan bershalawatlah kepada Rasulullah 15 kali.</w:t>
        <w:br/>
        <w:br/>
      </w:r>
      <w:r>
        <w:rPr>
          <w:color w:val="0D47A1"/>
          <w:sz w:val="18"/>
        </w:rPr>
        <w:t>Selesai. Semoga Allah memberi manfaat kepada kami dan kalian dengan al-Qur'an yang agung, menjadikan kami termasuk orang-orang yang bertakwa, dan memberi petunjuk kepada kami dan kalian kepada jalan-Nya yang lurus.</w:t>
        <w:br/>
        <w:br/>
      </w:r>
    </w:p>
    <w:p>
      <w:pPr>
        <w:jc w:val="center"/>
      </w:pPr>
      <w:r>
        <w:drawing>
          <wp:inline xmlns:a="http://schemas.openxmlformats.org/drawingml/2006/main" xmlns:pic="http://schemas.openxmlformats.org/drawingml/2006/picture">
            <wp:extent cx="5029200" cy="3886200"/>
            <wp:docPr id="13" name="Picture 13"/>
            <wp:cNvGraphicFramePr>
              <a:graphicFrameLocks noChangeAspect="1"/>
            </wp:cNvGraphicFramePr>
            <a:graphic>
              <a:graphicData uri="http://schemas.openxmlformats.org/drawingml/2006/picture">
                <pic:pic>
                  <pic:nvPicPr>
                    <pic:cNvPr id="0" name="hal_21.png"/>
                    <pic:cNvPicPr/>
                  </pic:nvPicPr>
                  <pic:blipFill>
                    <a:blip r:embed="rId23"/>
                    <a:stretch>
                      <a:fillRect/>
                    </a:stretch>
                  </pic:blipFill>
                  <pic:spPr>
                    <a:xfrm>
                      <a:off x="0" y="0"/>
                      <a:ext cx="5029200" cy="3886200"/>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274|143|165 / 85|194|303 / 223|245|114 — Visual LTR: 165|143|274 / 303|194|85 / 114|245|223 — jumlah 582</w:t>
      </w:r>
    </w:p>
    <w:p>
      <w:pPr>
        <w:pStyle w:val="Heading2"/>
      </w:pPr>
      <w:r>
        <w:t>latin</w:t>
      </w:r>
    </w:p>
    <w:p>
      <w:r>
        <w:rPr>
          <w:i/>
          <w:sz w:val="16"/>
        </w:rPr>
        <w:t>As-saiful-battāru li-daf'i Maimūnil-ghaddār.</w:t>
      </w:r>
    </w:p>
    <w:p>
      <w:r>
        <w:rPr>
          <w:i/>
          <w:sz w:val="16"/>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6"/>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6"/>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6"/>
        </w:rPr>
        <w:t>Tammat ikhwatī fillāhi al-āyātul-karīmātu wa ilaikum al-wafqus-sālifu dzikruhu.</w:t>
      </w:r>
    </w:p>
    <w:p>
      <w:r>
        <w:rPr>
          <w:i/>
          <w:sz w:val="16"/>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2.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4_wafaq.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jc w:val="center"/>
      </w:pPr>
      <w:r>
        <w:drawing>
          <wp:inline xmlns:a="http://schemas.openxmlformats.org/drawingml/2006/main" xmlns:pic="http://schemas.openxmlformats.org/drawingml/2006/picture">
            <wp:extent cx="5029200" cy="3886200"/>
            <wp:docPr id="16" name="Picture 16"/>
            <wp:cNvGraphicFramePr>
              <a:graphicFrameLocks noChangeAspect="1"/>
            </wp:cNvGraphicFramePr>
            <a:graphic>
              <a:graphicData uri="http://schemas.openxmlformats.org/drawingml/2006/picture">
                <pic:pic>
                  <pic:nvPicPr>
                    <pic:cNvPr id="0" name="hal_25.png"/>
                    <pic:cNvPicPr/>
                  </pic:nvPicPr>
                  <pic:blipFill>
                    <a:blip r:embed="rId26"/>
                    <a:stretch>
                      <a:fillRect/>
                    </a:stretch>
                  </pic:blipFill>
                  <pic:spPr>
                    <a:xfrm>
                      <a:off x="0" y="0"/>
                      <a:ext cx="5029200" cy="3886200"/>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jc w:val="center"/>
      </w:pPr>
      <w:r>
        <w:drawing>
          <wp:inline xmlns:a="http://schemas.openxmlformats.org/drawingml/2006/main" xmlns:pic="http://schemas.openxmlformats.org/drawingml/2006/picture">
            <wp:extent cx="5029200" cy="3886200"/>
            <wp:docPr id="17" name="Picture 17"/>
            <wp:cNvGraphicFramePr>
              <a:graphicFrameLocks noChangeAspect="1"/>
            </wp:cNvGraphicFramePr>
            <a:graphic>
              <a:graphicData uri="http://schemas.openxmlformats.org/drawingml/2006/picture">
                <pic:pic>
                  <pic:nvPicPr>
                    <pic:cNvPr id="0" name="hal_26.png"/>
                    <pic:cNvPicPr/>
                  </pic:nvPicPr>
                  <pic:blipFill>
                    <a:blip r:embed="rId27"/>
                    <a:stretch>
                      <a:fillRect/>
                    </a:stretch>
                  </pic:blipFill>
                  <pic:spPr>
                    <a:xfrm>
                      <a:off x="0" y="0"/>
                      <a:ext cx="5029200" cy="3886200"/>
                    </a:xfrm>
                    <a:prstGeom prst="rect"/>
                  </pic:spPr>
                </pic:pic>
              </a:graphicData>
            </a:graphic>
          </wp:inline>
        </w:drawing>
      </w:r>
    </w:p>
    <w:p>
      <w:pPr>
        <w:jc w:val="center"/>
      </w:pPr>
      <w:r>
        <w:rPr>
          <w:i/>
          <w:sz w:val="15"/>
        </w:rPr>
        <w:t>[Gambar: REVISI HAL 26 — دُعَاءُ الْخَائِفِ (5 LAPIS BERSIH) — hal_26.png]</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