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25 — FĀIDAH QĀTHI'AH LI-RADDIL-KHĀDIM — فَائِدَةٌ قَاطِعَةٌ لِرَدِّ الْخَادِمِ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وَفِي آخِرِ التِّلَاوَةِ يَدْعُو بِهَذَا الدُّعَاءِ ٧ مَرَّاتٍ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2"/>
      </w:pPr>
      <w:r>
        <w:t>latin</w:t>
      </w:r>
    </w:p>
    <w:p>
      <w:r>
        <w:rPr>
          <w:i/>
          <w:sz w:val="17"/>
        </w:rPr>
        <w:t>Fāidatun qāthi'atun li-raddil-khādim.</w:t>
      </w:r>
    </w:p>
    <w:p>
      <w:r>
        <w:rPr>
          <w:i/>
          <w:sz w:val="17"/>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i/>
          <w:sz w:val="17"/>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i/>
          <w:sz w:val="17"/>
        </w:rPr>
        <w:t>Wa fī ākhir at-tilāwati yad'ū bihādzad-du'ā'i 7 marrātin:</w:t>
      </w:r>
    </w:p>
    <w:p>
      <w:r>
        <w:rPr>
          <w:i/>
          <w:sz w:val="17"/>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i/>
          <w:sz w:val="17"/>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2"/>
      </w:pPr>
      <w:r>
        <w:t>Terjemahan</w:t>
      </w:r>
    </w:p>
    <w:p>
      <w:pPr>
        <w:shd w:val="clear" w:color="auto" w:fill="E3F2FD"/>
        <w:pBdr>
          <w:left w:val="single" w:sz="12" w:space="6" w:color="64B5F6"/>
        </w:pBdr>
      </w:pPr>
      <w:r>
        <w:rPr>
          <w:color w:val="0D47A1"/>
          <w:sz w:val="17"/>
        </w:rPr>
        <w:t>Faedah yang pasti untuk mengembalikan khadam.</w:t>
        <w:br/>
        <w:br/>
      </w:r>
      <w:r>
        <w:rPr>
          <w:color w:val="0D47A1"/>
          <w:sz w:val="17"/>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br/>
        <w:br/>
      </w:r>
      <w:r>
        <w:rPr>
          <w:color w:val="0D47A1"/>
          <w:sz w:val="17"/>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br/>
        <w:br/>
      </w:r>
      <w:r>
        <w:rPr>
          <w:color w:val="0D47A1"/>
          <w:sz w:val="17"/>
        </w:rPr>
        <w:t>Dan di akhir bacaan hendaklah ia berdoa dengan doa ini sebanyak 7 kali:</w:t>
        <w:br/>
        <w:br/>
      </w:r>
      <w:r>
        <w:rPr>
          <w:color w:val="0D47A1"/>
          <w:sz w:val="17"/>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br/>
        <w:br/>
      </w:r>
      <w:r>
        <w:rPr>
          <w:color w:val="0D47A1"/>
          <w:sz w:val="17"/>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br/>
        <w:br/>
      </w:r>
    </w:p>
    <w:p>
      <w:pPr>
        <w:jc w:val="center"/>
      </w:pPr>
      <w:r>
        <w:drawing>
          <wp:inline xmlns:a="http://schemas.openxmlformats.org/drawingml/2006/main" xmlns:pic="http://schemas.openxmlformats.org/drawingml/2006/picture">
            <wp:extent cx="5029200" cy="3886200"/>
            <wp:docPr id="1" name="Picture 1"/>
            <wp:cNvGraphicFramePr>
              <a:graphicFrameLocks noChangeAspect="1"/>
            </wp:cNvGraphicFramePr>
            <a:graphic>
              <a:graphicData uri="http://schemas.openxmlformats.org/drawingml/2006/picture">
                <pic:pic>
                  <pic:nvPicPr>
                    <pic:cNvPr id="0" name="hal_25.png"/>
                    <pic:cNvPicPr/>
                  </pic:nvPicPr>
                  <pic:blipFill>
                    <a:blip r:embed="rId11"/>
                    <a:stretch>
                      <a:fillRect/>
                    </a:stretch>
                  </pic:blipFill>
                  <pic:spPr>
                    <a:xfrm>
                      <a:off x="0" y="0"/>
                      <a:ext cx="5029200" cy="3886200"/>
                    </a:xfrm>
                    <a:prstGeom prst="rect"/>
                  </pic:spPr>
                </pic:pic>
              </a:graphicData>
            </a:graphic>
          </wp:inline>
        </w:drawing>
      </w:r>
    </w:p>
    <w:p>
      <w:pPr>
        <w:jc w:val="center"/>
      </w:pPr>
      <w:r>
        <w:rPr>
          <w:i/>
          <w:sz w:val="15"/>
        </w:rPr>
        <w:t>[Gambar: HALAMAN 25 — FĀIDAH QĀTHI'AH LI-RADDIL-KHĀDIM — فَائِدَةٌ قَاطِعَةٌ لِرَدِّ الْخَادِمِ — hal_25.png]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Hal25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