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Halaman 1 — PUJIAN PERTAMA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المناحين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Bismillahir rahmanir rahim.</w:t>
      </w:r>
    </w:p>
    <w:p>
      <w:pPr>
        <w:spacing w:before="40" w:after="100" w:line="269" w:lineRule="auto"/>
        <w:bidi w:val="0"/>
        <w:jc w:val="left"/>
      </w:pPr>
      <w:r>
        <w:rPr>
          <w:rFonts w:ascii="Amiri" w:hAnsi="Amiri" w:cs="Amiri" w:eastAsia="Amiri"/>
          <w:b w:val="0"/>
          <w:i w:val="0"/>
          <w:color w:val="1F2937"/>
          <w:sz w:val="26"/>
          <w:szCs w:val="30"/>
        </w:rPr>
        <w:t>Muqaddimah :</w:t>
      </w:r>
    </w:p>
    <w:p>
      <w:pPr>
        <w:spacing w:before="40" w:after="100" w:line="269" w:lineRule="auto"/>
        <w:bidi w:val="0"/>
        <w:jc w:val="left"/>
      </w:pPr>
      <w:r>
        <w:rPr>
          <w:rFonts w:ascii="Amiri" w:hAnsi="Amiri" w:cs="Amiri" w:eastAsia="Amiri"/>
          <w:b w:val="0"/>
          <w:i w:val="0"/>
          <w:color w:val="1F2937"/>
          <w:sz w:val="26"/>
          <w:szCs w:val="30"/>
        </w:rPr>
        <w:t>Alhamdulillahil ladzi rafa'a hujuba ataral asrari 'an haqa'iqi bashayiril muqarrabin, wa nawwara binuril hidayatil imaniyyati misykata qulubil 'arifin, wa syaraha bisirril mawahibir rabbaniyyati bawathina shuduril muhaqqiqin, wa askara min khalishi shirfi mahabbatihi jawahira arwahil muhibbin, wa hada ila aqrabi wasilatin suluka mashamatil mukhlishin, wa tsabbata 'ala shirathil haqiqati aqdamas salikin, wa raqqa 'ala manabiril hikamin nuraniyyati dzawati afkaril muhtadin, wa nazzaha fi hadiqati riyadhi hadhrati qudsi ansatal babi 'uqulil mutarbarrin, wa taqarraba bikhadhi althafi 'inayati rahmatihi bikhudhu'i khusyu'il munahin.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 :</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 yang menerangi relung (misykāt) hati para ‘ārif dengan cahaya petunjuk yang berdasar iman; yang melapangkan batin dada para muḥaqqiq (ahli tahqiq) dengan rahasia anugerah-anugerah rabbani; yang memabukkan permata ruh para pecinta dengan sari murni cinta-Nya; yang menunjuki perjalanan (sulūk) «mashāmāt» orang-orang yang ikhlas kepada perantara yang paling dekat; yang meneguhkan langkah para sālik di atas jalan hakikat; yang mengangkat hakikat pikiran orang-orang yang memperoleh petunjuk ke mimbar-mimbar hikmah yang bercahaya; yang menenangkan — dalam redaksi cetak «ansatal bāb» — akal-akal «al-mutarbarrīn» di taman hadirat kesucian-Nya; dan yang mendekat dengan «khadd» kelembutan perhatian rahmat-Nya kepada ketundukan dan kekhusyukan «al-manāḥīn».</w:t>
      </w:r>
    </w:p>
    <w:p>
      <w:r>
        <w:br w:type="page"/>
      </w:r>
    </w:p>
    <w:p>
      <w:pPr>
        <w:bidi w:val="0"/>
        <w:spacing w:before="240" w:after="100"/>
        <w:jc w:val="left"/>
      </w:pPr>
      <w:r>
        <w:rPr>
          <w:rFonts w:ascii="Amiri" w:hAnsi="Amiri" w:cs="Amiri" w:eastAsia="Amiri"/>
          <w:b/>
          <w:i w:val="0"/>
          <w:color w:val="1F2937"/>
          <w:sz w:val="36"/>
          <w:szCs w:val="40"/>
          <w:bCs/>
        </w:rPr>
        <w:t>=== Halaman 2 — LANJUTAN PUJIAN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Wa huwal ladzi tafarrada bisirril wahdaniyyati wa tawahhada bitahqiqil haqiqatil ahadiyyah, wattashafa bi'izzatillahish shamadiyyati wa tanazzaha 'an syabahil mulhidin.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 yang bersifat dengan kemuliaan Allah Yang Ṣamadiyyah (tempat segala sesuatu bergantung) dan Mahasuci dari segala keserupaan orang-orang yang menyimpang (al-mulḥidīn).</w:t>
      </w:r>
    </w:p>
    <w:p>
      <w:r>
        <w:br w:type="page"/>
      </w:r>
    </w:p>
    <w:p>
      <w:pPr>
        <w:bidi w:val="0"/>
        <w:spacing w:before="240" w:after="100"/>
        <w:jc w:val="left"/>
      </w:pPr>
      <w:r>
        <w:rPr>
          <w:rFonts w:ascii="Amiri" w:hAnsi="Amiri" w:cs="Amiri" w:eastAsia="Amiri"/>
          <w:b/>
          <w:i w:val="0"/>
          <w:color w:val="1F2937"/>
          <w:sz w:val="36"/>
          <w:szCs w:val="40"/>
          <w:bCs/>
        </w:rPr>
        <w:t>=== Halaman 3 — SYAHADAT DAN ALASAN PENULISAN ===</w:t>
      </w:r>
    </w:p>
    <w:p>
      <w:pPr>
        <w:spacing w:before="40" w:after="100" w:line="269" w:lineRule="auto"/>
        <w:bidi w:val="1"/>
        <w:jc w:val="start"/>
      </w:pP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واهتدية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Alladzi min riwaqit takwini 'alakhtilafi athwari maqamatil qashidin, wa basatha sahatat tahkimi bishafa'i jawahiri anfasi arwahi lilmutamakkinin, alqadirul ladzi wasama sulthanal 'aqli biyyatil 'ajzi wa akhrasa fashihatil alsuni biyadil qahri. Ahmaduhu hamdal muqarrabina wa u'minu amanal 'arifina wahtadiyata hidayatal muridin, wa asyhadu an la ilaha illallahu wahdahu la syarika lahu syahadata minni birqihi 'ubudiyyati ilaih.</w:t>
      </w:r>
    </w:p>
    <w:p>
      <w:pPr>
        <w:spacing w:before="40" w:after="100" w:line="269" w:lineRule="auto"/>
        <w:bidi w:val="0"/>
        <w:jc w:val="left"/>
      </w:pPr>
      <w:r>
        <w:rPr>
          <w:rFonts w:ascii="Amiri" w:hAnsi="Amiri" w:cs="Amiri" w:eastAsia="Amiri"/>
          <w:b w:val="0"/>
          <w:i w:val="0"/>
          <w:color w:val="1F2937"/>
          <w:sz w:val="26"/>
          <w:szCs w:val="30"/>
        </w:rPr>
        <w:t>Wa a'tamidu fi af'ali wa aqwali 'alaihi wa asyhadu anna Muhammadan 'abduhu wa rasuluhul ladzikhtarahu min jawahiril mursalina wa khulashati anwarish shiddiqina wa haqiqati haqa'iqisy syuhada'i wa yatha'ifi asrarish shalihin, shallallahu 'alaihi hamilil qur'ani wa ta'aqubal jadidan. Wa ba'du fa'inna jama'atan minal muhibbinash shadiqina wal mukhlishinal khalishina raghibu an ubayyina lahum kaifiyyatar riyadhati wa tarbiyata asrariha fi ushulil mawjudati wa ma sirral bidayati minha wan nihayati, fa'ajabtuhum ila dzalika ijabata man watsiqa bihabli maulahu fi sarri sirrihi wa 'alaniyatihi wa najwahu ba'da anittakhadztu 'ubudiyyatadz dzulli bayanal istikharah.</w:t>
      </w:r>
    </w:p>
    <w:p>
      <w:pPr>
        <w:spacing w:before="40" w:after="100" w:line="269" w:lineRule="auto"/>
        <w:bidi w:val="0"/>
        <w:jc w:val="left"/>
      </w:pPr>
      <w:r>
        <w:rPr>
          <w:rFonts w:ascii="Amiri" w:hAnsi="Amiri" w:cs="Amiri" w:eastAsia="Amiri"/>
          <w:b w:val="0"/>
          <w:i w:val="0"/>
          <w:color w:val="1F2937"/>
          <w:sz w:val="24"/>
          <w:szCs w:val="28"/>
        </w:rPr>
        <w:t>Yang dari serambi penciptaan menurut perbedaan tingkatan maqam para pencari (al-qāṣidīn). Dia membentangkan arena penetapan (at-taḥkīm) dengan kejernihan permata embusan ruh orang-orang yang telah mantap. Dialah Yang Mahakuasa, yang menandai kekuasaan akal dengan «biyyah» kelemahan dan membungkam kefasihan lidah-lidah dengan tangan keperkasaan-Nya. Aku memuji-Nya dengan pujian al-muqarrabīn, beriman dengan «amān» para ‘ārif, dan «ahtadiyah» dengan petunjuk para murid. Aku bersaksi bahwa tidak ada tuhan selain Allah semata, tanpa sekutu bagi-Nya; itulah kesaksian dariku, dengan «birqihi» kehambaanku kepada-Nya.</w:t>
      </w:r>
    </w:p>
    <w:p>
      <w:pPr>
        <w:spacing w:before="40" w:after="100" w:line="269" w:lineRule="auto"/>
        <w:bidi w:val="0"/>
        <w:jc w:val="left"/>
      </w:pPr>
      <w:r>
        <w:rPr>
          <w:rFonts w:ascii="Amiri" w:hAnsi="Amiri" w:cs="Amiri" w:eastAsia="Amiri"/>
          <w:b w:val="0"/>
          <w:i w:val="0"/>
          <w:color w:val="1F2937"/>
          <w:sz w:val="24"/>
          <w:szCs w:val="28"/>
        </w:rPr>
        <w:t>Dan kepada-Nya aku bersandar dalam segala perbuatan dan perkataanku. Aku bersaksi bahwa Muhammad adalah hamba dan Rasul-Nya, yang dipilih-Nya dari permata para rasul, intisari cahaya para ṣiddīqīn, hakikat dari segala hakikat para syuhada, dan «yathā'if» rahasia orang-orang saleh. Semoga Allah melimpahkan salawat atas beliau … para pembawa Al-Qur’an … dan silih bergantinya siang dan malam (al-jadīdān). Wa ba‘du (selanjutnya): sekelompok pecinta yang tulus dan orang-orang mukhlis yang murni meminta agar aku menjelaskan kepada mereka tata cara riyadhah, pembinaan rahasia-rahasianya dalam prinsip-prinsip segala maujud, serta apa rahasia awal dan akhir riyadhah itu. Maka aku memenuhi permintaan mereka seperti orang yang berpegang pada tali Tuannya — dalam kerahasiaan rahasia batinnya, keterbukaannya, dan bisikan munajatnya — setelah aku menjadikan penghambaan yang merendah sebagai keterangan istikharahku.</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Judul di naskah:</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p>
    <w:p>
      <w:pPr>
        <w:spacing w:before="40" w:after="100" w:line="269" w:lineRule="auto"/>
        <w:bidi w:val="0"/>
        <w:jc w:val="left"/>
      </w:pPr>
      <w:r>
        <w:rPr>
          <w:rFonts w:ascii="Amiri" w:hAnsi="Amiri" w:cs="Amiri" w:eastAsia="Amiri"/>
          <w:b w:val="0"/>
          <w:i/>
          <w:color w:val="1F2937"/>
          <w:sz w:val="24"/>
          <w:szCs w:val="28"/>
          <w:iCs/>
        </w:rPr>
        <w:t>Teks Arab asli rujukan:</w:t>
      </w:r>
    </w:p>
    <w:p>
      <w:pPr>
        <w:spacing w:before="40" w:after="100" w:line="269" w:lineRule="auto"/>
        <w:bidi w:val="1"/>
        <w:jc w:val="start"/>
      </w:pP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color w:val="1F2937"/>
          <w:sz w:val="24"/>
          <w:szCs w:val="28"/>
          <w:iCs/>
        </w:rPr>
        <w:t>TATACARA PRAKTIK LENGKAP MENURUT NASKAH HAL 49:</w:t>
      </w:r>
    </w:p>
    <w:p>
      <w:pPr>
        <w:spacing w:before="40" w:after="100" w:line="269" w:lineRule="auto"/>
        <w:bidi w:val="0"/>
        <w:jc w:val="left"/>
      </w:pPr>
      <w:r>
        <w:rPr>
          <w:rFonts w:ascii="Amiri" w:hAnsi="Amiri" w:cs="Amiri" w:eastAsia="Amiri"/>
          <w:b w:val="0"/>
          <w:i/>
          <w:color w:val="1F2937"/>
          <w:sz w:val="24"/>
          <w:szCs w:val="28"/>
          <w:iCs/>
        </w:rPr>
        <w:t>1. Konteks yang ditulis penulis (bukan tatacara, tapi latar):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الْعَفَارِيتُ</w:t>
      </w:r>
      <w:r>
        <w:rPr>
          <w:rFonts w:ascii="Amiri" w:hAnsi="Amiri" w:cs="Amiri" w:eastAsia="Amiri"/>
          <w:b w:val="0"/>
          <w:i w:val="0"/>
          <w:color w:val="1F2937"/>
          <w:sz w:val="24"/>
          <w:szCs w:val="28"/>
        </w:rPr>
        <w:t xml:space="preserve"> - sebagian tawabi' ifrit yang menyerupai manusia, tinggal dekat pohon tinggi dan masuk ke kebun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الْجِبَالَ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وَالْخَرَائِبَ</w:t>
      </w:r>
      <w:r>
        <w:rPr>
          <w:rFonts w:ascii="Amiri" w:hAnsi="Amiri" w:cs="Amiri" w:eastAsia="Amiri"/>
          <w:b w:val="0"/>
          <w:i w:val="0"/>
          <w:color w:val="1F2937"/>
          <w:sz w:val="24"/>
          <w:szCs w:val="28"/>
        </w:rPr>
        <w:t xml:space="preserve"> - sebagian sabasib tinggal di gunung dan reruntuhan kosong</w:t>
      </w:r>
    </w:p>
    <w:p>
      <w:pPr>
        <w:spacing w:before="40" w:after="100" w:line="269" w:lineRule="auto"/>
        <w:bidi w:val="0"/>
        <w:jc w:val="left"/>
      </w:pPr>
      <w:r>
        <w:rPr>
          <w:rFonts w:ascii="Amiri" w:hAnsi="Amiri" w:cs="Amiri" w:eastAsia="Amiri"/>
          <w:b w:val="0"/>
          <w:i w:val="0"/>
          <w:color w:val="1F2937"/>
          <w:sz w:val="24"/>
          <w:szCs w:val="28"/>
        </w:rPr>
        <w:t xml:space="preserve">- Penulis menyatakan </w:t>
      </w:r>
      <w:r>
        <w:rPr>
          <w:rFonts w:ascii="Amiri" w:hAnsi="Amiri" w:cs="Amiri" w:eastAsia="Amiri"/>
          <w:b w:val="0"/>
          <w:i w:val="0"/>
          <w:color w:val="1F2937"/>
          <w:sz w:val="28"/>
          <w:szCs w:val="32"/>
          <w:rtl/>
        </w:rPr>
        <w:t>كَثْرَةُ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هَؤُلَاءِ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وَالنِّسَاءِ</w:t>
      </w:r>
      <w:r>
        <w:rPr>
          <w:rFonts w:ascii="Amiri" w:hAnsi="Amiri" w:cs="Amiri" w:eastAsia="Amiri"/>
          <w:b w:val="0"/>
          <w:i w:val="0"/>
          <w:color w:val="1F2937"/>
          <w:sz w:val="24"/>
          <w:szCs w:val="28"/>
        </w:rPr>
        <w:t xml:space="preserve"> - kebanyakan mereka berbahaya bagi manusia</w:t>
      </w:r>
    </w:p>
    <w:p>
      <w:pPr>
        <w:spacing w:before="40" w:after="100" w:line="269" w:lineRule="auto"/>
        <w:bidi w:val="0"/>
        <w:jc w:val="left"/>
      </w:pPr>
      <w:r>
        <w:rPr>
          <w:rFonts w:ascii="Amiri" w:hAnsi="Amiri" w:cs="Amiri" w:eastAsia="Amiri"/>
          <w:b w:val="0"/>
          <w:i w:val="0"/>
          <w:color w:val="1F2937"/>
          <w:sz w:val="24"/>
          <w:szCs w:val="28"/>
        </w:rPr>
        <w:t xml:space="preserve">- Penulis menyebut ada </w:t>
      </w:r>
      <w:r>
        <w:rPr>
          <w:rFonts w:ascii="Amiri" w:hAnsi="Amiri" w:cs="Amiri" w:eastAsia="Amiri"/>
          <w:b w:val="0"/>
          <w:i w:val="0"/>
          <w:color w:val="1F2937"/>
          <w:sz w:val="28"/>
          <w:szCs w:val="32"/>
          <w:rtl/>
        </w:rPr>
        <w:t>سَبْعُونَ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وَصْفًا</w:t>
      </w:r>
      <w:r>
        <w:rPr>
          <w:rFonts w:ascii="Amiri" w:hAnsi="Amiri" w:cs="Amiri" w:eastAsia="Amiri"/>
          <w:b w:val="0"/>
          <w:i w:val="0"/>
          <w:color w:val="1F2937"/>
          <w:sz w:val="24"/>
          <w:szCs w:val="28"/>
        </w:rPr>
        <w:t xml:space="preserve"> - 70 deskripsi, dan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وَأَرْبَعُونَ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نَوْعًا</w:t>
      </w:r>
      <w:r>
        <w:rPr>
          <w:rFonts w:ascii="Amiri" w:hAnsi="Amiri" w:cs="Amiri" w:eastAsia="Amiri"/>
          <w:b w:val="0"/>
          <w:i w:val="0"/>
          <w:color w:val="1F2937"/>
          <w:sz w:val="24"/>
          <w:szCs w:val="28"/>
        </w:rPr>
        <w:t xml:space="preserve"> - 43 jenis kerasukan, tiap jenis ada obatnya</w:t>
      </w:r>
    </w:p>
    <w:p>
      <w:pPr>
        <w:spacing w:before="40" w:after="100" w:line="269" w:lineRule="auto"/>
        <w:bidi w:val="0"/>
        <w:jc w:val="left"/>
      </w:pPr>
      <w:r>
        <w:rPr>
          <w:rFonts w:ascii="Amiri" w:hAnsi="Amiri" w:cs="Amiri" w:eastAsia="Amiri"/>
          <w:b w:val="0"/>
          <w:i/>
          <w:color w:val="1F2937"/>
          <w:sz w:val="24"/>
          <w:szCs w:val="28"/>
          <w:iCs/>
        </w:rPr>
        <w:t>2. Media yang disebut untuk pengobatan pertama:</w:t>
      </w:r>
    </w:p>
    <w:p>
      <w:pPr>
        <w:spacing w:before="40" w:after="100" w:line="269" w:lineRule="auto"/>
        <w:bidi w:val="0"/>
        <w:jc w:val="left"/>
      </w:pPr>
      <w:r>
        <w:rPr>
          <w:rFonts w:ascii="Amiri" w:hAnsi="Amiri" w:cs="Amiri" w:eastAsia="Amiri"/>
          <w:b w:val="0"/>
          <w:i w:val="0"/>
          <w:color w:val="1F2937"/>
          <w:sz w:val="24"/>
          <w:szCs w:val="28"/>
        </w:rPr>
        <w:t xml:space="preserve">- Dahinya pasien: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عَيْنَيْهِ</w:t>
      </w:r>
      <w:r>
        <w:rPr>
          <w:rFonts w:ascii="Amiri" w:hAnsi="Amiri" w:cs="Amiri" w:eastAsia="Amiri"/>
          <w:b w:val="0"/>
          <w:i w:val="0"/>
          <w:color w:val="1F2937"/>
          <w:sz w:val="24"/>
          <w:szCs w:val="28"/>
        </w:rPr>
        <w:t xml:space="preserve"> - di antara dua mata (di dahi tengah)</w:t>
      </w:r>
    </w:p>
    <w:p>
      <w:pPr>
        <w:spacing w:before="40" w:after="100" w:line="269" w:lineRule="auto"/>
        <w:bidi w:val="0"/>
        <w:jc w:val="left"/>
      </w:pPr>
      <w:r>
        <w:rPr>
          <w:rFonts w:ascii="Amiri" w:hAnsi="Amiri" w:cs="Amiri" w:eastAsia="Amiri"/>
          <w:b w:val="0"/>
          <w:i w:val="0"/>
          <w:color w:val="1F2937"/>
          <w:sz w:val="24"/>
          <w:szCs w:val="28"/>
        </w:rPr>
        <w:t xml:space="preserve">- Tangan kanannya: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الْيُمْنَى</w:t>
      </w:r>
    </w:p>
    <w:p>
      <w:pPr>
        <w:spacing w:before="40" w:after="100" w:line="269" w:lineRule="auto"/>
        <w:bidi w:val="0"/>
        <w:jc w:val="left"/>
      </w:pPr>
      <w:r>
        <w:rPr>
          <w:rFonts w:ascii="Amiri" w:hAnsi="Amiri" w:cs="Amiri" w:eastAsia="Amiri"/>
          <w:b w:val="0"/>
          <w:i/>
          <w:color w:val="1F2937"/>
          <w:sz w:val="24"/>
          <w:szCs w:val="28"/>
          <w:iCs/>
        </w:rPr>
        <w:t>3. Langkah ke-1 - Tulis di antara dua mata:</w:t>
      </w:r>
    </w:p>
    <w:p>
      <w:pPr>
        <w:spacing w:before="40" w:after="100" w:line="269" w:lineRule="auto"/>
        <w:bidi w:val="1"/>
        <w:jc w:val="start"/>
      </w:pP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Yang dimaksud adalah ayat dari Surah As-Sajdah ayat 18-20:</w:t>
      </w:r>
    </w:p>
    <w:p>
      <w:pPr>
        <w:spacing w:before="40" w:after="100" w:line="269" w:lineRule="auto"/>
        <w:bidi w:val="1"/>
        <w:jc w:val="start"/>
      </w:pPr>
      <w:r>
        <w:rPr>
          <w:rFonts w:ascii="Amiri" w:hAnsi="Amiri" w:cs="Amiri" w:eastAsia="Amiri"/>
          <w:b w:val="0"/>
          <w:i w:val="0"/>
          <w:color w:val="1F2937"/>
          <w:sz w:val="42"/>
          <w:szCs w:val="46"/>
          <w:rtl/>
        </w:rPr>
        <w:t>أَفَمَنْ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يَسْتَوُونَ</w:t>
      </w:r>
      <w:r>
        <w:rPr>
          <w:rFonts w:ascii="Amiri" w:hAnsi="Amiri" w:cs="Amiri" w:eastAsia="Amiri"/>
          <w:b w:val="0"/>
          <w:i w:val="0"/>
          <w:color w:val="1F2937"/>
          <w:sz w:val="38"/>
          <w:szCs w:val="42"/>
          <w:rtl/>
        </w:rPr>
        <w:t xml:space="preserve"> (18) </w:t>
      </w:r>
      <w:r>
        <w:rPr>
          <w:rFonts w:ascii="Amiri" w:hAnsi="Amiri" w:cs="Amiri" w:eastAsia="Amiri"/>
          <w:b w:val="0"/>
          <w:i w:val="0"/>
          <w:color w:val="1F2937"/>
          <w:sz w:val="42"/>
          <w:szCs w:val="46"/>
          <w:rtl/>
        </w:rPr>
        <w:t>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tl/>
        </w:rPr>
        <w:t xml:space="preserve"> (19)</w:t>
      </w:r>
    </w:p>
    <w:p>
      <w:pPr>
        <w:spacing w:before="40" w:after="100" w:line="269" w:lineRule="auto"/>
        <w:bidi w:val="0"/>
        <w:jc w:val="left"/>
      </w:pPr>
      <w:r>
        <w:rPr>
          <w:rFonts w:ascii="Amiri" w:hAnsi="Amiri" w:cs="Amiri" w:eastAsia="Amiri"/>
          <w:b w:val="0"/>
          <w:i w:val="0"/>
          <w:color w:val="1F2937"/>
          <w:sz w:val="24"/>
          <w:szCs w:val="28"/>
        </w:rPr>
        <w:t xml:space="preserve">Di naskah tertulis sampai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 kemungkinan salah cetak/kurang jelas, yang benar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color w:val="1F2937"/>
          <w:sz w:val="24"/>
          <w:szCs w:val="28"/>
          <w:iCs/>
        </w:rPr>
        <w:t>4. Langkah ke-2 - Tulis di tangan kanan:</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p>
    <w:p>
      <w:pPr>
        <w:spacing w:before="40" w:after="100" w:line="269" w:lineRule="auto"/>
        <w:bidi w:val="0"/>
        <w:jc w:val="left"/>
      </w:pPr>
      <w:r>
        <w:rPr>
          <w:rFonts w:ascii="Amiri" w:hAnsi="Amiri" w:cs="Amiri" w:eastAsia="Amiri"/>
          <w:b w:val="0"/>
          <w:i w:val="0"/>
          <w:color w:val="1F2937"/>
          <w:sz w:val="24"/>
          <w:szCs w:val="28"/>
        </w:rPr>
        <w:t>Tulis Rajah Khatam Sulaiman yang memiliki 7 tanduk (seperti gambar bintang/segel di akhir Hal 49)</w:t>
      </w:r>
    </w:p>
    <w:p>
      <w:pPr>
        <w:spacing w:before="40" w:after="100" w:line="269" w:lineRule="auto"/>
        <w:bidi w:val="0"/>
        <w:jc w:val="left"/>
      </w:pPr>
      <w:r>
        <w:rPr>
          <w:rFonts w:ascii="Amiri" w:hAnsi="Amiri" w:cs="Amiri" w:eastAsia="Amiri"/>
          <w:b w:val="0"/>
          <w:i/>
          <w:color w:val="1F2937"/>
          <w:sz w:val="24"/>
          <w:szCs w:val="28"/>
          <w:iCs/>
        </w:rPr>
        <w:t>5. Langkah ke-3 - Isi 7 tanduk:</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p>
    <w:p>
      <w:pPr>
        <w:spacing w:before="40" w:after="100" w:line="269" w:lineRule="auto"/>
        <w:bidi w:val="0"/>
        <w:jc w:val="left"/>
      </w:pPr>
      <w:r>
        <w:rPr>
          <w:rFonts w:ascii="Amiri" w:hAnsi="Amiri" w:cs="Amiri" w:eastAsia="Amiri"/>
          <w:b w:val="0"/>
          <w:i w:val="0"/>
          <w:color w:val="1F2937"/>
          <w:sz w:val="24"/>
          <w:szCs w:val="28"/>
        </w:rPr>
        <w:t>Di dalam setiap tanduk dari 7 tanduk itu, tulis satu huruf:</w:t>
      </w:r>
    </w:p>
    <w:p>
      <w:pPr>
        <w:spacing w:before="40" w:after="100" w:line="269" w:lineRule="auto"/>
        <w:bidi w:val="0"/>
        <w:jc w:val="left"/>
      </w:pPr>
      <w:r>
        <w:rPr>
          <w:rFonts w:ascii="Amiri" w:hAnsi="Amiri" w:cs="Amiri" w:eastAsia="Amiri"/>
          <w:b w:val="0"/>
          <w:i w:val="0"/>
          <w:color w:val="1F2937"/>
          <w:sz w:val="24"/>
          <w:szCs w:val="28"/>
        </w:rPr>
        <w:t xml:space="preserve">Tanduk 1 = </w:t>
      </w:r>
      <w:r>
        <w:rPr>
          <w:rFonts w:ascii="Amiri" w:hAnsi="Amiri" w:cs="Amiri" w:eastAsia="Amiri"/>
          <w:b w:val="0"/>
          <w:i w:val="0"/>
          <w:color w:val="1F2937"/>
          <w:sz w:val="28"/>
          <w:szCs w:val="32"/>
          <w:rtl/>
        </w:rPr>
        <w:t>ف</w:t>
      </w:r>
    </w:p>
    <w:p>
      <w:pPr>
        <w:spacing w:before="40" w:after="100" w:line="269" w:lineRule="auto"/>
        <w:bidi w:val="0"/>
        <w:jc w:val="left"/>
      </w:pPr>
      <w:r>
        <w:rPr>
          <w:rFonts w:ascii="Amiri" w:hAnsi="Amiri" w:cs="Amiri" w:eastAsia="Amiri"/>
          <w:b w:val="0"/>
          <w:i w:val="0"/>
          <w:color w:val="1F2937"/>
          <w:sz w:val="24"/>
          <w:szCs w:val="28"/>
        </w:rPr>
        <w:t xml:space="preserve">Tanduk 2 =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Tanduk 3 = </w:t>
      </w:r>
      <w:r>
        <w:rPr>
          <w:rFonts w:ascii="Amiri" w:hAnsi="Amiri" w:cs="Amiri" w:eastAsia="Amiri"/>
          <w:b w:val="0"/>
          <w:i w:val="0"/>
          <w:color w:val="1F2937"/>
          <w:sz w:val="28"/>
          <w:szCs w:val="32"/>
          <w:rtl/>
        </w:rPr>
        <w:t>ش</w:t>
      </w:r>
    </w:p>
    <w:p>
      <w:pPr>
        <w:spacing w:before="40" w:after="100" w:line="269" w:lineRule="auto"/>
        <w:bidi w:val="0"/>
        <w:jc w:val="left"/>
      </w:pPr>
      <w:r>
        <w:rPr>
          <w:rFonts w:ascii="Amiri" w:hAnsi="Amiri" w:cs="Amiri" w:eastAsia="Amiri"/>
          <w:b w:val="0"/>
          <w:i w:val="0"/>
          <w:color w:val="1F2937"/>
          <w:sz w:val="24"/>
          <w:szCs w:val="28"/>
        </w:rPr>
        <w:t xml:space="preserve">Tanduk 4 = </w:t>
      </w:r>
      <w:r>
        <w:rPr>
          <w:rFonts w:ascii="Amiri" w:hAnsi="Amiri" w:cs="Amiri" w:eastAsia="Amiri"/>
          <w:b w:val="0"/>
          <w:i w:val="0"/>
          <w:color w:val="1F2937"/>
          <w:sz w:val="28"/>
          <w:szCs w:val="32"/>
          <w:rtl/>
        </w:rPr>
        <w:t>ث</w:t>
      </w:r>
    </w:p>
    <w:p>
      <w:pPr>
        <w:spacing w:before="40" w:after="100" w:line="269" w:lineRule="auto"/>
        <w:bidi w:val="0"/>
        <w:jc w:val="left"/>
      </w:pPr>
      <w:r>
        <w:rPr>
          <w:rFonts w:ascii="Amiri" w:hAnsi="Amiri" w:cs="Amiri" w:eastAsia="Amiri"/>
          <w:b w:val="0"/>
          <w:i w:val="0"/>
          <w:color w:val="1F2937"/>
          <w:sz w:val="24"/>
          <w:szCs w:val="28"/>
        </w:rPr>
        <w:t xml:space="preserve">Tanduk 5 = </w:t>
      </w:r>
      <w:r>
        <w:rPr>
          <w:rFonts w:ascii="Amiri" w:hAnsi="Amiri" w:cs="Amiri" w:eastAsia="Amiri"/>
          <w:b w:val="0"/>
          <w:i w:val="0"/>
          <w:color w:val="1F2937"/>
          <w:sz w:val="28"/>
          <w:szCs w:val="32"/>
          <w:rtl/>
        </w:rPr>
        <w:t>خ</w:t>
      </w:r>
    </w:p>
    <w:p>
      <w:pPr>
        <w:spacing w:before="40" w:after="100" w:line="269" w:lineRule="auto"/>
        <w:bidi w:val="0"/>
        <w:jc w:val="left"/>
      </w:pPr>
      <w:r>
        <w:rPr>
          <w:rFonts w:ascii="Amiri" w:hAnsi="Amiri" w:cs="Amiri" w:eastAsia="Amiri"/>
          <w:b w:val="0"/>
          <w:i w:val="0"/>
          <w:color w:val="1F2937"/>
          <w:sz w:val="24"/>
          <w:szCs w:val="28"/>
        </w:rPr>
        <w:t xml:space="preserve">Tanduk 6 = </w:t>
      </w:r>
      <w:r>
        <w:rPr>
          <w:rFonts w:ascii="Amiri" w:hAnsi="Amiri" w:cs="Amiri" w:eastAsia="Amiri"/>
          <w:b w:val="0"/>
          <w:i w:val="0"/>
          <w:color w:val="1F2937"/>
          <w:sz w:val="28"/>
          <w:szCs w:val="32"/>
          <w:rtl/>
        </w:rPr>
        <w:t>ذ</w:t>
      </w:r>
    </w:p>
    <w:p>
      <w:pPr>
        <w:spacing w:before="40" w:after="100" w:line="269" w:lineRule="auto"/>
        <w:bidi w:val="0"/>
        <w:jc w:val="left"/>
      </w:pPr>
      <w:r>
        <w:rPr>
          <w:rFonts w:ascii="Amiri" w:hAnsi="Amiri" w:cs="Amiri" w:eastAsia="Amiri"/>
          <w:b w:val="0"/>
          <w:i w:val="0"/>
          <w:color w:val="1F2937"/>
          <w:sz w:val="24"/>
          <w:szCs w:val="28"/>
        </w:rPr>
        <w:t xml:space="preserve">Tanduk 7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 naskah tertulis 8 huruf untuk 7 tanduk, kemungkinan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dihitung 1 atau ada salah cetak - dicatat apa adanya)</w:t>
      </w:r>
    </w:p>
    <w:p>
      <w:pPr>
        <w:spacing w:before="40" w:after="100" w:line="269" w:lineRule="auto"/>
        <w:bidi w:val="0"/>
        <w:jc w:val="left"/>
      </w:pPr>
      <w:r>
        <w:rPr>
          <w:rFonts w:ascii="Amiri" w:hAnsi="Amiri" w:cs="Amiri" w:eastAsia="Amiri"/>
          <w:b w:val="0"/>
          <w:i/>
          <w:color w:val="1F2937"/>
          <w:sz w:val="24"/>
          <w:szCs w:val="28"/>
          <w:iCs/>
        </w:rPr>
        <w:t>6. Penutup naskah:</w:t>
      </w:r>
    </w:p>
    <w:p>
      <w:pPr>
        <w:spacing w:before="40" w:after="100" w:line="269" w:lineRule="auto"/>
        <w:bidi w:val="0"/>
        <w:jc w:val="left"/>
      </w:pP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inilah segel-segel itu, Khatam Sulaiman.</w:t>
      </w:r>
    </w:p>
    <w:p>
      <w:pPr>
        <w:spacing w:before="40" w:after="100" w:line="269" w:lineRule="auto"/>
        <w:bidi w:val="0"/>
        <w:jc w:val="left"/>
      </w:pPr>
      <w:r>
        <w:rPr>
          <w:rFonts w:ascii="Amiri" w:hAnsi="Amiri" w:cs="Amiri" w:eastAsia="Amiri"/>
          <w:b w:val="0"/>
          <w:i/>
          <w:color w:val="1F2937"/>
          <w:sz w:val="24"/>
          <w:szCs w:val="28"/>
          <w:iCs/>
        </w:rPr>
        <w:t>7. Tujuan tertulis:</w:t>
      </w:r>
    </w:p>
    <w:p>
      <w:pPr>
        <w:spacing w:before="40" w:after="100" w:line="269" w:lineRule="auto"/>
        <w:bidi w:val="0"/>
        <w:jc w:val="left"/>
      </w:pPr>
      <w:r>
        <w:rPr>
          <w:rFonts w:ascii="Amiri" w:hAnsi="Amiri" w:cs="Amiri" w:eastAsia="Amiri"/>
          <w:b w:val="0"/>
          <w:i w:val="0"/>
          <w:color w:val="1F2937"/>
          <w:sz w:val="28"/>
          <w:szCs w:val="32"/>
          <w:rtl/>
        </w:rPr>
        <w:t>عِلَاجِ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الصَّرْعِ</w:t>
      </w:r>
      <w:r>
        <w:rPr>
          <w:rFonts w:ascii="Amiri" w:hAnsi="Amiri" w:cs="Amiri" w:eastAsia="Amiri"/>
          <w:b w:val="0"/>
          <w:i w:val="0"/>
          <w:color w:val="1F2937"/>
          <w:sz w:val="24"/>
          <w:szCs w:val="28"/>
        </w:rPr>
        <w:t xml:space="preserve"> - pengobatan untuk orang yang kerasukan (rajul, imra'ah, shabi, shabiyah) - ini jenis pertama dari 43 jenis yang disebut penulis.</w:t>
      </w:r>
    </w:p>
    <w:p>
      <w:pPr>
        <w:spacing w:before="40" w:after="100" w:line="269" w:lineRule="auto"/>
        <w:bidi w:val="0"/>
        <w:jc w:val="left"/>
      </w:pPr>
      <w:r>
        <w:rPr>
          <w:rFonts w:ascii="Amiri" w:hAnsi="Amiri" w:cs="Amiri" w:eastAsia="Amiri"/>
          <w:b w:val="0"/>
          <w:i/>
          <w:color w:val="1F2937"/>
          <w:sz w:val="24"/>
          <w:szCs w:val="28"/>
          <w:iCs/>
        </w:rPr>
        <w:t>CATATAN PENERJEMAH:</w:t>
      </w:r>
    </w:p>
    <w:p>
      <w:pPr>
        <w:spacing w:before="40" w:after="100" w:line="269" w:lineRule="auto"/>
        <w:bidi w:val="0"/>
        <w:jc w:val="left"/>
      </w:pPr>
      <w:r>
        <w:rPr>
          <w:rFonts w:ascii="Amiri" w:hAnsi="Amiri" w:cs="Amiri" w:eastAsia="Amiri"/>
          <w:b w:val="0"/>
          <w:i w:val="0"/>
          <w:color w:val="1F2937"/>
          <w:sz w:val="24"/>
          <w:szCs w:val="28"/>
        </w:rPr>
        <w:t xml:space="preserve">Ini adalah kutipan isi naskah Hal 49 apa adanya. </w:t>
      </w:r>
      <w:r>
        <w:rPr>
          <w:rFonts w:ascii="Amiri" w:hAnsi="Amiri" w:cs="Amiri" w:eastAsia="Amiri"/>
          <w:b w:val="0"/>
          <w:i w:val="0"/>
          <w:color w:val="1F2937"/>
          <w:sz w:val="28"/>
          <w:szCs w:val="32"/>
          <w:rtl/>
        </w:rPr>
        <w:t>التَّوَابِعِ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xml:space="preserve"> dibiarkan tanpa diganti karena bacaan tidak pasti. Tulisan </w:t>
      </w:r>
      <w:r>
        <w:rPr>
          <w:rFonts w:ascii="Amiri" w:hAnsi="Amiri" w:cs="Amiri" w:eastAsia="Amiri"/>
          <w:b w:val="0"/>
          <w:i w:val="0"/>
          <w:color w:val="1F2937"/>
          <w:sz w:val="28"/>
          <w:szCs w:val="32"/>
          <w:rtl/>
        </w:rPr>
        <w:t>تَزَلْزَلَ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نُزُلًا</w:t>
      </w:r>
      <w:r>
        <w:rPr>
          <w:rFonts w:ascii="Amiri" w:hAnsi="Amiri" w:cs="Amiri" w:eastAsia="Amiri"/>
          <w:b w:val="0"/>
          <w:i w:val="0"/>
          <w:color w:val="1F2937"/>
          <w:sz w:val="24"/>
          <w:szCs w:val="28"/>
        </w:rPr>
        <w:t xml:space="preserve"> di naskah tidak dilancarkan. Rajah Khatam Sulaiman 7 tanduk memang ada di akhir halaman. Tidak dianjurkan dan tidak disahkan sebagai amalan medis, hanya dokumentasi isi kitab. Untuk kasus kerasukan/sakit, rujuk ke tenaga medis dan ulama.</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