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03 — IJAZAH — إِجَازَةُ الشَّيْخِ الْبَشِيرِ</w:t>
      </w:r>
    </w:p>
    <w:p>
      <w:pPr>
        <w:pStyle w:val="Heading2"/>
      </w:pPr>
      <w:r>
        <w:t>arab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إِجَازَةُ الشَّيْخِ الْبَشِيرِ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لَقَدْ أَجَزْتُ كُلَّ مَنْ وَصَلَتْ إِلَيْهِ فَوَائِدِي وَرِيَاضَاتِي إِجَازَةً عَامَّةً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فِيمَا يُرْضِي اللهَ وَرَسُولَهُ وَيَقُومُ بِهَا بَعْدَ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الصَّلَاةِ عَلَى الْحَبِيبِ الْمُصْطَفَى وَقِرَاءَةِ الْفَاتِحَةِ وَإِهْدَاءِ ثَوَابِهَا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لِرُوحِ الْحَبِيبِ مُحَمَّدٍ صَلَّى اللهُ عَلَيْهِ وَسَلَّمَ وَإِلَى رُوحِ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شَيْخِي رَحِمَهُ اللهُ عَلَيْهِ وَلِفَاتِحَةٍ لِي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وَإِلَى الشَّيْخِ الْفَقِيرِ الْقَادِرِيِّ أَطَالَ اللهُ لَنَا فِي عُمُرِهِ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وَبِذَلِكَ تَكُونُ قَدْ وَصَلَتْهُ الْإِجَازَةُ الْعَامَّةُ</w:t>
      </w:r>
    </w:p>
    <w:p>
      <w:pPr>
        <w:pStyle w:val="Heading2"/>
      </w:pPr>
      <w:r>
        <w:t>latin</w:t>
      </w:r>
    </w:p>
    <w:p>
      <w:r>
        <w:rPr>
          <w:i/>
          <w:color w:val="1A237E"/>
          <w:sz w:val="18"/>
        </w:rPr>
        <w:t>Ijāzatu asy-Syaykhi al-Basyīri</w:t>
      </w:r>
    </w:p>
    <w:p>
      <w:r>
        <w:rPr>
          <w:i/>
          <w:color w:val="1A237E"/>
          <w:sz w:val="18"/>
        </w:rPr>
        <w:t>Laqad ajaztu kulla man washalat ilaihi fawā'idī wa-riyādhātī ijāzatan ʿāmmatan</w:t>
      </w:r>
    </w:p>
    <w:p>
      <w:r>
        <w:rPr>
          <w:i/>
          <w:color w:val="1A237E"/>
          <w:sz w:val="18"/>
        </w:rPr>
        <w:t>Fīmā yurdhillāha wa-rasūlahu wa yaqūmu bihā baʿda</w:t>
      </w:r>
    </w:p>
    <w:p>
      <w:r>
        <w:rPr>
          <w:i/>
          <w:color w:val="1A237E"/>
          <w:sz w:val="18"/>
        </w:rPr>
        <w:t>ash-Shalāti ʿalā al-Ḥabībi al-Mushthafā wa-qirā'ati al-Fātiḥati wa-ihdā'i tsawābihā</w:t>
      </w:r>
    </w:p>
    <w:p>
      <w:r>
        <w:rPr>
          <w:i/>
          <w:color w:val="1A237E"/>
          <w:sz w:val="18"/>
        </w:rPr>
        <w:t>li-rūḥi al-Ḥabībi Muḥammadin shallallāhu ʿalaihi wa-sallama wa ilā rūḥi</w:t>
      </w:r>
    </w:p>
    <w:p>
      <w:r>
        <w:rPr>
          <w:i/>
          <w:color w:val="1A237E"/>
          <w:sz w:val="18"/>
        </w:rPr>
        <w:t>syaykhī raḥimahullāhu ʿalaihi wa li-Fātiḥatin lī</w:t>
      </w:r>
    </w:p>
    <w:p>
      <w:r>
        <w:rPr>
          <w:i/>
          <w:color w:val="1A237E"/>
          <w:sz w:val="18"/>
        </w:rPr>
        <w:t>wa-ilā asy-Syaykhi al-Faqīri al-Qādiriyyi athāla Allāhu lanā fī ʿumrihi</w:t>
      </w:r>
    </w:p>
    <w:p>
      <w:r>
        <w:rPr>
          <w:i/>
          <w:color w:val="1A237E"/>
          <w:sz w:val="18"/>
        </w:rPr>
        <w:t>wa-bi-dzālika takūnu qad washalat-hu al-Ijāzatu al-ʿĀmmatu</w:t>
      </w:r>
    </w:p>
    <w:p>
      <w:pPr>
        <w:pStyle w:val="Heading2"/>
      </w:pPr>
      <w:r>
        <w:t>Terjemahan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Ijazah Syeikh Al-Basyir.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Sungguh aku telah memberi ijazah umum kepada setiap orang yang sampai kepadanya faedah-faedah dan riyadhah-riyadhahku dengan ijazah umum.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Untuk hal yang diridhai Allah dan Rasul-Nya dan ia mengamalkannya setelahnya: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Membaca shalawat kepada Al-Habib Al-Musthafa dan membaca Al-Fatihah serta menghadiahkan pahalanya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Kepada ruh Al-Habib Muhammad shallallahu 'alaihi wa sallam dan kepada ruh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Guruku semoga rahmat Allah atasnya dan Al-Fatihah untukku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Dan kepada Syeikh Al-Faqir Al-Qadiri semoga Allah panjangkan umurnya untuk kami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Dan dengan itu maka sungguh telah sampai kepadanya ijazah umum tersebut.</w:t>
      </w:r>
    </w:p>
    <w:p>
      <w:pPr>
        <w:pStyle w:val="Heading2"/>
      </w:pPr>
      <w:r>
        <w:t>Syarah dan Penjelasan</w:t>
      </w:r>
    </w:p>
    <w:p>
      <w:r>
        <w:rPr>
          <w:sz w:val="17"/>
        </w:rPr>
        <w:t>Ijazah umum: sanad terbuka dari Syeikh Basyir untuk siapa saja yang menerima kitab ini dengan syarat tawasul (shalawat, Fatihah untuk Nabi, guru, diri, dan Syeikh Al-Faqir Al-Qadiri). Syarat 'apa yang diridhai Allah dan Rasul-Nya' menjadi batas agar tidak disalahgunakan. Urutan hadiah pahala menunjukkan tawadhu dan silsilah Qadiriyah.</w:t>
      </w:r>
    </w:p>
    <w:p>
      <w:pPr>
        <w:pStyle w:val="Heading2"/>
      </w:pPr>
      <w:r>
        <w:t>Khususiyah dan Tatacara Praktik</w:t>
      </w:r>
    </w:p>
    <w:p>
      <w:r>
        <w:rPr>
          <w:sz w:val="17"/>
        </w:rPr>
        <w:t>Tatacara menerima ijazah: baca shalawat 1×, Al-Fatihah 1× dengan niat menghadiahkan pahalanya sesuai urutan di atas (Nabi → guru → diri → Syeikh Faqir), lalu yakin ijazah telah sampai. Tidak perlu ijazah tatap muka. Gunakan hanya untuk hal yang diridhai Allah.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  <w:r>
      <w:rPr>
        <w:color w:val="757575"/>
        <w:sz w:val="12"/>
      </w:rPr>
      <w:t xml:space="preserve"> — REVISI_HAL03_IJAZAH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6D4C41"/>
        <w:sz w:val="13"/>
      </w:rPr>
      <w:t>Anwār ash-Shaykh al-Bashīr — HALAMAN 03 — IJAZAH — إِجَازَةُ الشَّيْخِ الْبَشِيرِ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4E342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HALAMAN 03 — IJAZAH — إِجَازَةُ الشَّيْخِ الْبَشِيرِ</dc:title>
  <dc:subject/>
  <dc:creator>arena/7021a54a-kitab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