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Reflection on Drs. Daniel and Kaylyn Schiff's Lecture on AI Governance</w:t>
      </w:r>
    </w:p>
    <w:p>
      <w:pPr>
        <w:spacing w:line="276" w:lineRule="auto" w:before="0" w:after="0"/>
      </w:pPr>
      <w:r>
        <w:rPr>
          <w:rFonts w:ascii="Times New Roman" w:hAnsi="Times New Roman"/>
          <w:b/>
          <w:sz w:val="24"/>
        </w:rPr>
        <w:t>Implications for Education</w:t>
      </w:r>
    </w:p>
    <w:p>
      <w:pPr>
        <w:spacing w:line="276" w:lineRule="auto" w:before="0" w:after="0"/>
        <w:ind w:firstLine="720"/>
      </w:pPr>
      <w:r>
        <w:rPr>
          <w:rFonts w:ascii="Times New Roman" w:hAnsi="Times New Roman"/>
          <w:sz w:val="24"/>
        </w:rPr>
        <w:t>The result I keep thinking about is the one that failed. Kaylyn Schiff said they showed half of their respondents a video explaining what AI auditing involves, expecting that a low information space would shift once people knew more. The videos, in English and German, changed almost nothing. She read that as a counter to policymakers who claim the public is not informed enough to join decisions about AI governance. I think it cuts at educators too. We assume that teaching people about a technology changes what they want from it. Here it did not.</w:t>
      </w:r>
    </w:p>
    <w:p>
      <w:pPr>
        <w:spacing w:line="276" w:lineRule="auto" w:before="0" w:after="0"/>
        <w:ind w:firstLine="720"/>
      </w:pPr>
      <w:r>
        <w:rPr>
          <w:rFonts w:ascii="Times New Roman" w:hAnsi="Times New Roman"/>
          <w:sz w:val="24"/>
        </w:rPr>
        <w:t>So what is education for here? Not forming public preferences, I think, but training the people who act on them. Daniel Schiff mentioned in passing that they have been building AI auditing courses, and that is the piece my program is missing. I am taught to build and evaluate models. Policy courses teach regulation. Almost nothing teaches the middle: how you would design an audit, what evidence it should gather, who should be allowed to perform it. The six audit attributes they tested are choices somebody has to make, and they said no set standard exists yet.</w:t>
      </w:r>
    </w:p>
    <w:p>
      <w:pPr>
        <w:spacing w:line="276" w:lineRule="auto" w:before="0" w:after="0"/>
        <w:ind w:firstLine="720"/>
      </w:pPr>
      <w:r>
        <w:rPr>
          <w:rFonts w:ascii="Times New Roman" w:hAnsi="Times New Roman"/>
          <w:sz w:val="24"/>
        </w:rPr>
        <w:t>I am not comfortable with the generous reading of that null result. One of them described students worrying about their jobs and their majors and about AI use in educational settings, and said there is more precarity now. Stable survey preferences and anxious students are not the same public. Maybe the videos moved nobody because people had settled into positions they would not revisit, which is less flattering than principled consistency.</w:t>
      </w:r>
    </w:p>
    <w:p>
      <w:pPr>
        <w:spacing w:line="276" w:lineRule="auto" w:before="0" w:after="0"/>
      </w:pPr>
      <w:r>
        <w:rPr>
          <w:rFonts w:ascii="Times New Roman" w:hAnsi="Times New Roman"/>
          <w:b/>
          <w:sz w:val="24"/>
        </w:rPr>
        <w:t>Implications for Work, Business, and the Economy</w:t>
      </w:r>
    </w:p>
    <w:p>
      <w:pPr>
        <w:spacing w:line="276" w:lineRule="auto" w:before="0" w:after="0"/>
        <w:ind w:firstLine="720"/>
      </w:pPr>
      <w:r>
        <w:rPr>
          <w:rFonts w:ascii="Times New Roman" w:hAnsi="Times New Roman"/>
          <w:sz w:val="24"/>
        </w:rPr>
        <w:t>The headline was good news, and mostly it is. Across 3,002 adults in the United States and Germany, all three commitments they tested, public principles, an internal responsible AI team, and an independent audit, raised trust, perceived ethicality, safety, and willingness to use a company's products. Daniel Schiff put the largest effects near half a standard deviation, larger than they expected. What should worry anyone spending money is which signal earned the return. Teams and audits did not outperform a public statement of principles, and their own slide calls this the caveat that cheap signaling might still work. If I am the analyst arguing for a governance budget, that says the market pays for the press release, not the expensive work behind it. Support for regulation also barely moved, so self governing your way out of oversight does not pay either.</w:t>
      </w:r>
    </w:p>
    <w:p>
      <w:pPr>
        <w:spacing w:line="276" w:lineRule="auto" w:before="0" w:after="0"/>
        <w:ind w:firstLine="720"/>
      </w:pPr>
      <w:r>
        <w:rPr>
          <w:rFonts w:ascii="Times New Roman" w:hAnsi="Times New Roman"/>
          <w:sz w:val="24"/>
        </w:rPr>
        <w:t>Their interviews show where the money comes from. Among 34 auditors and governance leads across seven countries, regulatory motives and risks came out on top at 104, reputational at 69, other risks at 38, and financial motives at only 22. Governance spending follows regulation. So when one of them described Anthropic rolling out text watermarks only in the European Union to satisfy the transparency code of practice, with an opt in elsewhere, it read less like an edge case than a pattern. They used the phrase strategic adjustment for that kind of move. Compliance is a map, and firms draw it as narrowly as definitions allow.</w:t>
      </w:r>
    </w:p>
    <w:p>
      <w:pPr>
        <w:spacing w:line="276" w:lineRule="auto" w:before="0" w:after="0"/>
        <w:ind w:firstLine="720"/>
      </w:pPr>
      <w:r>
        <w:rPr>
          <w:rFonts w:ascii="Times New Roman" w:hAnsi="Times New Roman"/>
          <w:sz w:val="24"/>
        </w:rPr>
        <w:t>Ethics did move money once. After Anthropic rejected the Pentagon's terms on February 27, 2026, Claude visits rose about 30 percent on desktop and 38 percent on mobile in their conservative estimate, with other specifications as high as 109 and 149 percent, while ChatGPT use stayed largely unchanged. But frontier firms are not ordinary companies, and they called that evidence suggestive, not definitive.</w:t>
      </w:r>
    </w:p>
    <w:p>
      <w:pPr>
        <w:spacing w:line="276" w:lineRule="auto" w:before="0" w:after="0"/>
      </w:pPr>
      <w:r>
        <w:rPr>
          <w:rFonts w:ascii="Times New Roman" w:hAnsi="Times New Roman"/>
          <w:b/>
          <w:sz w:val="24"/>
        </w:rPr>
        <w:t>Implications for Me, Other People, and Society</w:t>
      </w:r>
    </w:p>
    <w:p>
      <w:pPr>
        <w:spacing w:line="276" w:lineRule="auto" w:before="0" w:after="0"/>
        <w:ind w:firstLine="720"/>
      </w:pPr>
      <w:r>
        <w:rPr>
          <w:rFonts w:ascii="Times New Roman" w:hAnsi="Times New Roman"/>
          <w:sz w:val="24"/>
        </w:rPr>
        <w:t>Two findings sit oddly together. The public rewarded commitments as much in manufacturing and ecommerce as in finance and health care, so it did not track the risk distinction regulators built their structure around. Yet when the audits experiment varied the use case, concern ran highest for layoffs and lowest for spam filtering. People do have a line. It is not sector. It is whether the system is pointed at someone's livelihood. That makes me doubt consumer pressure as a governance mechanism. Markets respond to what people can see, and most AI harms are not visible. Their numbers say it plainly: a recent scandal cost a company roughly 25 points, while putting a government agency in charge of the audit gained roughly 9 over a self audit. Getting caught is punished far more than doing the work is rewarded, which a rational firm reads as a reputation problem, not an engineering one.</w:t>
      </w:r>
    </w:p>
    <w:p>
      <w:pPr>
        <w:spacing w:line="276" w:lineRule="auto" w:before="0" w:after="0"/>
        <w:ind w:firstLine="720"/>
      </w:pPr>
      <w:r>
        <w:rPr>
          <w:rFonts w:ascii="Times New Roman" w:hAnsi="Times New Roman"/>
          <w:sz w:val="24"/>
        </w:rPr>
        <w:t>And the auditor the public most wants is the one least likely to show up. External auditors beat company self audits, with government agencies ranked highest. But when an audience member asked whether AI governance would ever get serious enough for a global pact, one of the presenters said they were cautiously pessimistic about strong international governance, comparing it to climate change, where committees and voluntary agreements pile up while emissions keep rising. The research describes a public demand with no reliable supplier, and consumers cannot close that gap.</w:t>
      </w:r>
    </w:p>
    <w:p>
      <w:pPr>
        <w:spacing w:line="276" w:lineRule="auto" w:before="0" w:after="0"/>
      </w:pPr>
      <w:r>
        <w:rPr>
          <w:rFonts w:ascii="Times New Roman" w:hAnsi="Times New Roman"/>
          <w:b/>
          <w:sz w:val="24"/>
        </w:rPr>
        <w:t>Personal Takeaways and Highlights</w:t>
      </w:r>
    </w:p>
    <w:p>
      <w:pPr>
        <w:spacing w:line="276" w:lineRule="auto" w:before="0" w:after="0"/>
        <w:ind w:firstLine="720"/>
      </w:pPr>
      <w:r>
        <w:rPr>
          <w:rFonts w:ascii="Times New Roman" w:hAnsi="Times New Roman"/>
          <w:sz w:val="24"/>
        </w:rPr>
        <w:t>I came expecting a policy talk and left thinking about my own work history. The use case the public worried about most, AI used for workforce layoffs, is where I have worked. I was in human resources at Nestle and then in talent analytics at Cloudflare, so the data and models I have been near were pointed at people: who gets hired, who gets considered, how a workforce gets described to those deciding its future. I knew that was sensitive. I had not seen it at the top of a ranked list of public concern.</w:t>
      </w:r>
    </w:p>
    <w:p>
      <w:pPr>
        <w:spacing w:line="276" w:lineRule="auto" w:before="0" w:after="0"/>
        <w:ind w:firstLine="720"/>
      </w:pPr>
      <w:r>
        <w:rPr>
          <w:rFonts w:ascii="Times New Roman" w:hAnsi="Times New Roman"/>
          <w:sz w:val="24"/>
        </w:rPr>
        <w:t>A slide near the back of their deck, one they never reached, sharpened that. Public sector human resources managers placed more weight on transparency, privacy, and human oversight, while managers in both sectors still cared about cost, integration, bias, and consent. That second list is the conversation I remember from talent work, where constraints are concrete and tradeoffs happen fast.</w:t>
      </w:r>
    </w:p>
    <w:p>
      <w:pPr>
        <w:spacing w:line="276" w:lineRule="auto" w:before="0" w:after="0"/>
        <w:ind w:firstLine="720"/>
      </w:pPr>
      <w:r>
        <w:rPr>
          <w:rFonts w:ascii="Times New Roman" w:hAnsi="Times New Roman"/>
          <w:sz w:val="24"/>
        </w:rPr>
        <w:t>The highlight was Daniel Schiff describing the time he spent working on responsible AI at JPMorgan, where much of the work was case making: talking to teams, building momentum, sometimes starting from a data scientist worried about algorithmic bias. That is my likely position. Not the person writing regulation, not the executive announcing principles, but the analyst who notices something and decides whether to raise it. I used to think governance happened to a model after it was built. This moved it into the building, and left me one question. The first experiment measured willingness to use rather than actual use. Commitments changed what people said; one sharp event changed what they did. Since I will be building the thing being judged, I want to know which is the real signal.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