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ind w:firstLine="720"/>
      </w:pPr>
      <w:r>
        <w:t>When Dr. Sivasankar described his career path, going from speech pathology to physiology to eventually leading a quarter billion dollar pharmaceutical partnership, it challenged a belief I did not realize I held: that your degree determines your trajectory. His argument was that adaptability matters more than specialization, and Purdue's research infrastructure seems designed around that principle. The centers at Discovery Park District do not exist in isolation. They are structured so that a nanotechnology lab can collaborate with a neuroscience team, or a semiconductor group can share resources with a quantum computing initiative. That deliberate blurring of boundaries reflects a broader shift in how education needs to work. Staying inside one discipline is no longer enough.</w:t>
      </w:r>
    </w:p>
    <w:p>
      <w:pPr>
        <w:ind w:firstLine="720"/>
      </w:pPr>
      <w:r>
        <w:t>For those of us in the business school, the implication is surprisingly direct. Faculty across campus are actively seeking collaborators who understand commercialization, pricing, and market entry. Dr. Lionel mentioned that researchers in the I Corps program regularly ask how to connect with business students. That tells me our curriculum is not running parallel to the research happening elsewhere on campus. It is a complement to it, and the sooner we recognize that, the more we can get out of our time here.</w:t>
      </w:r>
    </w:p>
    <w:p>
      <w:r>
        <w:rPr>
          <w:rFonts w:ascii="Times New Roman" w:hAnsi="Times New Roman"/>
          <w:b/>
          <w:sz w:val="24"/>
        </w:rPr>
        <w:t>Implications for Work, Business, and the Economy</w:t>
      </w:r>
    </w:p>
    <w:p>
      <w:pPr>
        <w:ind w:firstLine="720"/>
      </w:pPr>
      <w:r>
        <w:t>The financial data in this lecture told a clear story about momentum. Purdue received roughly $106 million from industry partners in fiscal year 2026, up from about $64 million just twelve months earlier. That kind of jump does not happen gradually. It reflects a structural change in how corporations approach research. Instead of funding everything internally, major companies are turning to universities, and Purdue has built the agreements and infrastructure to absorb that demand. The Lilly partnership, worth $250 million and covering everything from molecular discovery through patient delivery logistics, is the most visible example, but it sits alongside agreements with dozens of other firms across defense, agriculture, energy, and technology.</w:t>
      </w:r>
    </w:p>
    <w:p>
      <w:pPr>
        <w:ind w:firstLine="720"/>
      </w:pPr>
      <w:r>
        <w:t>What this means for careers is worth thinking about carefully. The traditional path of graduating, joining a company, and working your way into an innovation role may not be the only option anymore. Dr. Lionel pointed out that students often have an advantage when it comes to launching ventures because they tend to build things that are straightforward, scalable, and attractive to investors. Purdue has created competitions and accelerator programs specifically to support that. The economy seems to be rewarding people who can sit at the intersection of technical knowledge and business instinct, and that is exactly where an MBA is supposed to put you.</w:t>
      </w:r>
    </w:p>
    <w:p>
      <w:r>
        <w:rPr>
          <w:rFonts w:ascii="Times New Roman" w:hAnsi="Times New Roman"/>
          <w:b/>
          <w:sz w:val="24"/>
        </w:rPr>
        <w:t>Implications for You, Other People, and Society</w:t>
      </w:r>
    </w:p>
    <w:p>
      <w:pPr>
        <w:ind w:firstLine="720"/>
      </w:pPr>
      <w:r>
        <w:t>There was a moment during the lecture when Dr. Sivasankar said something that caught me off guard. He mentioned that public confidence in science and in universities has fallen to its lowest recorded level. Sitting in a lecture hall at a research university, that felt personal. His response to it was not defensive. He framed it as a communication problem that belongs to all of us. If researchers and students cannot explain why their work matters in terms ordinary people understand, then it does not matter how good the work is. That responsibility does not just fall on marketing departments. It falls on anyone who benefits from the institution.</w:t>
      </w:r>
    </w:p>
    <w:p>
      <w:pPr>
        <w:ind w:firstLine="720"/>
      </w:pPr>
      <w:r>
        <w:t>The One Health initiative also left an impression on me. The idea of connecting human health, animal health, agriculture, and environmental science under a single framework is not just an academic exercise. It reflects how problems actually exist in the real world, where a food safety issue is simultaneously an agricultural problem, a public health concern, and an economic disruption. Purdue is planning an innovation district in Indianapolis built around this concept, which suggests they see it as something with real commercial and policy potential, not just a research theme.</w:t>
      </w:r>
    </w:p>
    <w:p>
      <w:r>
        <w:rPr>
          <w:rFonts w:ascii="Times New Roman" w:hAnsi="Times New Roman"/>
          <w:b/>
          <w:sz w:val="24"/>
        </w:rPr>
        <w:t>Personal Takeaways and Highlights</w:t>
      </w:r>
    </w:p>
    <w:p>
      <w:pPr>
        <w:spacing w:line="480" w:lineRule="auto"/>
        <w:ind w:firstLine="720"/>
      </w:pPr>
      <w:r>
        <w:rPr>
          <w:rFonts w:ascii="Times New Roman" w:hAnsi="Times New Roman"/>
          <w:sz w:val="24"/>
        </w:rPr>
        <w:t>The highlight of this session for me was not any single data point or initiative. It was a shift in perspective. Before walking in, I thought of Purdue's research world and the business school as two separate tracks running side by side. This lecture made it clear that they are designed to intersect, and that researchers are not just open to working with business students but are actively asking for it. Dr. Lionel's comment about I Corps participants wanting business school involvement was not a polite invitation. It sounded like a genuine gap they are trying to fill.</w:t>
      </w:r>
    </w:p>
    <w:p>
      <w:pPr>
        <w:spacing w:line="480" w:lineRule="auto"/>
        <w:ind w:firstLine="720"/>
      </w:pPr>
      <w:r>
        <w:rPr>
          <w:rFonts w:ascii="Times New Roman" w:hAnsi="Times New Roman"/>
          <w:sz w:val="24"/>
        </w:rPr>
        <w:t>I was also struck by the story of the visitors from Ghana who chose Purdue specifically because of its reputation for patents. That small detail said more about the university's global standing than any slide could. It made me realize that the commercialization pipeline here, from lab work to intellectual property to market entry, is something people travel across the world to learn from. As someone still figuring out where my MBA fits into the larger picture, that was grounding. The opportunity is not abstract or distant. It is happening in buildings I walk past every day, and this lecture convinced me that engaging with it is not optional if I want to get the full value of being here.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