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4"/>
        </w:rPr>
        <w:t>Implications for Education</w:t>
      </w:r>
    </w:p>
    <w:p>
      <w:pPr>
        <w:ind w:firstLine="720"/>
      </w:pPr>
      <w:r>
        <w:t>When Dr. Sivasankar described his career path, going from speech pathology to physiology to eventually leading a quarter billion dollar pharmaceutical partnership, it challenged a belief I did not realize I held: that your degree determines your trajectory. His argument was that adaptability matters more than specialization, and Purdue's research infrastructure seems designed around that principle. The centers at Discovery Park District do not exist in isolation. They are structured so that a nanotechnology lab can collaborate with a neuroscience team, or a semiconductor group can share resources with a quantum computing initiative. That deliberate blurring of boundaries reflects a broader shift in how education needs to work. Staying inside one discipline is no longer enough.</w:t>
      </w:r>
    </w:p>
    <w:p>
      <w:pPr>
        <w:ind w:firstLine="720"/>
      </w:pPr>
      <w:r>
        <w:t>For those of us in the business school, the implication is surprisingly direct. Faculty across campus are actively seeking collaborators who understand commercialization, pricing, and market entry. Dr. Lionel mentioned that researchers in the I Corps program regularly ask how to connect with business students. That tells me our curriculum is not running parallel to the research happening elsewhere on campus. It is a complement to it, and the sooner we recognize that, the more we can get out of our time here.</w:t>
      </w:r>
    </w:p>
    <w:p>
      <w:r>
        <w:rPr>
          <w:rFonts w:ascii="Times New Roman" w:hAnsi="Times New Roman"/>
          <w:b/>
          <w:sz w:val="24"/>
        </w:rPr>
        <w:t>Implications for Work, Business, and the Economy</w:t>
      </w:r>
    </w:p>
    <w:p>
      <w:pPr>
        <w:ind w:firstLine="720"/>
      </w:pPr>
      <w:r>
        <w:t>The financial data in this lecture told a clear story about momentum. Purdue received roughly $106 million from industry partners in fiscal year 2026, up from about $64 million just twelve months earlier. That kind of jump does not happen gradually. It reflects a structural change in how corporations approach research. Instead of funding everything internally, major companies are turning to universities, and Purdue has built the agreements and infrastructure to absorb that demand. The Lilly partnership, worth $250 million and covering everything from molecular discovery through patient delivery logistics, is the most visible example, but it sits alongside agreements with dozens of other firms across defense, agriculture, energy, and technology.</w:t>
      </w:r>
    </w:p>
    <w:p>
      <w:pPr>
        <w:ind w:firstLine="720"/>
      </w:pPr>
      <w:r>
        <w:t>What this means for careers is worth thinking about carefully. The traditional path of graduating, joining a company, and working your way into an innovation role may not be the only option anymore. Dr. Lionel pointed out that students often have an advantage when it comes to launching ventures because they tend to build things that are straightforward, scalable, and attractive to investors. Purdue has created competitions and accelerator programs specifically to support that. The economy seems to be rewarding people who can sit at the intersection of technical knowledge and business instinct, and that is exactly where an MBA is supposed to put you.</w:t>
      </w:r>
    </w:p>
    <w:p>
      <w:r>
        <w:rPr>
          <w:rFonts w:ascii="Times New Roman" w:hAnsi="Times New Roman"/>
          <w:b/>
          <w:sz w:val="24"/>
        </w:rPr>
        <w:t>Implications for You, Other People, and Society</w:t>
      </w:r>
    </w:p>
    <w:p>
      <w:pPr>
        <w:ind w:firstLine="720"/>
      </w:pPr>
      <w:r>
        <w:t>There was a moment during the lecture when Dr. Sivasankar said something that caught me off guard. He mentioned that public confidence in science and in universities has fallen to its lowest recorded level. Sitting in a lecture hall at a research university, that felt personal. His response to it was not defensive. He framed it as a communication problem that belongs to all of us. If researchers and students cannot explain why their work matters in terms ordinary people understand, then it does not matter how good the work is. That responsibility does not just fall on marketing departments. It falls on anyone who benefits from the institution.</w:t>
      </w:r>
    </w:p>
    <w:p>
      <w:pPr>
        <w:ind w:firstLine="720"/>
      </w:pPr>
      <w:r>
        <w:t>The One Health initiative also left an impression on me. The idea of connecting human health, animal health, agriculture, and environmental science under a single framework is not just an academic exercise. It reflects how problems actually exist in the real world, where a food safety issue is simultaneously an agricultural problem, a public health concern, and an economic disruption. Purdue is planning an innovation district in Indianapolis built around this concept, which suggests they see it as something with real commercial and policy potential, not just a research theme.</w:t>
      </w:r>
    </w:p>
    <w:p>
      <w:r>
        <w:rPr>
          <w:rFonts w:ascii="Times New Roman" w:hAnsi="Times New Roman"/>
          <w:b/>
          <w:sz w:val="24"/>
        </w:rPr>
        <w:t>Personal Takeaways and Highlights</w:t>
      </w:r>
    </w:p>
    <w:p>
      <w:pPr>
        <w:ind w:firstLine="720"/>
      </w:pPr>
      <w:r>
        <w:t>Before this lecture, the research side of Purdue felt like a separate world. After it, that wall came down a little. The thing I keep coming back to is how Dr. Sivasankar described what he called Pasteur's Quadrant: research that pushes scientific understanding forward while simultaneously keeping one eye on real world application. That resonated with me because it describes the kind of work I find most interesting. Not pure theory, and not purely chasing a product, but the space where genuine discovery meets genuine usefulness.</w:t>
      </w:r>
    </w:p>
    <w:p>
      <w:pPr>
        <w:ind w:firstLine="720"/>
      </w:pPr>
      <w:r>
        <w:t>I plan to follow up on two things this semester. First, I want to explore the Firestarter program through Purdue Innovates to see if there is a research team that could use help on the business side of commercialization. Second, I want to take Dr. Sivasankar up on his offer to make warm introductions to faculty. He was explicit that researchers welcome students from outside their department, and that reaching out is not presumptuous but expected. That was probably the most practical piece of advice from the entire session, and I do not want to let it sit.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