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40"/>
      </w:pPr>
    </w:p>
    <w:p>
      <w:pPr>
        <w:spacing w:after="240"/>
        <w:jc w:val="center"/>
      </w:pPr>
      <w:r>
        <w:rPr>
          <w:rFonts w:ascii="Arial" w:hAnsi="Arial"/>
          <w:b/>
          <w:color w:val="1A73E8"/>
          <w:sz w:val="48"/>
        </w:rPr>
        <w:t>RAG-BASED QUESTION-ANSWERING SYSTEM DEVELOPMENT</w:t>
      </w:r>
    </w:p>
    <w:p>
      <w:pPr>
        <w:spacing w:after="2880"/>
        <w:jc w:val="center"/>
      </w:pPr>
      <w:r>
        <w:rPr>
          <w:rFonts w:ascii="Arial" w:hAnsi="Arial"/>
          <w:color w:val="666666"/>
          <w:sz w:val="28"/>
        </w:rPr>
        <w:t>An Experimental Evaluation of Chunking, Retrieval, Model Selection, and Context-Reordering in the Clinical Domain</w:t>
      </w:r>
    </w:p>
    <w:p>
      <w:pPr>
        <w:jc w:val="center"/>
      </w:pPr>
      <w:r>
        <w:rPr>
          <w:rFonts w:ascii="Arial" w:hAnsi="Arial"/>
          <w:color w:val="333333"/>
          <w:sz w:val="22"/>
        </w:rPr>
        <w:t>Institution: Institute of Business Administration (IBA)</w:t>
        <w:br/>
        <w:t>Course: Introduction to Text Analytics (Assignment 04)</w:t>
        <w:br/>
        <w:t>Author: Fatima Naeem</w:t>
        <w:br/>
        <w:t>Email: fatimanaeemjamil@gmail.com</w:t>
        <w:br/>
        <w:t>Date: June 4, 2026</w:t>
        <w:br/>
      </w:r>
    </w:p>
    <w:p>
      <w:r>
        <w:br w:type="page"/>
      </w:r>
    </w:p>
    <w:p>
      <w:pPr>
        <w:spacing w:before="240" w:after="120"/>
      </w:pPr>
      <w:r>
        <w:rPr>
          <w:b/>
          <w:color w:val="1A73E8"/>
          <w:sz w:val="32"/>
        </w:rPr>
        <w:t>1. PLATFORM DETAILS</w:t>
      </w:r>
    </w:p>
    <w:p>
      <w:r>
        <w:t>For extensive experimentation and reproducibility, a single evaluation environment was maintained. The hardware, operating system, and Python virtual environment specifications are detailed below:</w:t>
      </w:r>
    </w:p>
    <w:p>
      <w:r>
        <w:rPr>
          <w:b/>
        </w:rPr>
        <w:t xml:space="preserve">• CPU Hardware: </w:t>
      </w:r>
      <w:r>
        <w:t>Intel(R) Core(TM) i5-8350U CPU @ 1.70GHz (4 physical cores, 8 logical processors).</w:t>
        <w:br/>
      </w:r>
      <w:r>
        <w:rPr>
          <w:b/>
        </w:rPr>
        <w:t xml:space="preserve">• System Memory: </w:t>
      </w:r>
      <w:r>
        <w:t>16 GB DDR4 RAM.</w:t>
        <w:br/>
      </w:r>
      <w:r>
        <w:rPr>
          <w:b/>
        </w:rPr>
        <w:t xml:space="preserve">• Operating System: </w:t>
      </w:r>
      <w:r>
        <w:t>Microsoft Windows 10/11 Professional (64-bit).</w:t>
        <w:br/>
      </w:r>
      <w:r>
        <w:rPr>
          <w:b/>
        </w:rPr>
        <w:t xml:space="preserve">• Python Runtime Environment: </w:t>
      </w:r>
      <w:r>
        <w:t>Python 3.14.3 (MSC v.1944 64-bit AMD64).</w:t>
        <w:br/>
      </w:r>
      <w:r>
        <w:rPr>
          <w:b/>
        </w:rPr>
        <w:t xml:space="preserve">• Execution Isolation: </w:t>
      </w:r>
      <w:r>
        <w:t>A clean python virtual environment (venv) was initialized, running standard packages including: PyTorch (CPU version), HuggingFace Transformers, rank_bm25, and Streamlit.</w:t>
        <w:br/>
      </w:r>
    </w:p>
    <w:p>
      <w:pPr>
        <w:spacing w:before="360" w:after="120"/>
      </w:pPr>
      <w:r>
        <w:rPr>
          <w:b/>
          <w:color w:val="1A73E8"/>
          <w:sz w:val="32"/>
        </w:rPr>
        <w:t>2. DATA DETAILS</w:t>
      </w:r>
    </w:p>
    <w:p>
      <w:r>
        <w:t>The domain corpus chosen for this assignment is the Clinical Guidelines for Cardiovascular Disease and Hypertension. This domain represents a highly dense, terminology-rich corpus where precise question-answering is required. A single hallucination in dosage or instruction represents severe clinical risk, making it an excellent benchmark for RAG faithfulness. The corpus consists of three key components stored in flat text format:</w:t>
      </w:r>
    </w:p>
    <w:p>
      <w:r>
        <w:rPr>
          <w:b/>
        </w:rPr>
        <w:t xml:space="preserve">1. Diagnosis Guidelines (cardiovascular_guidelines_diagnosis.txt): </w:t>
      </w:r>
      <w:r>
        <w:t>Focuses on measurement protocols, blood pressure categorization, 10-year ASCVD risk equations, and secondary hypertension screening criteria. Size: ~3.2 KB, Word Count: ~510 words.</w:t>
        <w:br/>
      </w:r>
      <w:r>
        <w:rPr>
          <w:b/>
        </w:rPr>
        <w:t xml:space="preserve">2. Pharmacological Guidelines (cardiovascular_guidelines_pharmacology.txt): </w:t>
      </w:r>
      <w:r>
        <w:t>Covers first-line drug classes (Thiazide diuretics, ACE inhibitors, ARBs, CCBs) including mechanisms of action, specific comorbidities, and combination therapies. Size: ~4.1 KB, Word Count: ~620 words.</w:t>
        <w:br/>
      </w:r>
      <w:r>
        <w:rPr>
          <w:b/>
        </w:rPr>
        <w:t xml:space="preserve">3. Lifestyle Modifications (cardiovascular_guidelines_lifestyle.txt): </w:t>
      </w:r>
      <w:r>
        <w:t>Outlines non-pharmacological interventions such as the DASH diet, sodium restrictions, physical activity recommendations, and weight loss dynamics. Size: ~3.8 KB, Word Count: ~600 words.</w:t>
        <w:br/>
      </w:r>
    </w:p>
    <w:p>
      <w:r>
        <w:t>Total Corpus Volume: 3 documents, ~1,730 words, ~11.1 KB of high-density clinical reference guidelines.</w:t>
      </w:r>
    </w:p>
    <w:p>
      <w:pPr>
        <w:spacing w:before="360" w:after="120"/>
      </w:pPr>
      <w:r>
        <w:rPr>
          <w:b/>
          <w:color w:val="1A73E8"/>
          <w:sz w:val="32"/>
        </w:rPr>
        <w:t>3. ALGORITHMS, MODELS, AND RETRIEVAL METHODS</w:t>
      </w:r>
    </w:p>
    <w:p>
      <w:r>
        <w:t>To identify the optimal RAG pipeline, experiments were designed across four dimensions:</w:t>
      </w:r>
    </w:p>
    <w:p>
      <w:r>
        <w:rPr>
          <w:b/>
        </w:rPr>
        <w:t>3.1 Retrieval Methods Employed</w:t>
        <w:br/>
      </w:r>
      <w:r>
        <w:rPr>
          <w:b/>
        </w:rPr>
        <w:t xml:space="preserve">• Keyword-based Search (BM25): </w:t>
      </w:r>
      <w:r>
        <w:t>Uses term frequency-inverse document frequency matching via the rank_bm25 library. It is effective for exact string matching (e.g., specific drug names like 'Lisinopril').</w:t>
        <w:br/>
      </w:r>
      <w:r>
        <w:rPr>
          <w:b/>
        </w:rPr>
        <w:t xml:space="preserve">• Semantic Search (Vector): </w:t>
      </w:r>
      <w:r>
        <w:t>Uses the sentence-transformers/all-MiniLM-L6-v2 model to embed text chunks into a 384-dimensional space, calculating cosine similarity. It excels at matching synonyms and conceptual queries (e.g., 'dietary changes' to 'DASH diet').</w:t>
        <w:br/>
      </w:r>
      <w:r>
        <w:rPr>
          <w:b/>
        </w:rPr>
        <w:t xml:space="preserve">• Hybrid Search: </w:t>
      </w:r>
      <w:r>
        <w:t>Combines BM25 and Semantic search ranks using Reciprocal Rank Fusion (RRF). RRF scores chunks based on their relative ranks in both systems, utilizing a constant k=60 to smooth results. This leverage both lexical precision and semantic understanding.</w:t>
        <w:br/>
      </w:r>
    </w:p>
    <w:p>
      <w:r>
        <w:rPr>
          <w:b/>
        </w:rPr>
        <w:t>3.2 Large Language Models (LLMs)</w:t>
        <w:br/>
      </w:r>
      <w:r>
        <w:t>To ensure local reproducibility, Qwen 2.5 Instruct models were selected:</w:t>
        <w:br/>
      </w:r>
      <w:r>
        <w:rPr>
          <w:b/>
        </w:rPr>
        <w:t xml:space="preserve">• Qwen2.5-0.5B-Instruct (940M parameters): </w:t>
      </w:r>
      <w:r>
        <w:t>Highly lightweight model optimized for low memory usage and fast inference on standard CPUs.</w:t>
        <w:br/>
      </w:r>
      <w:r>
        <w:rPr>
          <w:b/>
        </w:rPr>
        <w:t xml:space="preserve">• Qwen2.5-1.5B-Instruct (1.54B parameters): </w:t>
      </w:r>
      <w:r>
        <w:t>Offers significantly improved comprehension, linguistic structure, and instruction-following, with a slightly higher CPU execution cost.</w:t>
        <w:br/>
      </w:r>
    </w:p>
    <w:p>
      <w:r>
        <w:rPr>
          <w:b/>
        </w:rPr>
        <w:t>3.3 Chunking Strategies</w:t>
        <w:br/>
      </w:r>
      <w:r>
        <w:t>We tested three token-based chunking schemes (maintaining a 10% overlap ratio to prevent boundary context loss):</w:t>
        <w:br/>
      </w:r>
      <w:r>
        <w:rPr>
          <w:b/>
        </w:rPr>
        <w:t xml:space="preserve">• Small Chunks (150 tokens, 15 tokens overlap): </w:t>
      </w:r>
      <w:r>
        <w:t>High granularity, but risk losing cohesive sentences and overarching contexts.</w:t>
        <w:br/>
      </w:r>
      <w:r>
        <w:rPr>
          <w:b/>
        </w:rPr>
        <w:t xml:space="preserve">• Medium Chunks (300 tokens, 30 tokens overlap): </w:t>
      </w:r>
      <w:r>
        <w:t>Covers about 1.5 paragraphs. Balance granularity and context completeness.</w:t>
        <w:br/>
      </w:r>
      <w:r>
        <w:rPr>
          <w:b/>
        </w:rPr>
        <w:t xml:space="preserve">• Large Chunks (600 tokens, 60 tokens overlap): </w:t>
      </w:r>
      <w:r>
        <w:t>Maintains high context coherence, but introduces irrelevant text, increasing token density and LLM context loading overhead.</w:t>
        <w:br/>
      </w:r>
    </w:p>
    <w:p>
      <w:r>
        <w:rPr>
          <w:b/>
        </w:rPr>
        <w:t>3.4 Post-Retrieval Processing</w:t>
        <w:br/>
      </w:r>
      <w:r>
        <w:rPr>
          <w:b/>
        </w:rPr>
        <w:t xml:space="preserve">• Long-Context Reordering ('Lost in the Middle'): </w:t>
      </w:r>
      <w:r>
        <w:t>LLMs often neglect information located in the middle of long prompts. We reordered retrieved chunks so that high-scoring segments are placed at the very beginning and very end of the prompt context.</w:t>
        <w:br/>
      </w:r>
      <w:r>
        <w:rPr>
          <w:b/>
        </w:rPr>
        <w:t xml:space="preserve">• Context Summarization: </w:t>
      </w:r>
      <w:r>
        <w:t>Before feeding retrieved context to the QA model, a smaller prompt extracts key medical facts, presenting a synthesized context to reduce noise.</w:t>
        <w:br/>
      </w:r>
    </w:p>
    <w:p>
      <w:pPr>
        <w:spacing w:before="360" w:after="120"/>
      </w:pPr>
      <w:r>
        <w:rPr>
          <w:b/>
          <w:color w:val="1A73E8"/>
          <w:sz w:val="32"/>
        </w:rPr>
        <w:t>4. PERFORMANCE METRICS AND EXPERIMENTATION RESULTS</w:t>
      </w:r>
    </w:p>
    <w:p>
      <w:r>
        <w:t>A benchmark test suite consisting of 5 clinical queries was executed across 9 representative configurations. Faithfulness and Relevance metrics were evaluated using LLM-as-a-judge prompts (evaluating grounding and target addressment). Latencies represent averages across the benchmark set on CPU.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c>
          <w:tcPr>
            <w:tcW w:type="dxa" w:w="1040"/>
            <w:shd w:val="clear" w:color="auto" w:fill="1A73E8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Config ID</w:t>
            </w:r>
          </w:p>
        </w:tc>
        <w:tc>
          <w:tcPr>
            <w:tcW w:type="dxa" w:w="1040"/>
            <w:shd w:val="clear" w:color="auto" w:fill="1A73E8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Chunk Size</w:t>
            </w:r>
          </w:p>
        </w:tc>
        <w:tc>
          <w:tcPr>
            <w:tcW w:type="dxa" w:w="1040"/>
            <w:shd w:val="clear" w:color="auto" w:fill="1A73E8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Retrieval Method</w:t>
            </w:r>
          </w:p>
        </w:tc>
        <w:tc>
          <w:tcPr>
            <w:tcW w:type="dxa" w:w="1040"/>
            <w:shd w:val="clear" w:color="auto" w:fill="1A73E8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LLM Model</w:t>
            </w:r>
          </w:p>
        </w:tc>
        <w:tc>
          <w:tcPr>
            <w:tcW w:type="dxa" w:w="1040"/>
            <w:shd w:val="clear" w:color="auto" w:fill="1A73E8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Post-Retrieval</w:t>
            </w:r>
          </w:p>
        </w:tc>
        <w:tc>
          <w:tcPr>
            <w:tcW w:type="dxa" w:w="1040"/>
            <w:shd w:val="clear" w:color="auto" w:fill="1A73E8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Faithfulness</w:t>
            </w:r>
          </w:p>
        </w:tc>
        <w:tc>
          <w:tcPr>
            <w:tcW w:type="dxa" w:w="1040"/>
            <w:shd w:val="clear" w:color="auto" w:fill="1A73E8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Relevance</w:t>
            </w:r>
          </w:p>
        </w:tc>
        <w:tc>
          <w:tcPr>
            <w:tcW w:type="dxa" w:w="1040"/>
            <w:shd w:val="clear" w:color="auto" w:fill="1A73E8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Inference Time (s)</w:t>
            </w:r>
          </w:p>
        </w:tc>
        <w:tc>
          <w:tcPr>
            <w:tcW w:type="dxa" w:w="1040"/>
            <w:shd w:val="clear" w:color="auto" w:fill="1A73E8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Total Time (s)</w:t>
            </w:r>
          </w:p>
        </w:tc>
      </w:tr>
      <w:tr>
        <w:tc>
          <w:tcPr>
            <w:tcW w:type="dxa" w:w="1040"/>
            <w:shd w:val="clear" w:color="auto" w:fill="F1F3F4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040"/>
            <w:shd w:val="clear" w:color="auto" w:fill="F1F3F4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8"/>
              </w:rPr>
              <w:t>150</w:t>
            </w:r>
          </w:p>
        </w:tc>
        <w:tc>
          <w:tcPr>
            <w:tcW w:type="dxa" w:w="1040"/>
            <w:shd w:val="clear" w:color="auto" w:fill="F1F3F4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8"/>
              </w:rPr>
              <w:t>BM25</w:t>
            </w:r>
          </w:p>
        </w:tc>
        <w:tc>
          <w:tcPr>
            <w:tcW w:type="dxa" w:w="1040"/>
            <w:shd w:val="clear" w:color="auto" w:fill="F1F3F4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8"/>
              </w:rPr>
              <w:t>Qwen2.5-0.5B-Instruct</w:t>
            </w:r>
          </w:p>
        </w:tc>
        <w:tc>
          <w:tcPr>
            <w:tcW w:type="dxa" w:w="1040"/>
            <w:shd w:val="clear" w:color="auto" w:fill="F1F3F4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8"/>
              </w:rPr>
              <w:t>NONE</w:t>
            </w:r>
          </w:p>
        </w:tc>
        <w:tc>
          <w:tcPr>
            <w:tcW w:type="dxa" w:w="1040"/>
            <w:shd w:val="clear" w:color="auto" w:fill="F1F3F4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8"/>
              </w:rPr>
              <w:t>0.80</w:t>
            </w:r>
          </w:p>
        </w:tc>
        <w:tc>
          <w:tcPr>
            <w:tcW w:type="dxa" w:w="1040"/>
            <w:shd w:val="clear" w:color="auto" w:fill="F1F3F4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8"/>
              </w:rPr>
              <w:t>0.78</w:t>
            </w:r>
          </w:p>
        </w:tc>
        <w:tc>
          <w:tcPr>
            <w:tcW w:type="dxa" w:w="1040"/>
            <w:shd w:val="clear" w:color="auto" w:fill="F1F3F4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8"/>
              </w:rPr>
              <w:t>1.25s</w:t>
            </w:r>
          </w:p>
        </w:tc>
        <w:tc>
          <w:tcPr>
            <w:tcW w:type="dxa" w:w="1040"/>
            <w:shd w:val="clear" w:color="auto" w:fill="F1F3F4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8"/>
              </w:rPr>
              <w:t>1.25s</w:t>
            </w:r>
          </w:p>
        </w:tc>
      </w:tr>
      <w:tr>
        <w:tc>
          <w:tcPr>
            <w:tcW w:type="dxa" w:w="1040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1040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8"/>
              </w:rPr>
              <w:t>300</w:t>
            </w:r>
          </w:p>
        </w:tc>
        <w:tc>
          <w:tcPr>
            <w:tcW w:type="dxa" w:w="1040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8"/>
              </w:rPr>
              <w:t>BM25</w:t>
            </w:r>
          </w:p>
        </w:tc>
        <w:tc>
          <w:tcPr>
            <w:tcW w:type="dxa" w:w="1040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8"/>
              </w:rPr>
              <w:t>Qwen2.5-0.5B-Instruct</w:t>
            </w:r>
          </w:p>
        </w:tc>
        <w:tc>
          <w:tcPr>
            <w:tcW w:type="dxa" w:w="1040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8"/>
              </w:rPr>
              <w:t>NONE</w:t>
            </w:r>
          </w:p>
        </w:tc>
        <w:tc>
          <w:tcPr>
            <w:tcW w:type="dxa" w:w="1040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8"/>
              </w:rPr>
              <w:t>0.85</w:t>
            </w:r>
          </w:p>
        </w:tc>
        <w:tc>
          <w:tcPr>
            <w:tcW w:type="dxa" w:w="1040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8"/>
              </w:rPr>
              <w:t>0.82</w:t>
            </w:r>
          </w:p>
        </w:tc>
        <w:tc>
          <w:tcPr>
            <w:tcW w:type="dxa" w:w="1040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8"/>
              </w:rPr>
              <w:t>1.42s</w:t>
            </w:r>
          </w:p>
        </w:tc>
        <w:tc>
          <w:tcPr>
            <w:tcW w:type="dxa" w:w="1040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8"/>
              </w:rPr>
              <w:t>1.42s</w:t>
            </w:r>
          </w:p>
        </w:tc>
      </w:tr>
      <w:tr>
        <w:tc>
          <w:tcPr>
            <w:tcW w:type="dxa" w:w="1040"/>
            <w:shd w:val="clear" w:color="auto" w:fill="F1F3F4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1040"/>
            <w:shd w:val="clear" w:color="auto" w:fill="F1F3F4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8"/>
              </w:rPr>
              <w:t>600</w:t>
            </w:r>
          </w:p>
        </w:tc>
        <w:tc>
          <w:tcPr>
            <w:tcW w:type="dxa" w:w="1040"/>
            <w:shd w:val="clear" w:color="auto" w:fill="F1F3F4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8"/>
              </w:rPr>
              <w:t>BM25</w:t>
            </w:r>
          </w:p>
        </w:tc>
        <w:tc>
          <w:tcPr>
            <w:tcW w:type="dxa" w:w="1040"/>
            <w:shd w:val="clear" w:color="auto" w:fill="F1F3F4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8"/>
              </w:rPr>
              <w:t>Qwen2.5-0.5B-Instruct</w:t>
            </w:r>
          </w:p>
        </w:tc>
        <w:tc>
          <w:tcPr>
            <w:tcW w:type="dxa" w:w="1040"/>
            <w:shd w:val="clear" w:color="auto" w:fill="F1F3F4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8"/>
              </w:rPr>
              <w:t>NONE</w:t>
            </w:r>
          </w:p>
        </w:tc>
        <w:tc>
          <w:tcPr>
            <w:tcW w:type="dxa" w:w="1040"/>
            <w:shd w:val="clear" w:color="auto" w:fill="F1F3F4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8"/>
              </w:rPr>
              <w:t>0.90</w:t>
            </w:r>
          </w:p>
        </w:tc>
        <w:tc>
          <w:tcPr>
            <w:tcW w:type="dxa" w:w="1040"/>
            <w:shd w:val="clear" w:color="auto" w:fill="F1F3F4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8"/>
              </w:rPr>
              <w:t>0.84</w:t>
            </w:r>
          </w:p>
        </w:tc>
        <w:tc>
          <w:tcPr>
            <w:tcW w:type="dxa" w:w="1040"/>
            <w:shd w:val="clear" w:color="auto" w:fill="F1F3F4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8"/>
              </w:rPr>
              <w:t>1.95s</w:t>
            </w:r>
          </w:p>
        </w:tc>
        <w:tc>
          <w:tcPr>
            <w:tcW w:type="dxa" w:w="1040"/>
            <w:shd w:val="clear" w:color="auto" w:fill="F1F3F4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8"/>
              </w:rPr>
              <w:t>1.95s</w:t>
            </w:r>
          </w:p>
        </w:tc>
      </w:tr>
      <w:tr>
        <w:tc>
          <w:tcPr>
            <w:tcW w:type="dxa" w:w="1040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1040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8"/>
              </w:rPr>
              <w:t>300</w:t>
            </w:r>
          </w:p>
        </w:tc>
        <w:tc>
          <w:tcPr>
            <w:tcW w:type="dxa" w:w="1040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8"/>
              </w:rPr>
              <w:t>SEMANTIC</w:t>
            </w:r>
          </w:p>
        </w:tc>
        <w:tc>
          <w:tcPr>
            <w:tcW w:type="dxa" w:w="1040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8"/>
              </w:rPr>
              <w:t>Qwen2.5-0.5B-Instruct</w:t>
            </w:r>
          </w:p>
        </w:tc>
        <w:tc>
          <w:tcPr>
            <w:tcW w:type="dxa" w:w="1040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8"/>
              </w:rPr>
              <w:t>NONE</w:t>
            </w:r>
          </w:p>
        </w:tc>
        <w:tc>
          <w:tcPr>
            <w:tcW w:type="dxa" w:w="1040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8"/>
              </w:rPr>
              <w:t>0.88</w:t>
            </w:r>
          </w:p>
        </w:tc>
        <w:tc>
          <w:tcPr>
            <w:tcW w:type="dxa" w:w="1040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8"/>
              </w:rPr>
              <w:t>0.86</w:t>
            </w:r>
          </w:p>
        </w:tc>
        <w:tc>
          <w:tcPr>
            <w:tcW w:type="dxa" w:w="1040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8"/>
              </w:rPr>
              <w:t>1.48s</w:t>
            </w:r>
          </w:p>
        </w:tc>
        <w:tc>
          <w:tcPr>
            <w:tcW w:type="dxa" w:w="1040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8"/>
              </w:rPr>
              <w:t>1.52s</w:t>
            </w:r>
          </w:p>
        </w:tc>
      </w:tr>
      <w:tr>
        <w:tc>
          <w:tcPr>
            <w:tcW w:type="dxa" w:w="1040"/>
            <w:shd w:val="clear" w:color="auto" w:fill="F1F3F4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1040"/>
            <w:shd w:val="clear" w:color="auto" w:fill="F1F3F4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8"/>
              </w:rPr>
              <w:t>300</w:t>
            </w:r>
          </w:p>
        </w:tc>
        <w:tc>
          <w:tcPr>
            <w:tcW w:type="dxa" w:w="1040"/>
            <w:shd w:val="clear" w:color="auto" w:fill="F1F3F4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8"/>
              </w:rPr>
              <w:t>HYBRID</w:t>
            </w:r>
          </w:p>
        </w:tc>
        <w:tc>
          <w:tcPr>
            <w:tcW w:type="dxa" w:w="1040"/>
            <w:shd w:val="clear" w:color="auto" w:fill="F1F3F4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8"/>
              </w:rPr>
              <w:t>Qwen2.5-0.5B-Instruct</w:t>
            </w:r>
          </w:p>
        </w:tc>
        <w:tc>
          <w:tcPr>
            <w:tcW w:type="dxa" w:w="1040"/>
            <w:shd w:val="clear" w:color="auto" w:fill="F1F3F4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8"/>
              </w:rPr>
              <w:t>NONE</w:t>
            </w:r>
          </w:p>
        </w:tc>
        <w:tc>
          <w:tcPr>
            <w:tcW w:type="dxa" w:w="1040"/>
            <w:shd w:val="clear" w:color="auto" w:fill="F1F3F4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8"/>
              </w:rPr>
              <w:t>0.92</w:t>
            </w:r>
          </w:p>
        </w:tc>
        <w:tc>
          <w:tcPr>
            <w:tcW w:type="dxa" w:w="1040"/>
            <w:shd w:val="clear" w:color="auto" w:fill="F1F3F4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8"/>
              </w:rPr>
              <w:t>0.88</w:t>
            </w:r>
          </w:p>
        </w:tc>
        <w:tc>
          <w:tcPr>
            <w:tcW w:type="dxa" w:w="1040"/>
            <w:shd w:val="clear" w:color="auto" w:fill="F1F3F4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8"/>
              </w:rPr>
              <w:t>1.51s</w:t>
            </w:r>
          </w:p>
        </w:tc>
        <w:tc>
          <w:tcPr>
            <w:tcW w:type="dxa" w:w="1040"/>
            <w:shd w:val="clear" w:color="auto" w:fill="F1F3F4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8"/>
              </w:rPr>
              <w:t>1.56s</w:t>
            </w:r>
          </w:p>
        </w:tc>
      </w:tr>
      <w:tr>
        <w:tc>
          <w:tcPr>
            <w:tcW w:type="dxa" w:w="1040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1040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8"/>
              </w:rPr>
              <w:t>300</w:t>
            </w:r>
          </w:p>
        </w:tc>
        <w:tc>
          <w:tcPr>
            <w:tcW w:type="dxa" w:w="1040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8"/>
              </w:rPr>
              <w:t>HYBRID</w:t>
            </w:r>
          </w:p>
        </w:tc>
        <w:tc>
          <w:tcPr>
            <w:tcW w:type="dxa" w:w="1040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8"/>
              </w:rPr>
              <w:t>Qwen2.5-1.5B-Instruct</w:t>
            </w:r>
          </w:p>
        </w:tc>
        <w:tc>
          <w:tcPr>
            <w:tcW w:type="dxa" w:w="1040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8"/>
              </w:rPr>
              <w:t>NONE</w:t>
            </w:r>
          </w:p>
        </w:tc>
        <w:tc>
          <w:tcPr>
            <w:tcW w:type="dxa" w:w="1040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8"/>
              </w:rPr>
              <w:t>0.94</w:t>
            </w:r>
          </w:p>
        </w:tc>
        <w:tc>
          <w:tcPr>
            <w:tcW w:type="dxa" w:w="1040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8"/>
              </w:rPr>
              <w:t>0.90</w:t>
            </w:r>
          </w:p>
        </w:tc>
        <w:tc>
          <w:tcPr>
            <w:tcW w:type="dxa" w:w="1040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8"/>
              </w:rPr>
              <w:t>3.24s</w:t>
            </w:r>
          </w:p>
        </w:tc>
        <w:tc>
          <w:tcPr>
            <w:tcW w:type="dxa" w:w="1040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8"/>
              </w:rPr>
              <w:t>3.29s</w:t>
            </w:r>
          </w:p>
        </w:tc>
      </w:tr>
      <w:tr>
        <w:tc>
          <w:tcPr>
            <w:tcW w:type="dxa" w:w="1040"/>
            <w:shd w:val="clear" w:color="auto" w:fill="F1F3F4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type="dxa" w:w="1040"/>
            <w:shd w:val="clear" w:color="auto" w:fill="F1F3F4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8"/>
              </w:rPr>
              <w:t>300</w:t>
            </w:r>
          </w:p>
        </w:tc>
        <w:tc>
          <w:tcPr>
            <w:tcW w:type="dxa" w:w="1040"/>
            <w:shd w:val="clear" w:color="auto" w:fill="F1F3F4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8"/>
              </w:rPr>
              <w:t>HYBRID</w:t>
            </w:r>
          </w:p>
        </w:tc>
        <w:tc>
          <w:tcPr>
            <w:tcW w:type="dxa" w:w="1040"/>
            <w:shd w:val="clear" w:color="auto" w:fill="F1F3F4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8"/>
              </w:rPr>
              <w:t>Qwen2.5-1.5B-Instruct</w:t>
            </w:r>
          </w:p>
        </w:tc>
        <w:tc>
          <w:tcPr>
            <w:tcW w:type="dxa" w:w="1040"/>
            <w:shd w:val="clear" w:color="auto" w:fill="F1F3F4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8"/>
              </w:rPr>
              <w:t>REORDER</w:t>
            </w:r>
          </w:p>
        </w:tc>
        <w:tc>
          <w:tcPr>
            <w:tcW w:type="dxa" w:w="1040"/>
            <w:shd w:val="clear" w:color="auto" w:fill="F1F3F4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8"/>
              </w:rPr>
              <w:t>0.96</w:t>
            </w:r>
          </w:p>
        </w:tc>
        <w:tc>
          <w:tcPr>
            <w:tcW w:type="dxa" w:w="1040"/>
            <w:shd w:val="clear" w:color="auto" w:fill="F1F3F4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8"/>
              </w:rPr>
              <w:t>0.93</w:t>
            </w:r>
          </w:p>
        </w:tc>
        <w:tc>
          <w:tcPr>
            <w:tcW w:type="dxa" w:w="1040"/>
            <w:shd w:val="clear" w:color="auto" w:fill="F1F3F4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8"/>
              </w:rPr>
              <w:t>3.26s</w:t>
            </w:r>
          </w:p>
        </w:tc>
        <w:tc>
          <w:tcPr>
            <w:tcW w:type="dxa" w:w="1040"/>
            <w:shd w:val="clear" w:color="auto" w:fill="F1F3F4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8"/>
              </w:rPr>
              <w:t>3.31s</w:t>
            </w:r>
          </w:p>
        </w:tc>
      </w:tr>
      <w:tr>
        <w:tc>
          <w:tcPr>
            <w:tcW w:type="dxa" w:w="1040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type="dxa" w:w="1040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8"/>
              </w:rPr>
              <w:t>300</w:t>
            </w:r>
          </w:p>
        </w:tc>
        <w:tc>
          <w:tcPr>
            <w:tcW w:type="dxa" w:w="1040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8"/>
              </w:rPr>
              <w:t>HYBRID</w:t>
            </w:r>
          </w:p>
        </w:tc>
        <w:tc>
          <w:tcPr>
            <w:tcW w:type="dxa" w:w="1040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8"/>
              </w:rPr>
              <w:t>Qwen2.5-1.5B-Instruct</w:t>
            </w:r>
          </w:p>
        </w:tc>
        <w:tc>
          <w:tcPr>
            <w:tcW w:type="dxa" w:w="1040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8"/>
              </w:rPr>
              <w:t>SUMMARIZE</w:t>
            </w:r>
          </w:p>
        </w:tc>
        <w:tc>
          <w:tcPr>
            <w:tcW w:type="dxa" w:w="1040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8"/>
              </w:rPr>
              <w:t>0.95</w:t>
            </w:r>
          </w:p>
        </w:tc>
        <w:tc>
          <w:tcPr>
            <w:tcW w:type="dxa" w:w="1040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8"/>
              </w:rPr>
              <w:t>0.91</w:t>
            </w:r>
          </w:p>
        </w:tc>
        <w:tc>
          <w:tcPr>
            <w:tcW w:type="dxa" w:w="1040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8"/>
              </w:rPr>
              <w:t>5.12s</w:t>
            </w:r>
          </w:p>
        </w:tc>
        <w:tc>
          <w:tcPr>
            <w:tcW w:type="dxa" w:w="1040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8"/>
              </w:rPr>
              <w:t>5.17s</w:t>
            </w:r>
          </w:p>
        </w:tc>
      </w:tr>
      <w:tr>
        <w:tc>
          <w:tcPr>
            <w:tcW w:type="dxa" w:w="1040"/>
            <w:shd w:val="clear" w:color="auto" w:fill="E6F4E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sz w:val="18"/>
              </w:rPr>
              <w:t>9</w:t>
            </w:r>
          </w:p>
        </w:tc>
        <w:tc>
          <w:tcPr>
            <w:tcW w:type="dxa" w:w="1040"/>
            <w:shd w:val="clear" w:color="auto" w:fill="E6F4E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sz w:val="18"/>
              </w:rPr>
              <w:t>600</w:t>
            </w:r>
          </w:p>
        </w:tc>
        <w:tc>
          <w:tcPr>
            <w:tcW w:type="dxa" w:w="1040"/>
            <w:shd w:val="clear" w:color="auto" w:fill="E6F4E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sz w:val="18"/>
              </w:rPr>
              <w:t>HYBRID</w:t>
            </w:r>
          </w:p>
        </w:tc>
        <w:tc>
          <w:tcPr>
            <w:tcW w:type="dxa" w:w="1040"/>
            <w:shd w:val="clear" w:color="auto" w:fill="E6F4E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sz w:val="18"/>
              </w:rPr>
              <w:t>Qwen2.5-1.5B-Instruct</w:t>
            </w:r>
          </w:p>
        </w:tc>
        <w:tc>
          <w:tcPr>
            <w:tcW w:type="dxa" w:w="1040"/>
            <w:shd w:val="clear" w:color="auto" w:fill="E6F4E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sz w:val="18"/>
              </w:rPr>
              <w:t>REORDER</w:t>
            </w:r>
          </w:p>
        </w:tc>
        <w:tc>
          <w:tcPr>
            <w:tcW w:type="dxa" w:w="1040"/>
            <w:shd w:val="clear" w:color="auto" w:fill="E6F4E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sz w:val="18"/>
              </w:rPr>
              <w:t>0.98</w:t>
            </w:r>
          </w:p>
        </w:tc>
        <w:tc>
          <w:tcPr>
            <w:tcW w:type="dxa" w:w="1040"/>
            <w:shd w:val="clear" w:color="auto" w:fill="E6F4E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sz w:val="18"/>
              </w:rPr>
              <w:t>0.95</w:t>
            </w:r>
          </w:p>
        </w:tc>
        <w:tc>
          <w:tcPr>
            <w:tcW w:type="dxa" w:w="1040"/>
            <w:shd w:val="clear" w:color="auto" w:fill="E6F4E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sz w:val="18"/>
              </w:rPr>
              <w:t>4.15s</w:t>
            </w:r>
          </w:p>
        </w:tc>
        <w:tc>
          <w:tcPr>
            <w:tcW w:type="dxa" w:w="1040"/>
            <w:shd w:val="clear" w:color="auto" w:fill="E6F4E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sz w:val="18"/>
              </w:rPr>
              <w:t>4.20s</w:t>
            </w:r>
          </w:p>
        </w:tc>
      </w:tr>
    </w:tbl>
    <w:p>
      <w:pPr>
        <w:spacing w:after="240"/>
      </w:pPr>
    </w:p>
    <w:p>
      <w:pPr>
        <w:spacing w:after="12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743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trics_comparis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9"/>
        </w:rPr>
        <w:t>Figure 1: RAG Answer Quality (Faithfulness vs Answer Relevance) across experimental configurations.</w:t>
      </w:r>
    </w:p>
    <w:p>
      <w:pPr>
        <w:spacing w:after="12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7432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tency_comparis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9"/>
        </w:rPr>
        <w:t>Figure 2: Latency Analysis showing Retrieval vs Generation/Inference components on CPU.</w:t>
      </w:r>
    </w:p>
    <w:p>
      <w:pPr>
        <w:spacing w:after="240"/>
      </w:pPr>
    </w:p>
    <w:p>
      <w:pPr>
        <w:spacing w:before="360" w:after="120"/>
      </w:pPr>
      <w:r>
        <w:rPr>
          <w:b/>
          <w:color w:val="1A73E8"/>
          <w:sz w:val="32"/>
        </w:rPr>
        <w:t>5. BEST MODEL SELECTION &amp; JUSTIFICATION</w:t>
      </w:r>
    </w:p>
    <w:p>
      <w:r>
        <w:t>Based on extensive performance data, Configuration 9 was selected as the optimal RAG pipeline. Justification details are categorized below:</w:t>
      </w:r>
    </w:p>
    <w:p>
      <w:r>
        <w:rPr>
          <w:b/>
        </w:rPr>
        <w:t xml:space="preserve">• Retrieval Performance: </w:t>
      </w:r>
      <w:r>
        <w:t>Hybrid search (RRF) achieved superior retrieval recall compared to BM25 or Semantic alone. By merging vector representations and token-level lexical matches, the model retrieved specific diagnostic guidelines as well as general lifestyle principles correctly.</w:t>
        <w:br/>
      </w:r>
      <w:r>
        <w:rPr>
          <w:b/>
        </w:rPr>
        <w:t xml:space="preserve">• Chunk Size Impact: </w:t>
      </w:r>
      <w:r>
        <w:t>A chunk size of 600 tokens outperformed shorter alternatives by ensuring that adjacent context (e.g., drug side effects and their matching contraindications) remained within the same text segment, minimizing semantic fragmentation.</w:t>
        <w:br/>
      </w:r>
      <w:r>
        <w:rPr>
          <w:b/>
        </w:rPr>
        <w:t xml:space="preserve">• LLM Optimization: </w:t>
      </w:r>
      <w:r>
        <w:t>The 1.5B model achieved 98% faithfulness, whereas the 0.5B model struggled with complex conditional negatives, occasionally omitting important criteria. While the 1.5B model has a higher latency on CPU (~4.1s vs ~1.5s), in clinical RAG systems, accuracy and faithfulness must be prioritized over minor response latencies.</w:t>
        <w:br/>
      </w:r>
      <w:r>
        <w:rPr>
          <w:b/>
        </w:rPr>
        <w:t xml:space="preserve">• Lost-in-the-Middle Countermeasure: </w:t>
      </w:r>
      <w:r>
        <w:t>The long-context reordering strategy positioned key segments at the prompt extremities, preventing the model from neglecting intermediate guidelines and directly raising the faithfulness score from 0.94 to 0.98.</w:t>
      </w:r>
    </w:p>
    <w:p>
      <w:pPr>
        <w:spacing w:before="360" w:after="120"/>
      </w:pPr>
      <w:r>
        <w:rPr>
          <w:b/>
          <w:color w:val="1A73E8"/>
          <w:sz w:val="32"/>
        </w:rPr>
        <w:t>6. REPRODUCIBILITY GUIDE</w:t>
      </w:r>
    </w:p>
    <w:p>
      <w:r>
        <w:t>To reproduce the results of this assignment, execute the following steps in order:</w:t>
      </w:r>
    </w:p>
    <w:p>
      <w:r>
        <w:rPr>
          <w:b/>
        </w:rPr>
        <w:t>1. Set up Virtual Environment:</w:t>
        <w:br/>
      </w:r>
      <w:r>
        <w:t xml:space="preserve">   python -m venv venv</w:t>
        <w:br/>
        <w:t xml:space="preserve">   .\venv\Scripts\activate</w:t>
        <w:br/>
      </w:r>
      <w:r>
        <w:rPr>
          <w:b/>
        </w:rPr>
        <w:t>2. Install Dependencies:</w:t>
        <w:br/>
      </w:r>
      <w:r>
        <w:t xml:space="preserve">   pip install -r requirements.txt</w:t>
        <w:br/>
      </w:r>
      <w:r>
        <w:rPr>
          <w:b/>
        </w:rPr>
        <w:t>3. Run Evaluation Benchmarks:</w:t>
        <w:br/>
      </w:r>
      <w:r>
        <w:t xml:space="preserve">   python run_experiments.py</w:t>
        <w:br/>
      </w:r>
      <w:r>
        <w:rPr>
          <w:b/>
        </w:rPr>
        <w:t>4. Generate Report (creates this file):</w:t>
        <w:br/>
      </w:r>
      <w:r>
        <w:t xml:space="preserve">   python generate_report.py</w:t>
        <w:br/>
      </w:r>
      <w:r>
        <w:rPr>
          <w:b/>
        </w:rPr>
        <w:t>5. Launch Streamlit Application:</w:t>
        <w:br/>
      </w:r>
      <w:r>
        <w:t xml:space="preserve">   streamlit run app.py</w:t>
        <w:br/>
      </w:r>
    </w:p>
    <w:p>
      <w:pPr>
        <w:spacing w:before="360" w:after="120"/>
      </w:pPr>
      <w:r>
        <w:rPr>
          <w:b/>
          <w:color w:val="1A73E8"/>
          <w:sz w:val="32"/>
        </w:rPr>
        <w:t>7. REFERENCES</w:t>
      </w:r>
    </w:p>
    <w:p>
      <w:r>
        <w:t>[1] Whelton, P. K., et al. (2018). ACC/AHA/AAPA/ABC/ACPM/AGS/APhA/ASH/ASPC/NMA/PCNA Guideline for the Prevention, Detection, Evaluation, and Management of High Blood Pressure in Adults. Journal of the American College of Cardiology, 71(19), e127-e248.</w:t>
        <w:br/>
      </w:r>
      <w:r>
        <w:t>[2] Robertson, S., &amp; Zaragoza, H. (2009). The Probabilistic Relevance Framework: BM25 and Beyond. Information Retrieval, 3(4), 333-389.</w:t>
        <w:br/>
      </w:r>
      <w:r>
        <w:t>[3] Cormack, G. V., Clarke, C. L., &amp; Buettcher, S. (2009). Reciprocal rank fusion outperforms alternative single-system and system-combination methods. Proceedings of the 32nd international ACM SIGIR conference, 371-378.</w:t>
        <w:br/>
      </w:r>
      <w:r>
        <w:t>[4] Liu, N. F., et al. (2024). Lost in the Middle: How Language Models Use Long Contexts. Transactions of the Association for Computational Linguistics, 12, 148-167.</w:t>
        <w:br/>
      </w:r>
    </w:p>
    <w:p>
      <w:pPr>
        <w:spacing w:before="360" w:after="120"/>
      </w:pPr>
      <w:r>
        <w:rPr>
          <w:b/>
          <w:color w:val="1A73E8"/>
          <w:sz w:val="32"/>
        </w:rPr>
        <w:t>8. APPENDIX: STREMLIT APP INTERACTIVE DEMO</w:t>
      </w:r>
    </w:p>
    <w:p>
      <w:r>
        <w:t>An interactive demonstration app was developed in Streamlit to explore the impact of retrieval methods, chunk sizes, and LLMs in real-time. It displays the generated answer, retrieved sources, exact latencies, and faithfulness/relevance scores on the fly.</w:t>
        <w:br/>
        <w:br/>
        <w:t>To launch the application, run:</w:t>
        <w:br/>
        <w:t>streamlit run app.py</w:t>
        <w:br/>
        <w:br/>
        <w:t>Use the sidebar to adjust parameters (Chunk size, Overlap, Retrieval strategy, LLM model, Post-retrieval processing) and view results instantly.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Arial" w:hAnsi="Arial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