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0E" w:rsidRDefault="009F170E"/>
    <w:tbl>
      <w:tblPr>
        <w:tblpPr w:leftFromText="180" w:rightFromText="180" w:vertAnchor="text" w:horzAnchor="page" w:tblpX="1" w:tblpY="-12292"/>
        <w:tblW w:w="120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3848"/>
        <w:gridCol w:w="2666"/>
        <w:gridCol w:w="3657"/>
      </w:tblGrid>
      <w:tr w:rsidR="009F170E" w:rsidRPr="00460C2A" w:rsidTr="009F170E">
        <w:trPr>
          <w:trHeight w:val="315"/>
        </w:trPr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jc w:val="center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lastRenderedPageBreak/>
              <w:t>Details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jc w:val="center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AWS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jc w:val="center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Azure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jc w:val="center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GCP</w:t>
            </w:r>
          </w:p>
        </w:tc>
      </w:tr>
      <w:tr w:rsidR="009F170E" w:rsidRPr="00460C2A" w:rsidTr="009F170E">
        <w:trPr>
          <w:trHeight w:val="4311"/>
        </w:trPr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AWS Beanstalk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Amazon EC2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Amazon EC2 Auto-Scaling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Amazon Elastic Container Registry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5) Amazon Elastic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Kubernetes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Service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6) Amazon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Lightsail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7) AWS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Serverless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Application Repository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8) VMware Cloud for AWS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9) AWS Batch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10) AWS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Fargate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11) AWS Lambda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12) AWS Outposts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13) Elastic Load Balancing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Platform-as-a-service (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PaaS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)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Function-as-a-service (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FaaS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)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Service Fabric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Azure Batch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Cloud Services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6) Container Instances Batch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7) Azure Container Service (AKS)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8) Virtual Machines Compute Engine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9) Virtual Machine Scale Sets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App Engine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2)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Docker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Container Registry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Instant Groups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Compute Engine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Graphics Processing Unit (GPU)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6)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Knative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7)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Kubernetes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8) Functions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Storage Services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Simple Storage Service (S3)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Elastic Block Storage (EBS)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Elastic File System (EFS)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Storage Gateway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Snowball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6) Snowball Edge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7) Snowmobile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Blob Storage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Queue Storage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File Storage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Disk Storage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Data Lake Store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Cloud Storage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Persistent Disk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Transfer Appliance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Transfer Service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AI/ML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1)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SageMaker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Comprehend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3)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Lex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Polly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5)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Rekognition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6) Machine Learning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7) Translate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8) Transcribe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9)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DeepLens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10) Deep Learning AMIs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lastRenderedPageBreak/>
              <w:t xml:space="preserve">11) Apache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MXNet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on AWS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12)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TensorFlow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on AWS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lastRenderedPageBreak/>
              <w:t>1) Machine Learning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Azure Bot Service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Cognitive Services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Cloud Machine Learning Engine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2)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Dialogflow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Enterprise Edition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Cloud Natural Language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6) Cloud Speech API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7) Cloud Translation API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8) Cloud Video Intelligence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9) Cloud Job Discovery (Private Beta)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lastRenderedPageBreak/>
              <w:t>Database Services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Aurora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RDS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3)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DynamoDB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4)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ElastiCache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Redshift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6) Neptune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7) Database Migration Service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SQL Database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Database for MySQL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3) Database for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PostgreSQL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Data Warehouse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Server Stretch Database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6) Cosmos DB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7) Table Storage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8)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Redis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Cache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9) Data Factory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Cloud SQL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2) Cloud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Bigtable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Cloud Spanner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4) Cloud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Datastore</w:t>
            </w:r>
            <w:proofErr w:type="spellEnd"/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Backup Services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Glacier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Archive Storage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Backup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Site Recovery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1)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Nearline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(frequently accessed data)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2)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Coldline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(infrequently accessed data)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proofErr w:type="spellStart"/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Serverless</w:t>
            </w:r>
            <w:proofErr w:type="spellEnd"/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 xml:space="preserve"> computing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Lambda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2)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Serverless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Application Repository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Functions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Google Cloud Functions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Strengths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Dominant market position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Extensive, mature offerings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Support for large organizations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Global reach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Flexibility and a wider range of services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Second largest provider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Integration with Microsoft tools and software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Broad feature set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4) Hybrid cloud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Support for open source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6) Ideal for startups and developers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1) Designed for cloud-native businesses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2) Commitment to open source and portability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3) Flexible contracts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 xml:space="preserve">4)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DevOps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expertise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5) Complete container-based model</w:t>
            </w: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br/>
              <w:t>6) Most cost-efficient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Caching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Elastic Cache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Redis</w:t>
            </w:r>
            <w:proofErr w:type="spellEnd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 Cache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Cloud CDN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File Storage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EFS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Azure Files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ZFS and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Avere</w:t>
            </w:r>
            <w:proofErr w:type="spellEnd"/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lastRenderedPageBreak/>
              <w:t>Networking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Amazon Virtual Private Cloud (VPC)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Azure Virtual Network (VNET)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Cloud Virtual Network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Security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AWS Security Hub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Azure Security Center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Cloud Security Command Center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Location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77 availability zones within 24 geographic regions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Presence in 60+ regions across the world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Presence in 24 regions and 73 zones. Available in 200+ countries and territories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Documentation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Best in class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High quality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High quality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DNS Services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Amazon Route 53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Azure Traffic Manager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Cloud DNS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Notifications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Amazon Simple Notification Service (SNS)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Azure Notification Hub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None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Load Balancing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Elastic Load Balancing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Load Balancing for Azure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Cloud Load Balancing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Automation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AWS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Opsworks</w:t>
            </w:r>
            <w:proofErr w:type="spellEnd"/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Azure Automation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Compute Engine Management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18"/>
                <w:szCs w:val="18"/>
                <w:bdr w:val="none" w:sz="0" w:space="0" w:color="auto" w:frame="1"/>
              </w:rPr>
              <w:t>Compliance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 xml:space="preserve">AWS </w:t>
            </w:r>
            <w:proofErr w:type="spellStart"/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CloudHSM</w:t>
            </w:r>
            <w:proofErr w:type="spellEnd"/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Azure Trust Center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18"/>
                <w:szCs w:val="18"/>
              </w:rPr>
              <w:t>Google Cloud Platform Security</w:t>
            </w:r>
          </w:p>
        </w:tc>
      </w:tr>
      <w:tr w:rsidR="009F170E" w:rsidRPr="00460C2A" w:rsidTr="009F170E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20"/>
                <w:szCs w:val="20"/>
              </w:rPr>
            </w:pPr>
            <w:r w:rsidRPr="000810A8">
              <w:rPr>
                <w:rFonts w:ascii="inherit" w:eastAsia="Times New Roman" w:hAnsi="inherit" w:cs="Times New Roman"/>
                <w:b/>
                <w:bCs/>
                <w:color w:val="262626" w:themeColor="text1" w:themeTint="D9"/>
                <w:sz w:val="20"/>
                <w:szCs w:val="20"/>
                <w:bdr w:val="none" w:sz="0" w:space="0" w:color="auto" w:frame="1"/>
              </w:rPr>
              <w:t>Pricing/ Discount Options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20"/>
                <w:szCs w:val="20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20"/>
                <w:szCs w:val="20"/>
              </w:rPr>
              <w:t>One-year free trial along with a discount of up to 75% for a 1-3 year commitment</w:t>
            </w:r>
          </w:p>
        </w:tc>
        <w:tc>
          <w:tcPr>
            <w:tcW w:w="11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20"/>
                <w:szCs w:val="20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20"/>
                <w:szCs w:val="20"/>
              </w:rPr>
              <w:t>Up to 75% discount for a commitment ranging from one to three years</w:t>
            </w:r>
          </w:p>
        </w:tc>
        <w:tc>
          <w:tcPr>
            <w:tcW w:w="151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170E" w:rsidRPr="00460C2A" w:rsidRDefault="009F170E" w:rsidP="00EC1201">
            <w:pPr>
              <w:spacing w:after="0" w:line="420" w:lineRule="atLeast"/>
              <w:rPr>
                <w:rFonts w:ascii="inherit" w:eastAsia="Times New Roman" w:hAnsi="inherit" w:cs="Times New Roman"/>
                <w:color w:val="262626" w:themeColor="text1" w:themeTint="D9"/>
                <w:sz w:val="20"/>
                <w:szCs w:val="20"/>
              </w:rPr>
            </w:pPr>
            <w:r w:rsidRPr="00460C2A">
              <w:rPr>
                <w:rFonts w:ascii="inherit" w:eastAsia="Times New Roman" w:hAnsi="inherit" w:cs="Times New Roman"/>
                <w:color w:val="262626" w:themeColor="text1" w:themeTint="D9"/>
                <w:sz w:val="20"/>
                <w:szCs w:val="20"/>
              </w:rPr>
              <w:t>GCP Credit of $300 for 12 months apart from a sustained use discount of up to 30%</w:t>
            </w:r>
          </w:p>
        </w:tc>
      </w:tr>
    </w:tbl>
    <w:p w:rsidR="007E4B7A" w:rsidRPr="009F170E" w:rsidRDefault="007E4B7A" w:rsidP="007E4B7A">
      <w:pPr>
        <w:rPr>
          <w:b/>
          <w:bCs/>
          <w:sz w:val="36"/>
          <w:szCs w:val="36"/>
          <w:u w:val="single"/>
        </w:rPr>
      </w:pPr>
      <w:r w:rsidRPr="009F170E">
        <w:rPr>
          <w:b/>
          <w:bCs/>
          <w:sz w:val="36"/>
          <w:szCs w:val="36"/>
          <w:u w:val="single"/>
        </w:rPr>
        <w:lastRenderedPageBreak/>
        <w:t>Cloud provider examples</w:t>
      </w:r>
    </w:p>
    <w:p w:rsidR="007E4B7A" w:rsidRPr="009F170E" w:rsidRDefault="007E4B7A" w:rsidP="007E4B7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F170E">
        <w:rPr>
          <w:rFonts w:ascii="Arial" w:eastAsia="Times New Roman" w:hAnsi="Arial" w:cs="Arial"/>
          <w:color w:val="202124"/>
          <w:sz w:val="24"/>
          <w:szCs w:val="24"/>
        </w:rPr>
        <w:t>Amazon Web Services (AWS)</w:t>
      </w:r>
    </w:p>
    <w:p w:rsidR="007E4B7A" w:rsidRPr="009F170E" w:rsidRDefault="007E4B7A" w:rsidP="007E4B7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F170E">
        <w:rPr>
          <w:rFonts w:ascii="Arial" w:eastAsia="Times New Roman" w:hAnsi="Arial" w:cs="Arial"/>
          <w:color w:val="202124"/>
          <w:sz w:val="24"/>
          <w:szCs w:val="24"/>
        </w:rPr>
        <w:t>Microsoft Azure.</w:t>
      </w:r>
    </w:p>
    <w:p w:rsidR="007E4B7A" w:rsidRPr="009F170E" w:rsidRDefault="007E4B7A" w:rsidP="007E4B7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F170E">
        <w:rPr>
          <w:rFonts w:ascii="Arial" w:eastAsia="Times New Roman" w:hAnsi="Arial" w:cs="Arial"/>
          <w:color w:val="202124"/>
          <w:sz w:val="24"/>
          <w:szCs w:val="24"/>
        </w:rPr>
        <w:t>Google Cloud.</w:t>
      </w:r>
    </w:p>
    <w:p w:rsidR="007E4B7A" w:rsidRPr="009F170E" w:rsidRDefault="007E4B7A" w:rsidP="007E4B7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9F170E">
        <w:rPr>
          <w:rFonts w:ascii="Arial" w:eastAsia="Times New Roman" w:hAnsi="Arial" w:cs="Arial"/>
          <w:color w:val="202124"/>
          <w:sz w:val="24"/>
          <w:szCs w:val="24"/>
        </w:rPr>
        <w:t>Alibaba</w:t>
      </w:r>
      <w:proofErr w:type="spellEnd"/>
      <w:r w:rsidRPr="009F170E">
        <w:rPr>
          <w:rFonts w:ascii="Arial" w:eastAsia="Times New Roman" w:hAnsi="Arial" w:cs="Arial"/>
          <w:color w:val="202124"/>
          <w:sz w:val="24"/>
          <w:szCs w:val="24"/>
        </w:rPr>
        <w:t xml:space="preserve"> Cloud.</w:t>
      </w:r>
    </w:p>
    <w:p w:rsidR="007E4B7A" w:rsidRPr="009F170E" w:rsidRDefault="007E4B7A" w:rsidP="007E4B7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F170E">
        <w:rPr>
          <w:rFonts w:ascii="Arial" w:eastAsia="Times New Roman" w:hAnsi="Arial" w:cs="Arial"/>
          <w:color w:val="202124"/>
          <w:sz w:val="24"/>
          <w:szCs w:val="24"/>
        </w:rPr>
        <w:t>IBM Cloud.</w:t>
      </w:r>
    </w:p>
    <w:p w:rsidR="007E4B7A" w:rsidRPr="009F170E" w:rsidRDefault="007E4B7A" w:rsidP="007E4B7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F170E">
        <w:rPr>
          <w:rFonts w:ascii="Arial" w:eastAsia="Times New Roman" w:hAnsi="Arial" w:cs="Arial"/>
          <w:color w:val="202124"/>
          <w:sz w:val="24"/>
          <w:szCs w:val="24"/>
        </w:rPr>
        <w:t>Oracle.</w:t>
      </w:r>
    </w:p>
    <w:p w:rsidR="007E4B7A" w:rsidRPr="009F170E" w:rsidRDefault="007E4B7A" w:rsidP="007E4B7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F170E">
        <w:rPr>
          <w:rFonts w:ascii="Arial" w:eastAsia="Times New Roman" w:hAnsi="Arial" w:cs="Arial"/>
          <w:color w:val="202124"/>
          <w:sz w:val="24"/>
          <w:szCs w:val="24"/>
        </w:rPr>
        <w:t>Salesforce.</w:t>
      </w:r>
    </w:p>
    <w:p w:rsidR="007E4B7A" w:rsidRPr="009F170E" w:rsidRDefault="007E4B7A" w:rsidP="007E4B7A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F170E">
        <w:rPr>
          <w:rFonts w:ascii="Arial" w:eastAsia="Times New Roman" w:hAnsi="Arial" w:cs="Arial"/>
          <w:color w:val="202124"/>
          <w:sz w:val="24"/>
          <w:szCs w:val="24"/>
        </w:rPr>
        <w:t>SAP.</w:t>
      </w:r>
    </w:p>
    <w:p w:rsidR="007E4B7A" w:rsidRDefault="007E4B7A" w:rsidP="007E4B7A"/>
    <w:p w:rsidR="007E4B7A" w:rsidRDefault="007E4B7A" w:rsidP="007E4B7A"/>
    <w:p w:rsidR="007E4B7A" w:rsidRDefault="007E4B7A" w:rsidP="007E4B7A"/>
    <w:tbl>
      <w:tblPr>
        <w:tblStyle w:val="TableGrid"/>
        <w:tblpPr w:leftFromText="180" w:rightFromText="180" w:vertAnchor="text" w:horzAnchor="margin" w:tblpXSpec="right" w:tblpY="180"/>
        <w:tblW w:w="9895" w:type="dxa"/>
        <w:tblLook w:val="04A0" w:firstRow="1" w:lastRow="0" w:firstColumn="1" w:lastColumn="0" w:noHBand="0" w:noVBand="1"/>
      </w:tblPr>
      <w:tblGrid>
        <w:gridCol w:w="1870"/>
        <w:gridCol w:w="3075"/>
        <w:gridCol w:w="2700"/>
        <w:gridCol w:w="2250"/>
      </w:tblGrid>
      <w:tr w:rsidR="007E4B7A" w:rsidTr="00EC1201">
        <w:tc>
          <w:tcPr>
            <w:tcW w:w="1870" w:type="dxa"/>
          </w:tcPr>
          <w:p w:rsidR="007E4B7A" w:rsidRDefault="007E4B7A" w:rsidP="00EC1201"/>
        </w:tc>
        <w:tc>
          <w:tcPr>
            <w:tcW w:w="3075" w:type="dxa"/>
          </w:tcPr>
          <w:p w:rsidR="007E4B7A" w:rsidRDefault="007E4B7A" w:rsidP="00EC1201">
            <w:r>
              <w:t>AWS</w:t>
            </w:r>
          </w:p>
        </w:tc>
        <w:tc>
          <w:tcPr>
            <w:tcW w:w="2700" w:type="dxa"/>
          </w:tcPr>
          <w:p w:rsidR="007E4B7A" w:rsidRDefault="007E4B7A" w:rsidP="00EC1201">
            <w:r>
              <w:t>Azure</w:t>
            </w:r>
          </w:p>
        </w:tc>
        <w:tc>
          <w:tcPr>
            <w:tcW w:w="2250" w:type="dxa"/>
          </w:tcPr>
          <w:p w:rsidR="007E4B7A" w:rsidRDefault="007E4B7A" w:rsidP="00EC1201">
            <w:r w:rsidRPr="00CC41EE">
              <w:t>Google</w:t>
            </w:r>
          </w:p>
        </w:tc>
      </w:tr>
      <w:tr w:rsidR="007E4B7A" w:rsidTr="00EC1201">
        <w:trPr>
          <w:trHeight w:val="1151"/>
        </w:trPr>
        <w:tc>
          <w:tcPr>
            <w:tcW w:w="1870" w:type="dxa"/>
          </w:tcPr>
          <w:p w:rsidR="007E4B7A" w:rsidRDefault="007E4B7A" w:rsidP="00EC1201">
            <w:r>
              <w:t>Price</w:t>
            </w:r>
          </w:p>
        </w:tc>
        <w:tc>
          <w:tcPr>
            <w:tcW w:w="3075" w:type="dxa"/>
          </w:tcPr>
          <w:p w:rsidR="007E4B7A" w:rsidRDefault="007E4B7A" w:rsidP="00EC1201">
            <w:r>
              <w:t>Medium</w:t>
            </w:r>
          </w:p>
          <w:p w:rsidR="007E4B7A" w:rsidRDefault="007E4B7A" w:rsidP="00EC1201">
            <w:r>
              <w:t xml:space="preserve">(lowest in large Instance) </w:t>
            </w:r>
          </w:p>
        </w:tc>
        <w:tc>
          <w:tcPr>
            <w:tcW w:w="2700" w:type="dxa"/>
          </w:tcPr>
          <w:p w:rsidR="007E4B7A" w:rsidRDefault="007E4B7A" w:rsidP="00EC1201">
            <w:r w:rsidRPr="00910032">
              <w:t>difficult to discern</w:t>
            </w:r>
            <w:r>
              <w:t xml:space="preserve"> but </w:t>
            </w:r>
            <w:r w:rsidRPr="00910032">
              <w:t>licensing s</w:t>
            </w:r>
            <w:r>
              <w:t>ystem also isn’t very clear-cut</w:t>
            </w:r>
          </w:p>
        </w:tc>
        <w:tc>
          <w:tcPr>
            <w:tcW w:w="2250" w:type="dxa"/>
          </w:tcPr>
          <w:p w:rsidR="007E4B7A" w:rsidRDefault="007E4B7A" w:rsidP="00EC1201">
            <w:r>
              <w:t>Low</w:t>
            </w:r>
          </w:p>
          <w:p w:rsidR="007E4B7A" w:rsidRDefault="007E4B7A" w:rsidP="00EC1201">
            <w:r>
              <w:t>(lowest in  Smallest Instance and   lowest in  large Instance )</w:t>
            </w:r>
          </w:p>
        </w:tc>
      </w:tr>
      <w:tr w:rsidR="007E4B7A" w:rsidTr="00EC1201">
        <w:tc>
          <w:tcPr>
            <w:tcW w:w="1870" w:type="dxa"/>
          </w:tcPr>
          <w:p w:rsidR="007E4B7A" w:rsidRDefault="007E4B7A" w:rsidP="00EC1201">
            <w:r w:rsidRPr="004F264D">
              <w:t>Compute</w:t>
            </w:r>
          </w:p>
        </w:tc>
        <w:tc>
          <w:tcPr>
            <w:tcW w:w="3075" w:type="dxa"/>
          </w:tcPr>
          <w:p w:rsidR="007E4B7A" w:rsidRPr="00910032" w:rsidRDefault="007E4B7A" w:rsidP="00EC1201">
            <w:r w:rsidRPr="00910032">
              <w:t>virtual machines that have preconfigured settings</w:t>
            </w:r>
          </w:p>
          <w:p w:rsidR="007E4B7A" w:rsidRDefault="007E4B7A" w:rsidP="00EC1201">
            <w:r>
              <w:t>and user can configure it</w:t>
            </w:r>
          </w:p>
        </w:tc>
        <w:tc>
          <w:tcPr>
            <w:tcW w:w="2700" w:type="dxa"/>
          </w:tcPr>
          <w:p w:rsidR="007E4B7A" w:rsidRDefault="007E4B7A" w:rsidP="00EC1201">
            <w:r w:rsidRPr="005066D8">
              <w:t>Virtual Machines and Virtual Machine scale sets</w:t>
            </w:r>
          </w:p>
        </w:tc>
        <w:tc>
          <w:tcPr>
            <w:tcW w:w="2250" w:type="dxa"/>
          </w:tcPr>
          <w:p w:rsidR="007E4B7A" w:rsidRDefault="007E4B7A" w:rsidP="00EC1201">
            <w:r w:rsidRPr="005066D8">
              <w:t>Google Compute Engine</w:t>
            </w:r>
            <w:r>
              <w:t xml:space="preserve"> preform same function </w:t>
            </w:r>
          </w:p>
        </w:tc>
      </w:tr>
      <w:tr w:rsidR="007E4B7A" w:rsidTr="00EC1201">
        <w:trPr>
          <w:trHeight w:val="350"/>
        </w:trPr>
        <w:tc>
          <w:tcPr>
            <w:tcW w:w="1870" w:type="dxa"/>
          </w:tcPr>
          <w:p w:rsidR="007E4B7A" w:rsidRDefault="007E4B7A" w:rsidP="00EC1201">
            <w:r>
              <w:t xml:space="preserve">Security </w:t>
            </w:r>
          </w:p>
        </w:tc>
        <w:tc>
          <w:tcPr>
            <w:tcW w:w="3075" w:type="dxa"/>
          </w:tcPr>
          <w:p w:rsidR="007E4B7A" w:rsidRDefault="007E4B7A" w:rsidP="00EC1201">
            <w:r>
              <w:t>Best</w:t>
            </w:r>
          </w:p>
        </w:tc>
        <w:tc>
          <w:tcPr>
            <w:tcW w:w="2700" w:type="dxa"/>
          </w:tcPr>
          <w:p w:rsidR="007E4B7A" w:rsidRDefault="007E4B7A" w:rsidP="00EC1201">
            <w:r>
              <w:t>High</w:t>
            </w:r>
          </w:p>
        </w:tc>
        <w:tc>
          <w:tcPr>
            <w:tcW w:w="2250" w:type="dxa"/>
          </w:tcPr>
          <w:p w:rsidR="007E4B7A" w:rsidRDefault="007E4B7A" w:rsidP="00EC1201">
            <w:r>
              <w:t>High</w:t>
            </w:r>
          </w:p>
        </w:tc>
      </w:tr>
      <w:tr w:rsidR="007E4B7A" w:rsidTr="00EC1201">
        <w:tc>
          <w:tcPr>
            <w:tcW w:w="1870" w:type="dxa"/>
          </w:tcPr>
          <w:p w:rsidR="007E4B7A" w:rsidRDefault="007E4B7A" w:rsidP="00EC1201">
            <w:r>
              <w:t>Storage</w:t>
            </w:r>
          </w:p>
        </w:tc>
        <w:tc>
          <w:tcPr>
            <w:tcW w:w="3075" w:type="dxa"/>
          </w:tcPr>
          <w:p w:rsidR="007E4B7A" w:rsidRDefault="007E4B7A" w:rsidP="00EC1201">
            <w:r>
              <w:t>Best</w:t>
            </w:r>
          </w:p>
        </w:tc>
        <w:tc>
          <w:tcPr>
            <w:tcW w:w="2700" w:type="dxa"/>
          </w:tcPr>
          <w:p w:rsidR="007E4B7A" w:rsidRDefault="007E4B7A" w:rsidP="00EC1201">
            <w:r>
              <w:t>High</w:t>
            </w:r>
          </w:p>
        </w:tc>
        <w:tc>
          <w:tcPr>
            <w:tcW w:w="2250" w:type="dxa"/>
          </w:tcPr>
          <w:p w:rsidR="007E4B7A" w:rsidRDefault="007E4B7A" w:rsidP="00EC1201">
            <w:r>
              <w:t>High</w:t>
            </w:r>
          </w:p>
        </w:tc>
      </w:tr>
      <w:tr w:rsidR="007E4B7A" w:rsidTr="00EC1201">
        <w:tc>
          <w:tcPr>
            <w:tcW w:w="1870" w:type="dxa"/>
          </w:tcPr>
          <w:p w:rsidR="007E4B7A" w:rsidRDefault="007E4B7A" w:rsidP="00EC1201">
            <w:r>
              <w:t>Support</w:t>
            </w:r>
          </w:p>
        </w:tc>
        <w:tc>
          <w:tcPr>
            <w:tcW w:w="3075" w:type="dxa"/>
          </w:tcPr>
          <w:p w:rsidR="007E4B7A" w:rsidRDefault="007E4B7A" w:rsidP="00EC1201">
            <w:r>
              <w:t>High</w:t>
            </w:r>
          </w:p>
        </w:tc>
        <w:tc>
          <w:tcPr>
            <w:tcW w:w="2700" w:type="dxa"/>
          </w:tcPr>
          <w:p w:rsidR="007E4B7A" w:rsidRDefault="007E4B7A" w:rsidP="00EC1201">
            <w:r>
              <w:t>Low</w:t>
            </w:r>
          </w:p>
        </w:tc>
        <w:tc>
          <w:tcPr>
            <w:tcW w:w="2250" w:type="dxa"/>
          </w:tcPr>
          <w:p w:rsidR="007E4B7A" w:rsidRDefault="007E4B7A" w:rsidP="00EC1201">
            <w:r>
              <w:t>High</w:t>
            </w:r>
          </w:p>
        </w:tc>
      </w:tr>
      <w:tr w:rsidR="007E4B7A" w:rsidTr="00EC1201">
        <w:tc>
          <w:tcPr>
            <w:tcW w:w="1870" w:type="dxa"/>
          </w:tcPr>
          <w:p w:rsidR="007E4B7A" w:rsidRDefault="007E4B7A" w:rsidP="00EC1201">
            <w:r>
              <w:t>Learning curve</w:t>
            </w:r>
          </w:p>
        </w:tc>
        <w:tc>
          <w:tcPr>
            <w:tcW w:w="3075" w:type="dxa"/>
          </w:tcPr>
          <w:p w:rsidR="007E4B7A" w:rsidRDefault="007E4B7A" w:rsidP="00EC1201">
            <w:r>
              <w:t>High</w:t>
            </w:r>
          </w:p>
        </w:tc>
        <w:tc>
          <w:tcPr>
            <w:tcW w:w="2700" w:type="dxa"/>
          </w:tcPr>
          <w:p w:rsidR="007E4B7A" w:rsidRDefault="007E4B7A" w:rsidP="00EC1201">
            <w:pPr>
              <w:tabs>
                <w:tab w:val="left" w:pos="996"/>
              </w:tabs>
            </w:pPr>
            <w:r>
              <w:t>High</w:t>
            </w:r>
          </w:p>
        </w:tc>
        <w:tc>
          <w:tcPr>
            <w:tcW w:w="2250" w:type="dxa"/>
          </w:tcPr>
          <w:p w:rsidR="007E4B7A" w:rsidRDefault="007E4B7A" w:rsidP="00EC1201">
            <w:r>
              <w:t>low</w:t>
            </w:r>
          </w:p>
        </w:tc>
      </w:tr>
    </w:tbl>
    <w:p w:rsidR="007E4B7A" w:rsidRDefault="007E4B7A" w:rsidP="007E4B7A"/>
    <w:p w:rsidR="007E4B7A" w:rsidRDefault="007E4B7A" w:rsidP="007E4B7A"/>
    <w:p w:rsidR="007E4B7A" w:rsidRDefault="007E4B7A" w:rsidP="007E4B7A"/>
    <w:p w:rsidR="007E4B7A" w:rsidRDefault="007E4B7A" w:rsidP="007E4B7A"/>
    <w:p w:rsidR="007E4B7A" w:rsidRDefault="007E4B7A" w:rsidP="007E4B7A"/>
    <w:p w:rsidR="007E4B7A" w:rsidRDefault="007E4B7A" w:rsidP="007E4B7A"/>
    <w:p w:rsidR="007E4B7A" w:rsidRDefault="007E4B7A" w:rsidP="007E4B7A"/>
    <w:p w:rsidR="007E4B7A" w:rsidRDefault="007E4B7A" w:rsidP="007E4B7A"/>
    <w:p w:rsidR="007E4B7A" w:rsidRDefault="007E4B7A" w:rsidP="007E4B7A"/>
    <w:p w:rsidR="007E4B7A" w:rsidRDefault="007E4B7A" w:rsidP="007E4B7A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9F170E" w:rsidRDefault="009F170E"/>
    <w:p w:rsidR="00460C2A" w:rsidRDefault="00460C2A"/>
    <w:p w:rsidR="00460C2A" w:rsidRDefault="00460C2A"/>
    <w:p w:rsidR="00460C2A" w:rsidRDefault="00460C2A"/>
    <w:p w:rsidR="00F73369" w:rsidRDefault="00F73369"/>
    <w:p w:rsidR="00460C2A" w:rsidRDefault="00460C2A">
      <w:bookmarkStart w:id="0" w:name="_GoBack"/>
      <w:bookmarkEnd w:id="0"/>
    </w:p>
    <w:sectPr w:rsidR="0046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E79" w:rsidRDefault="00E52E79" w:rsidP="000810A8">
      <w:pPr>
        <w:spacing w:after="0" w:line="240" w:lineRule="auto"/>
      </w:pPr>
      <w:r>
        <w:separator/>
      </w:r>
    </w:p>
  </w:endnote>
  <w:endnote w:type="continuationSeparator" w:id="0">
    <w:p w:rsidR="00E52E79" w:rsidRDefault="00E52E79" w:rsidP="0008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E79" w:rsidRDefault="00E52E79" w:rsidP="000810A8">
      <w:pPr>
        <w:spacing w:after="0" w:line="240" w:lineRule="auto"/>
      </w:pPr>
      <w:r>
        <w:separator/>
      </w:r>
    </w:p>
  </w:footnote>
  <w:footnote w:type="continuationSeparator" w:id="0">
    <w:p w:rsidR="00E52E79" w:rsidRDefault="00E52E79" w:rsidP="0008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2B1"/>
    <w:multiLevelType w:val="hybridMultilevel"/>
    <w:tmpl w:val="BD529B54"/>
    <w:lvl w:ilvl="0" w:tplc="1ABE44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60FA1"/>
    <w:multiLevelType w:val="multilevel"/>
    <w:tmpl w:val="A88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CC"/>
    <w:rsid w:val="000810A8"/>
    <w:rsid w:val="00460C2A"/>
    <w:rsid w:val="004F264D"/>
    <w:rsid w:val="005066D8"/>
    <w:rsid w:val="00652969"/>
    <w:rsid w:val="007E4B7A"/>
    <w:rsid w:val="008C4A2A"/>
    <w:rsid w:val="00910032"/>
    <w:rsid w:val="009879CC"/>
    <w:rsid w:val="009F170E"/>
    <w:rsid w:val="00A732EF"/>
    <w:rsid w:val="00CC41EE"/>
    <w:rsid w:val="00E4165D"/>
    <w:rsid w:val="00E52E79"/>
    <w:rsid w:val="00F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9B7D-5144-49FC-AD83-BE4CCD8D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6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C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0C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0C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0A8"/>
  </w:style>
  <w:style w:type="paragraph" w:styleId="Footer">
    <w:name w:val="footer"/>
    <w:basedOn w:val="Normal"/>
    <w:link w:val="FooterChar"/>
    <w:uiPriority w:val="99"/>
    <w:unhideWhenUsed/>
    <w:rsid w:val="0008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3</cp:revision>
  <dcterms:created xsi:type="dcterms:W3CDTF">2022-01-31T20:06:00Z</dcterms:created>
  <dcterms:modified xsi:type="dcterms:W3CDTF">2022-01-31T22:31:00Z</dcterms:modified>
</cp:coreProperties>
</file>