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aa58acd02810bd80522e6a572052e0bf608b4f"/>
    <w:p>
      <w:pPr>
        <w:pStyle w:val="Heading1"/>
      </w:pPr>
      <w:r>
        <w:t xml:space="preserve">Muster-Betriebsvereinbarung zur Einführung und Nutzung der App [App-Name] (LADEKLAR)</w:t>
      </w:r>
    </w:p>
    <w:p>
      <w:pPr>
        <w:pStyle w:val="FirstParagraph"/>
      </w:pPr>
      <w:r>
        <w:rPr>
          <w:bCs/>
          <w:b/>
        </w:rPr>
        <w:t xml:space="preserve">nach § 87 Abs. 1 Nr. 6 BetrVG und Art. 88 DSGVO</w:t>
      </w:r>
    </w:p>
    <w:p>
      <w:pPr>
        <w:pStyle w:val="BlockText"/>
      </w:pPr>
      <w:r>
        <w:rPr>
          <w:bCs/>
          <w:b/>
        </w:rPr>
        <w:t xml:space="preserve">Hinweis – Muster, keine Rechtsberatung.</w:t>
      </w:r>
      <w:r>
        <w:t xml:space="preserve"> </w:t>
      </w:r>
      <w:r>
        <w:t xml:space="preserve">Diese Vorlage stellt der Anbieter von LADEKLAR seinen Kunden zur Verfügung. Sie ist eine Verhandlungsgrundlage zwischen Arbeitgeber und Betriebsrat, ersetzt keine Rechtsberatung und ist vor Verwendung anwaltlich prüfen zu lassen. Platzhalter in [eckigen Klammern] ausfüllen, Alternativen auswählen. Mit „Prüfhinweis“ gekennzeichnete Anmerkungen vor Unterzeichnung entfernen. Recherchestand: 16.10.2026.</w:t>
      </w:r>
    </w:p>
    <w:p>
      <w:pPr>
        <w:pStyle w:val="FirstParagraph"/>
      </w:pPr>
      <w:r>
        <w:t xml:space="preserve">zwischen</w:t>
      </w:r>
    </w:p>
    <w:p>
      <w:pPr>
        <w:pStyle w:val="BodyText"/>
      </w:pPr>
      <w:r>
        <w:rPr>
          <w:bCs/>
          <w:b/>
        </w:rPr>
        <w:t xml:space="preserve">[Firma des Kunden]</w:t>
      </w:r>
      <w:r>
        <w:t xml:space="preserve">, [Anschrift], vertreten durch [Vertretungsberechtigte Person des Kunden] – „Arbeitgeber“ –</w:t>
      </w:r>
    </w:p>
    <w:p>
      <w:pPr>
        <w:pStyle w:val="BodyText"/>
      </w:pPr>
      <w:r>
        <w:t xml:space="preserve">und</w:t>
      </w:r>
    </w:p>
    <w:p>
      <w:pPr>
        <w:pStyle w:val="BodyText"/>
      </w:pPr>
      <w:r>
        <w:rPr>
          <w:bCs/>
          <w:b/>
        </w:rPr>
        <w:t xml:space="preserve">dem Betriebsrat des Betriebs [Betrieb/Standort]</w:t>
      </w:r>
      <w:r>
        <w:t xml:space="preserve">, vertreten durch die/den Vorsitzende(n) [Name] – „Betriebsrat“ –</w:t>
      </w:r>
    </w:p>
    <w:p>
      <w:r>
        <w:pict>
          <v:rect style="width:0;height:1.5pt" o:hralign="center" o:hrstd="t" o:hr="t"/>
        </w:pict>
      </w:r>
    </w:p>
    <w:bookmarkStart w:id="20" w:name="präambel"/>
    <w:p>
      <w:pPr>
        <w:pStyle w:val="Heading2"/>
      </w:pPr>
      <w:r>
        <w:t xml:space="preserve">Präambel</w:t>
      </w:r>
    </w:p>
    <w:p>
      <w:pPr>
        <w:pStyle w:val="FirstParagraph"/>
      </w:pPr>
      <w:r>
        <w:t xml:space="preserve">Der Arbeitgeber führt die App [App-Name] auf Grundlage der Plattform LADEKLAR ein. Ziel ist, Telefonate zwischen Fahrern und Disposition zu reduzieren, Lieferungen verlässlich zu dokumentieren, Lieferscheine schneller ins Büro zu bringen und Wartezeiten an Rampen nachweisen zu können. Die Parteien sind sich einig, dass die App kein Instrument zur Dauerüberwachung oder zur Leistungs- und Verhaltenskontrolle der Beschäftigten ist. Die Persönlichkeitsrechte der Beschäftigten (§ 75 Abs. 2 BetrVG) und der Datenschutz haben Vorrang.</w:t>
      </w:r>
    </w:p>
    <w:bookmarkEnd w:id="20"/>
    <w:bookmarkStart w:id="21" w:name="X247018994aa2797fe39b81202ad1b21f54abd5a"/>
    <w:p>
      <w:pPr>
        <w:pStyle w:val="Heading2"/>
      </w:pPr>
      <w:r>
        <w:t xml:space="preserve">§ 1 Geltungsbereich</w:t>
      </w:r>
    </w:p>
    <w:p>
      <w:pPr>
        <w:pStyle w:val="FirstParagraph"/>
      </w:pPr>
      <w:r>
        <w:t xml:space="preserve">(1)</w:t>
      </w:r>
      <w:r>
        <w:t xml:space="preserve"> </w:t>
      </w:r>
      <w:r>
        <w:rPr>
          <w:bCs/>
          <w:b/>
        </w:rPr>
        <w:t xml:space="preserve">Räumlich:</w:t>
      </w:r>
      <w:r>
        <w:t xml:space="preserve"> </w:t>
      </w:r>
      <w:r>
        <w:t xml:space="preserve">Betrieb [Betrieb/Standort] einschließlich aller Fahrzeuge, die von dort eingesetzt werden.</w:t>
      </w:r>
    </w:p>
    <w:p>
      <w:pPr>
        <w:pStyle w:val="BodyText"/>
      </w:pPr>
      <w:r>
        <w:t xml:space="preserve">(2)</w:t>
      </w:r>
      <w:r>
        <w:t xml:space="preserve"> </w:t>
      </w:r>
      <w:r>
        <w:rPr>
          <w:bCs/>
          <w:b/>
        </w:rPr>
        <w:t xml:space="preserve">Persönlich:</w:t>
      </w:r>
      <w:r>
        <w:t xml:space="preserve"> </w:t>
      </w:r>
      <w:r>
        <w:t xml:space="preserve">alle Arbeitnehmer im Sinne des § 5 Abs. 1 BetrVG, die die App als Fahrer oder Disponent nutzen, einschließlich Leiharbeitnehmern, soweit dem Entleiher Mitbestimmungsrechte zustehen. Ausgenommen sind leitende Angestellte (§ 5 Abs. 3 BetrVG).</w:t>
      </w:r>
    </w:p>
    <w:p>
      <w:pPr>
        <w:pStyle w:val="BodyText"/>
      </w:pPr>
      <w:r>
        <w:t xml:space="preserve">(3)</w:t>
      </w:r>
      <w:r>
        <w:t xml:space="preserve"> </w:t>
      </w:r>
      <w:r>
        <w:rPr>
          <w:bCs/>
          <w:b/>
        </w:rPr>
        <w:t xml:space="preserve">Sachlich:</w:t>
      </w:r>
      <w:r>
        <w:t xml:space="preserve"> </w:t>
      </w:r>
      <w:r>
        <w:t xml:space="preserve">die App in allen Bereitstellungsformen (Web-App, installierbare App, Store-App), die Dispositionsoberfläche, die Berichte, die Schnittstellen und der Datenexport.</w:t>
      </w:r>
    </w:p>
    <w:p>
      <w:pPr>
        <w:pStyle w:val="BodyText"/>
      </w:pPr>
      <w:r>
        <w:t xml:space="preserve">(4) Fahrer von Subunternehmern fallen nicht unter diese Vereinbarung. Der Arbeitgeber sichert zu, deren Daten nicht in einer Weise zu verarbeiten, die Regelungen dieser Vereinbarung umgeht.</w:t>
      </w:r>
    </w:p>
    <w:bookmarkEnd w:id="21"/>
    <w:bookmarkStart w:id="22" w:name="Xf89e06f9431939414c4c1566663f3959d8c55dd"/>
    <w:p>
      <w:pPr>
        <w:pStyle w:val="Heading2"/>
      </w:pPr>
      <w:r>
        <w:t xml:space="preserve">§ 2 Zweck</w:t>
      </w:r>
    </w:p>
    <w:p>
      <w:pPr>
        <w:pStyle w:val="FirstParagraph"/>
      </w:pPr>
      <w:r>
        <w:t xml:space="preserve">(1) Die App wird ausschließlich zu folgenden Zwecken eingesetzt:</w:t>
      </w:r>
    </w:p>
    <w:p>
      <w:pPr>
        <w:numPr>
          <w:ilvl w:val="0"/>
          <w:numId w:val="1001"/>
        </w:numPr>
        <w:pStyle w:val="Compact"/>
      </w:pPr>
      <w:r>
        <w:t xml:space="preserve">Zuweisung, Planung und Durchführung von Lieferungen;</w:t>
      </w:r>
    </w:p>
    <w:p>
      <w:pPr>
        <w:numPr>
          <w:ilvl w:val="0"/>
          <w:numId w:val="1001"/>
        </w:numPr>
        <w:pStyle w:val="Compact"/>
      </w:pPr>
      <w:r>
        <w:t xml:space="preserve">Dokumentation des Fortschritts (Statusmeldungen) und Information der Disposition;</w:t>
      </w:r>
    </w:p>
    <w:p>
      <w:pPr>
        <w:numPr>
          <w:ilvl w:val="0"/>
          <w:numId w:val="1001"/>
        </w:numPr>
        <w:pStyle w:val="Compact"/>
      </w:pPr>
      <w:r>
        <w:t xml:space="preserve">Nachweis der Übernahme und Ablieferung gegenüber Auftraggebern (Abliefernachweis);</w:t>
      </w:r>
    </w:p>
    <w:p>
      <w:pPr>
        <w:numPr>
          <w:ilvl w:val="0"/>
          <w:numId w:val="1001"/>
        </w:numPr>
        <w:pStyle w:val="Compact"/>
      </w:pPr>
      <w:r>
        <w:t xml:space="preserve">Abrechnung mit Auftraggebern einschließlich Standgeld;</w:t>
      </w:r>
    </w:p>
    <w:p>
      <w:pPr>
        <w:numPr>
          <w:ilvl w:val="0"/>
          <w:numId w:val="1001"/>
        </w:numPr>
        <w:pStyle w:val="Compact"/>
      </w:pPr>
      <w:r>
        <w:t xml:space="preserve">Klärung von Störungen und Schäden;</w:t>
      </w:r>
    </w:p>
    <w:p>
      <w:pPr>
        <w:numPr>
          <w:ilvl w:val="0"/>
          <w:numId w:val="1001"/>
        </w:numPr>
        <w:pStyle w:val="Compact"/>
      </w:pPr>
      <w:r>
        <w:t xml:space="preserve">Fahrzeugverwaltung (Belegung, Prüffristen);</w:t>
      </w:r>
    </w:p>
    <w:p>
      <w:pPr>
        <w:numPr>
          <w:ilvl w:val="0"/>
          <w:numId w:val="1001"/>
        </w:numPr>
        <w:pStyle w:val="Compact"/>
      </w:pPr>
      <w:r>
        <w:t xml:space="preserve">Geltendmachung und Abwehr von Ansprüchen aus Transportverträgen.</w:t>
      </w:r>
    </w:p>
    <w:p>
      <w:pPr>
        <w:pStyle w:val="FirstParagraph"/>
      </w:pPr>
      <w:r>
        <w:t xml:space="preserve">(2) Jede Verwendung zu anderen Zwecken ist unzulässig, soweit sie nicht in dieser Vereinbarung ausdrücklich zugelassen ist.</w:t>
      </w:r>
    </w:p>
    <w:bookmarkEnd w:id="22"/>
    <w:bookmarkStart w:id="23" w:name="Xa6e8ec8815ed080f55b9766730cf6344e93d2b2"/>
    <w:p>
      <w:pPr>
        <w:pStyle w:val="Heading2"/>
      </w:pPr>
      <w:r>
        <w:t xml:space="preserve">§ 3 Systembeschreibung und Daten</w:t>
      </w:r>
    </w:p>
    <w:p>
      <w:pPr>
        <w:pStyle w:val="FirstParagraph"/>
      </w:pPr>
      <w:r>
        <w:t xml:space="preserve">(1) Die Funktionen und die verarbeiteten Datenarten ergeben sich aus</w:t>
      </w:r>
      <w:r>
        <w:t xml:space="preserve"> </w:t>
      </w:r>
      <w:r>
        <w:rPr>
          <w:bCs/>
          <w:b/>
        </w:rPr>
        <w:t xml:space="preserve">Anlage 1</w:t>
      </w:r>
      <w:r>
        <w:t xml:space="preserve"> </w:t>
      </w:r>
      <w:r>
        <w:t xml:space="preserve">(Systembeschreibung, Funktionen, Datenkatalog). Die Anlage enthält auch die Einstellungen des Mandanten, die der Arbeitgeber gewählt hat.</w:t>
      </w:r>
    </w:p>
    <w:p>
      <w:pPr>
        <w:pStyle w:val="BodyText"/>
      </w:pPr>
      <w:r>
        <w:t xml:space="preserve">(2) Verarbeitet werden insbesondere: Stammdaten (Name, Handynummer, Sprache, Führerscheinklasse), gewähltes Fahrzeug, Statusmeldungen mit Zeitpunkt, Ankunftszeiten [falls eingeschaltet], Fotos und Dokumente, Notizen und Problemmeldungen, Empfängerangaben und Unterschriften, Standort beim Statuswechsel [falls eingeschaltet], technische Daten (Anmeldungen, Protokoll).</w:t>
      </w:r>
    </w:p>
    <w:p>
      <w:pPr>
        <w:pStyle w:val="BodyText"/>
      </w:pPr>
      <w:r>
        <w:t xml:space="preserve">(3) Die Daten werden beim Anbieter [Firma] als Auftragsverarbeiter in Rechenzentren in Deutschland gespeichert. Der Anbieter hat keine Einsicht in die Auftragsdaten. Support-Zugriffe sind nur nach Freigabe durch einen Admin des Arbeitgebers möglich, zeitlich begrenzt und protokolliert. Der Betriebsrat erhält den Auftragsverarbeitungsvertrag und die technischen und organisatorischen Maßnahmen zur Einsicht.</w:t>
      </w:r>
    </w:p>
    <w:bookmarkEnd w:id="23"/>
    <w:bookmarkStart w:id="24" w:name="Xcfdfa09052a1a72f9ed74518e065c80e4a6bcf2"/>
    <w:p>
      <w:pPr>
        <w:pStyle w:val="Heading2"/>
      </w:pPr>
      <w:r>
        <w:t xml:space="preserve">§ 4 Standortdaten, Verbot der Dauerortung</w:t>
      </w:r>
    </w:p>
    <w:p>
      <w:pPr>
        <w:pStyle w:val="FirstParagraph"/>
      </w:pPr>
      <w:r>
        <w:t xml:space="preserve">(1)</w:t>
      </w:r>
      <w:r>
        <w:t xml:space="preserve"> </w:t>
      </w:r>
      <w:r>
        <w:rPr>
          <w:bCs/>
          <w:b/>
        </w:rPr>
        <w:t xml:space="preserve">Verbot der Dauerortung.</w:t>
      </w:r>
      <w:r>
        <w:t xml:space="preserve"> </w:t>
      </w:r>
      <w:r>
        <w:t xml:space="preserve">Eine fortlaufende Ortung von Beschäftigten oder Fahrzeugen über die App ist unzulässig. Bewegungsprofile werden weder erstellt noch aus vorhandenen Daten zusammengesetzt.</w:t>
      </w:r>
    </w:p>
    <w:p>
      <w:pPr>
        <w:pStyle w:val="BodyText"/>
      </w:pPr>
      <w:r>
        <w:t xml:space="preserve">(2)</w:t>
      </w:r>
      <w:r>
        <w:t xml:space="preserve"> </w:t>
      </w:r>
      <w:r>
        <w:rPr>
          <w:bCs/>
          <w:b/>
        </w:rPr>
        <w:t xml:space="preserve">Standort beim Statuswechsel.</w:t>
      </w:r>
      <w:r>
        <w:t xml:space="preserve"> </w:t>
      </w:r>
      <w:r>
        <w:t xml:space="preserve">[Alternative A: Die Funktion wird nicht eingeschaltet.] [Alternative B: Die Funktion wird eingeschaltet. Der Standort wird nur im Moment eines Statuswechsels abgefragt, den der Fahrer selbst auslöst, und nur, wenn der Fahrer die Standortfreigabe im Gerät erteilt hat. Die Freigabe ist freiwillig. Die App funktioniert ohne Standort vollständig. Aus der Verweigerung oder dem Widerruf der Freigabe dürfen dem Beschäftigten keine Nachteile entstehen.]</w:t>
      </w:r>
    </w:p>
    <w:p>
      <w:pPr>
        <w:pStyle w:val="BodyText"/>
      </w:pPr>
      <w:r>
        <w:t xml:space="preserve">(3)</w:t>
      </w:r>
      <w:r>
        <w:t xml:space="preserve"> </w:t>
      </w:r>
      <w:r>
        <w:rPr>
          <w:bCs/>
          <w:b/>
        </w:rPr>
        <w:t xml:space="preserve">Verwendung.</w:t>
      </w:r>
      <w:r>
        <w:t xml:space="preserve"> </w:t>
      </w:r>
      <w:r>
        <w:t xml:space="preserve">Standortangaben dürfen nur verwendet werden, um im Einzelfall den Ort der Übernahme oder Ablieferung nachzuweisen, eine Standzeit zu belegen oder eine Reklamation eines Auftraggebers zu klären. Sie dürfen nicht verwendet werden, um Fahrtrouten, Pausen, Fahrweise oder Geschwindigkeit zu kontrollieren.</w:t>
      </w:r>
    </w:p>
    <w:p>
      <w:pPr>
        <w:pStyle w:val="BodyText"/>
      </w:pPr>
      <w:r>
        <w:t xml:space="preserve">(4)</w:t>
      </w:r>
      <w:r>
        <w:t xml:space="preserve"> </w:t>
      </w:r>
      <w:r>
        <w:rPr>
          <w:bCs/>
          <w:b/>
        </w:rPr>
        <w:t xml:space="preserve">Fahrsperre.</w:t>
      </w:r>
      <w:r>
        <w:t xml:space="preserve"> </w:t>
      </w:r>
      <w:r>
        <w:t xml:space="preserve">[Die Fahrsperre wird eingeschaltet.] Sie dient dem Arbeits- und Gesundheitsschutz (§ 23 Abs. 1a StVO). Die dafür ausgewerteten Positionen werden nur im Gerät verarbeitet, nicht gespeichert und nicht übertragen. Eine Auswertung, wann und wie oft die Fahrsperre ausgelöst hat, findet nicht statt.</w:t>
      </w:r>
    </w:p>
    <w:p>
      <w:pPr>
        <w:pStyle w:val="BodyText"/>
      </w:pPr>
      <w:r>
        <w:t xml:space="preserve">(5)</w:t>
      </w:r>
      <w:r>
        <w:t xml:space="preserve"> </w:t>
      </w:r>
      <w:r>
        <w:rPr>
          <w:bCs/>
          <w:b/>
        </w:rPr>
        <w:t xml:space="preserve">Fotos.</w:t>
      </w:r>
      <w:r>
        <w:t xml:space="preserve"> </w:t>
      </w:r>
      <w:r>
        <w:t xml:space="preserve">Die App entfernt beim Verkleinern von Fotos die Standort-Metadaten.</w:t>
      </w:r>
    </w:p>
    <w:bookmarkEnd w:id="24"/>
    <w:bookmarkStart w:id="25" w:name="Xbd2f4d0e8ac257edadb2c4386d38a06715be740"/>
    <w:p>
      <w:pPr>
        <w:pStyle w:val="Heading2"/>
      </w:pPr>
      <w:r>
        <w:t xml:space="preserve">§ 5 Keine Leistungs- und Verhaltenskontrolle</w:t>
      </w:r>
    </w:p>
    <w:p>
      <w:pPr>
        <w:pStyle w:val="FirstParagraph"/>
      </w:pPr>
      <w:r>
        <w:t xml:space="preserve">(1) Die Daten aus der App werden nicht zur Leistungs- oder Verhaltenskontrolle einzelner Beschäftigter verwendet. Insbesondere sind unzulässig:</w:t>
      </w:r>
    </w:p>
    <w:p>
      <w:pPr>
        <w:numPr>
          <w:ilvl w:val="0"/>
          <w:numId w:val="1002"/>
        </w:numPr>
        <w:pStyle w:val="Compact"/>
      </w:pPr>
      <w:r>
        <w:t xml:space="preserve">Ranglisten, Vergleiche oder Bewertungen von Beschäftigten (z. B. nach Zahl der Lieferungen, Pünktlichkeit, Reaktionszeit auf Zuweisungen);</w:t>
      </w:r>
    </w:p>
    <w:p>
      <w:pPr>
        <w:numPr>
          <w:ilvl w:val="0"/>
          <w:numId w:val="1002"/>
        </w:numPr>
        <w:pStyle w:val="Compact"/>
      </w:pPr>
      <w:r>
        <w:t xml:space="preserve">Auswertungen der Zeiten zwischen Statusmeldungen zur Bewertung von Arbeitstempo oder Pausen;</w:t>
      </w:r>
    </w:p>
    <w:p>
      <w:pPr>
        <w:numPr>
          <w:ilvl w:val="0"/>
          <w:numId w:val="1002"/>
        </w:numPr>
        <w:pStyle w:val="Compact"/>
      </w:pPr>
      <w:r>
        <w:t xml:space="preserve">die Verwendung als Arbeitszeitnachweis oder zur Entgeltberechnung, soweit nicht in einer gesonderten Vereinbarung geregelt;</w:t>
      </w:r>
    </w:p>
    <w:p>
      <w:pPr>
        <w:numPr>
          <w:ilvl w:val="0"/>
          <w:numId w:val="1002"/>
        </w:numPr>
        <w:pStyle w:val="Compact"/>
      </w:pPr>
      <w:r>
        <w:t xml:space="preserve">Auswertungen über Rücknahmen („Rückgängig“), Rückgaben von Touren oder Problemmeldungen zur Beurteilung einzelner Beschäftigter.</w:t>
      </w:r>
    </w:p>
    <w:p>
      <w:pPr>
        <w:pStyle w:val="FirstParagraph"/>
      </w:pPr>
      <w:r>
        <w:t xml:space="preserve">(2)</w:t>
      </w:r>
      <w:r>
        <w:t xml:space="preserve"> </w:t>
      </w:r>
      <w:r>
        <w:rPr>
          <w:bCs/>
          <w:b/>
        </w:rPr>
        <w:t xml:space="preserve">Zulässige Ausnahmen.</w:t>
      </w:r>
      <w:r>
        <w:t xml:space="preserve"> </w:t>
      </w:r>
      <w:r>
        <w:t xml:space="preserve">Personenbezogene Auswertungen sind nur zulässig</w:t>
      </w:r>
    </w:p>
    <w:p>
      <w:pPr>
        <w:numPr>
          <w:ilvl w:val="0"/>
          <w:numId w:val="1003"/>
        </w:numPr>
        <w:pStyle w:val="Compact"/>
      </w:pPr>
      <w:r>
        <w:t xml:space="preserve">zur Klärung einer konkreten Reklamation, eines Schadens oder einer Streitigkeit mit einem Auftraggeber zu einer bestimmten Lieferung;</w:t>
      </w:r>
    </w:p>
    <w:p>
      <w:pPr>
        <w:numPr>
          <w:ilvl w:val="0"/>
          <w:numId w:val="1003"/>
        </w:numPr>
        <w:pStyle w:val="Compact"/>
      </w:pPr>
      <w:r>
        <w:t xml:space="preserve">bei einem durch Tatsachen begründeten, dokumentierten Verdacht einer Straftat oder einer schwerwiegenden Pflichtverletzung, und nur nach vorheriger Information des Betriebsrats mit Angabe des Anlasses; der Betriebsrat kann an der Auswertung teilnehmen;</w:t>
      </w:r>
    </w:p>
    <w:p>
      <w:pPr>
        <w:numPr>
          <w:ilvl w:val="0"/>
          <w:numId w:val="1003"/>
        </w:numPr>
        <w:pStyle w:val="Compact"/>
      </w:pPr>
      <w:r>
        <w:t xml:space="preserve">auf Wunsch des betroffenen Beschäftigten (z. B. zum Nachweis eigener Wartezeiten).</w:t>
      </w:r>
    </w:p>
    <w:p>
      <w:pPr>
        <w:pStyle w:val="FirstParagraph"/>
      </w:pPr>
      <w:r>
        <w:t xml:space="preserve">(3) Berichte über Lieferungen je Fahrer und Monat, Pünktlichkeit und Standzeiten werden [nur in anonymisierter bzw. aggregierter Form für die Tourenplanung und für Gespräche mit Auftraggebern genutzt / nicht genutzt]. [Die Berichtsfunktion „je Fahrer“ wird für Disponenten gesperrt.]</w:t>
      </w:r>
    </w:p>
    <w:p>
      <w:pPr>
        <w:pStyle w:val="BodyText"/>
      </w:pPr>
      <w:r>
        <w:t xml:space="preserve">(4)</w:t>
      </w:r>
      <w:r>
        <w:t xml:space="preserve"> </w:t>
      </w:r>
      <w:r>
        <w:rPr>
          <w:bCs/>
          <w:b/>
        </w:rPr>
        <w:t xml:space="preserve">Verwertungsverbot.</w:t>
      </w:r>
      <w:r>
        <w:t xml:space="preserve"> </w:t>
      </w:r>
      <w:r>
        <w:t xml:space="preserve">Erkenntnisse, die unter Verstoß gegen diese Vereinbarung gewonnen wurden, dürfen nicht für personelle Maßnahmen verwendet werden.</w:t>
      </w:r>
    </w:p>
    <w:p>
      <w:pPr>
        <w:pStyle w:val="BlockText"/>
      </w:pPr>
      <w:r>
        <w:rPr>
          <w:bCs/>
          <w:b/>
        </w:rPr>
        <w:t xml:space="preserve">Prüfhinweis:</w:t>
      </w:r>
      <w:r>
        <w:t xml:space="preserve"> </w:t>
      </w:r>
      <w:r>
        <w:t xml:space="preserve">Für die Mitbestimmung nach § 87 Abs. 1 Nr. 6 BetrVG genügt die objektive Eignung der technischen Einrichtung zur Überwachung; auf die Absicht des Arbeitgebers kommt es nicht an (st. Rspr. des BAG, z. B. BAG v. 06.12.1983 – 1 ABR 43/81; BAG v. 27.01.2004 – 1 ABR 7/03). Ein prozessuales Verwertungsverbot kann die Betriebsvereinbarung nur eingeschränkt anordnen; die Reichweite (Abs. 4) ist zu prüfen.</w:t>
      </w:r>
    </w:p>
    <w:bookmarkEnd w:id="25"/>
    <w:bookmarkStart w:id="26" w:name="Xfd4214a1794f244f31be3d6c8baa4778496d331"/>
    <w:p>
      <w:pPr>
        <w:pStyle w:val="Heading2"/>
      </w:pPr>
      <w:r>
        <w:t xml:space="preserve">§ 6 Zugriffsrechte</w:t>
      </w:r>
    </w:p>
    <w:p>
      <w:pPr>
        <w:pStyle w:val="FirstParagraph"/>
      </w:pPr>
      <w:r>
        <w:t xml:space="preserve">(1) Zugriffsrechte richten sich nach</w:t>
      </w:r>
      <w:r>
        <w:t xml:space="preserve"> </w:t>
      </w:r>
      <w:r>
        <w:rPr>
          <w:bCs/>
          <w:b/>
        </w:rPr>
        <w:t xml:space="preserve">Anlage 2</w:t>
      </w:r>
      <w:r>
        <w:t xml:space="preserve"> </w:t>
      </w:r>
      <w:r>
        <w:t xml:space="preserve">(Rollen- und Berechtigungskonzept):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Rolle</w:t>
            </w:r>
          </w:p>
        </w:tc>
        <w:tc>
          <w:tcPr/>
          <w:p>
            <w:pPr>
              <w:pStyle w:val="Compact"/>
              <w:jc w:val="left"/>
            </w:pPr>
            <w:r>
              <w:t xml:space="preserve">Personenkreis</w:t>
            </w:r>
          </w:p>
        </w:tc>
        <w:tc>
          <w:tcPr/>
          <w:p>
            <w:pPr>
              <w:pStyle w:val="Compact"/>
              <w:jc w:val="left"/>
            </w:pPr>
            <w:r>
              <w:t xml:space="preserve">Zugriff</w:t>
            </w:r>
          </w:p>
        </w:tc>
      </w:tr>
      <w:tr>
        <w:tc>
          <w:tcPr/>
          <w:p>
            <w:pPr>
              <w:pStyle w:val="Compact"/>
              <w:jc w:val="left"/>
            </w:pPr>
            <w:r>
              <w:t xml:space="preserve">Admin</w:t>
            </w:r>
          </w:p>
        </w:tc>
        <w:tc>
          <w:tcPr/>
          <w:p>
            <w:pPr>
              <w:pStyle w:val="Compact"/>
              <w:jc w:val="left"/>
            </w:pPr>
            <w:r>
              <w:t xml:space="preserve">[Anzahl, Funktionen]</w:t>
            </w:r>
          </w:p>
        </w:tc>
        <w:tc>
          <w:tcPr/>
          <w:p>
            <w:pPr>
              <w:pStyle w:val="Compact"/>
              <w:jc w:val="left"/>
            </w:pPr>
            <w:r>
              <w:t xml:space="preserve">alle Daten des Betriebs, Einstellungen, Export, Support-Freigabe</w:t>
            </w:r>
          </w:p>
        </w:tc>
      </w:tr>
      <w:tr>
        <w:tc>
          <w:tcPr/>
          <w:p>
            <w:pPr>
              <w:pStyle w:val="Compact"/>
              <w:jc w:val="left"/>
            </w:pPr>
            <w:r>
              <w:t xml:space="preserve">Disponent</w:t>
            </w:r>
          </w:p>
        </w:tc>
        <w:tc>
          <w:tcPr/>
          <w:p>
            <w:pPr>
              <w:pStyle w:val="Compact"/>
              <w:jc w:val="left"/>
            </w:pPr>
            <w:r>
              <w:t xml:space="preserve">Disposition</w:t>
            </w:r>
          </w:p>
        </w:tc>
        <w:tc>
          <w:tcPr/>
          <w:p>
            <w:pPr>
              <w:pStyle w:val="Compact"/>
              <w:jc w:val="left"/>
            </w:pPr>
            <w:r>
              <w:t xml:space="preserve">Lieferungen, Live-Übersicht, Verlauf, Fahrer- und Fahrzeugverwaltung ohne Löschen von Fahrern und ohne Export</w:t>
            </w:r>
          </w:p>
        </w:tc>
      </w:tr>
      <w:tr>
        <w:tc>
          <w:tcPr/>
          <w:p>
            <w:pPr>
              <w:pStyle w:val="Compact"/>
              <w:jc w:val="left"/>
            </w:pPr>
            <w:r>
              <w:t xml:space="preserve">Fahrer</w:t>
            </w:r>
          </w:p>
        </w:tc>
        <w:tc>
          <w:tcPr/>
          <w:p>
            <w:pPr>
              <w:pStyle w:val="Compact"/>
              <w:jc w:val="left"/>
            </w:pPr>
            <w:r>
              <w:t xml:space="preserve">Fahrer</w:t>
            </w:r>
          </w:p>
        </w:tc>
        <w:tc>
          <w:tcPr/>
          <w:p>
            <w:pPr>
              <w:pStyle w:val="Compact"/>
              <w:jc w:val="left"/>
            </w:pPr>
            <w:r>
              <w:t xml:space="preserve">eigene und für alle freigegebene Lieferungen, eigener Verlauf</w:t>
            </w:r>
          </w:p>
        </w:tc>
      </w:tr>
    </w:tbl>
    <w:p>
      <w:pPr>
        <w:pStyle w:val="BodyText"/>
      </w:pPr>
      <w:r>
        <w:t xml:space="preserve">(2) Änderungen am Rollenkonzept, der Export von Daten und die Freigabe von Support-Zugriffen werden protokolliert. Der Betriebsrat kann das Protokoll [quartalsweise / jederzeit nach Anmeldung] einsehen.</w:t>
      </w:r>
    </w:p>
    <w:p>
      <w:pPr>
        <w:pStyle w:val="BodyText"/>
      </w:pPr>
      <w:r>
        <w:t xml:space="preserve">(3) Der Export personenbezogener Daten ist nur für die Zwecke nach § 2 zulässig, insbesondere für Abliefernachweise an Auftraggeber, die Buchhaltung und einen Anbieterwechsel.</w:t>
      </w:r>
    </w:p>
    <w:bookmarkEnd w:id="26"/>
    <w:bookmarkStart w:id="27" w:name="X78f96838c657cfe64a06172421a400d52ad7446"/>
    <w:p>
      <w:pPr>
        <w:pStyle w:val="Heading2"/>
      </w:pPr>
      <w:r>
        <w:t xml:space="preserve">§ 7 Speicherfristen</w:t>
      </w:r>
    </w:p>
    <w:p>
      <w:pPr>
        <w:pStyle w:val="FirstParagraph"/>
      </w:pPr>
      <w:r>
        <w:t xml:space="preserve">(1) Es gelten folgende Löschfristen, die in der Plattform eingestellt sind: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Daten</w:t>
            </w:r>
          </w:p>
        </w:tc>
        <w:tc>
          <w:tcPr/>
          <w:p>
            <w:pPr>
              <w:pStyle w:val="Compact"/>
              <w:jc w:val="left"/>
            </w:pPr>
            <w:r>
              <w:t xml:space="preserve">Frist</w:t>
            </w:r>
          </w:p>
        </w:tc>
      </w:tr>
      <w:tr>
        <w:tc>
          <w:tcPr/>
          <w:p>
            <w:pPr>
              <w:pStyle w:val="Compact"/>
              <w:jc w:val="left"/>
            </w:pPr>
            <w:r>
              <w:t xml:space="preserve">Lieferungen mit Statusmeldungen, Fotos, Dokumenten, Unterschriften</w:t>
            </w:r>
          </w:p>
        </w:tc>
        <w:tc>
          <w:tcPr/>
          <w:p>
            <w:pPr>
              <w:pStyle w:val="Compact"/>
              <w:jc w:val="left"/>
            </w:pPr>
            <w:r>
              <w:t xml:space="preserve">[3] Jahre nach Ende des Kalenderjahres der Zustellung [bzw. 8 Jahre, soweit Buchungsbelege]</w:t>
            </w:r>
          </w:p>
        </w:tc>
      </w:tr>
      <w:tr>
        <w:tc>
          <w:tcPr/>
          <w:p>
            <w:pPr>
              <w:pStyle w:val="Compact"/>
              <w:jc w:val="left"/>
            </w:pPr>
            <w:r>
              <w:t xml:space="preserve">Standort beim Statuswechsel</w:t>
            </w:r>
          </w:p>
        </w:tc>
        <w:tc>
          <w:tcPr/>
          <w:p>
            <w:pPr>
              <w:pStyle w:val="Compact"/>
              <w:jc w:val="left"/>
            </w:pPr>
            <w:r>
              <w:t xml:space="preserve">[90] Tage nach Zustellung</w:t>
            </w:r>
          </w:p>
        </w:tc>
      </w:tr>
      <w:tr>
        <w:tc>
          <w:tcPr/>
          <w:p>
            <w:pPr>
              <w:pStyle w:val="Compact"/>
              <w:jc w:val="left"/>
            </w:pPr>
            <w:r>
              <w:t xml:space="preserve">Stammdaten ausgeschiedener Beschäftigter</w:t>
            </w:r>
          </w:p>
        </w:tc>
        <w:tc>
          <w:tcPr/>
          <w:p>
            <w:pPr>
              <w:pStyle w:val="Compact"/>
              <w:jc w:val="left"/>
            </w:pPr>
            <w:r>
              <w:t xml:space="preserve">[3] Monate nach Deaktivierung des Zugangs; der Name bleibt in gespeicherten Lieferungen bis zu deren Löschung</w:t>
            </w:r>
          </w:p>
        </w:tc>
      </w:tr>
      <w:tr>
        <w:tc>
          <w:tcPr/>
          <w:p>
            <w:pPr>
              <w:pStyle w:val="Compact"/>
              <w:jc w:val="left"/>
            </w:pPr>
            <w:r>
              <w:t xml:space="preserve">In-App-Benachrichtigungen</w:t>
            </w:r>
          </w:p>
        </w:tc>
        <w:tc>
          <w:tcPr/>
          <w:p>
            <w:pPr>
              <w:pStyle w:val="Compact"/>
              <w:jc w:val="left"/>
            </w:pPr>
            <w:r>
              <w:t xml:space="preserve">[90] Tage</w:t>
            </w:r>
          </w:p>
        </w:tc>
      </w:tr>
      <w:tr>
        <w:tc>
          <w:tcPr/>
          <w:p>
            <w:pPr>
              <w:pStyle w:val="Compact"/>
              <w:jc w:val="left"/>
            </w:pPr>
            <w:r>
              <w:t xml:space="preserve">Protokoll</w:t>
            </w:r>
          </w:p>
        </w:tc>
        <w:tc>
          <w:tcPr/>
          <w:p>
            <w:pPr>
              <w:pStyle w:val="Compact"/>
              <w:jc w:val="left"/>
            </w:pPr>
            <w:r>
              <w:t xml:space="preserve">[12] Monate</w:t>
            </w:r>
          </w:p>
        </w:tc>
      </w:tr>
    </w:tbl>
    <w:p>
      <w:pPr>
        <w:pStyle w:val="BodyText"/>
      </w:pPr>
      <w:r>
        <w:t xml:space="preserve">(2) Eine längere Speicherung einzelner Lieferungen ist nur bei einem konkreten Streitfall zulässig und endet mit dessen Erledigung. Der Arbeitgeber dokumentiert die Ausnahmen.</w:t>
      </w:r>
    </w:p>
    <w:bookmarkEnd w:id="27"/>
    <w:bookmarkStart w:id="28" w:name="X2c7b0b3622059b73bb4763b056f4a4bbfa08bbf"/>
    <w:p>
      <w:pPr>
        <w:pStyle w:val="Heading2"/>
      </w:pPr>
      <w:r>
        <w:t xml:space="preserve">§ 8 Endgeräte</w:t>
      </w:r>
    </w:p>
    <w:p>
      <w:pPr>
        <w:pStyle w:val="FirstParagraph"/>
      </w:pPr>
      <w:r>
        <w:t xml:space="preserve">(1) [Alternative A: Der Arbeitgeber stellt allen Fahrern Dienstgeräte zur Verfügung. Eine Mobilgeräteverwaltung (MDM) wird [nicht] eingesetzt; ein Einsatz bedarf einer gesonderten Vereinbarung.]</w:t>
      </w:r>
    </w:p>
    <w:p>
      <w:pPr>
        <w:pStyle w:val="BodyText"/>
      </w:pPr>
      <w:r>
        <w:t xml:space="preserve">(2) [Alternative B: Die Nutzung privater Geräte ist freiwillig. Wer kein privates Gerät nutzen möchte, erhält ein Dienstgerät. Für die Nutzung privater Geräte erhalten die Beschäftigten [Pauschale/Erstattung]. Der Arbeitgeber greift nicht auf private Inhalte zu.]</w:t>
      </w:r>
    </w:p>
    <w:p>
      <w:pPr>
        <w:pStyle w:val="BodyText"/>
      </w:pPr>
      <w:r>
        <w:t xml:space="preserve">(3) Halterungen werden vom Arbeitgeber in allen Fahrzeugen bereitgestellt.</w:t>
      </w:r>
    </w:p>
    <w:bookmarkEnd w:id="28"/>
    <w:bookmarkStart w:id="29" w:name="X89acd9d4f6c93c62e9749baedb2178119fe2949"/>
    <w:p>
      <w:pPr>
        <w:pStyle w:val="Heading2"/>
      </w:pPr>
      <w:r>
        <w:t xml:space="preserve">§ 9 Schulung und Information</w:t>
      </w:r>
    </w:p>
    <w:p>
      <w:pPr>
        <w:pStyle w:val="FirstParagraph"/>
      </w:pPr>
      <w:r>
        <w:t xml:space="preserve">(1) Vor der ersten Nutzung erhalten alle Fahrer eine Einweisung von mindestens [30] Minuten während der Arbeitszeit, insbesondere zu den Nutzungsbedingungen für Fahrer, zur Regel „Bedienung nur im Stand mit ausgeschaltetem Motor“ (§ 23 Abs. 1a und 1b StVO), zur Offline-Funktion und zu ihren Datenschutzrechten.</w:t>
      </w:r>
    </w:p>
    <w:p>
      <w:pPr>
        <w:pStyle w:val="BodyText"/>
      </w:pPr>
      <w:r>
        <w:t xml:space="preserve">(2) Die Beschäftigten erhalten die Datenschutzhinweise für Fahrer und die Nutzungsbedingungen in einer für sie verständlichen Sprache (die App ist in Deutsch, Englisch, Polnisch, Rumänisch, Türkisch, Russisch und Ukrainisch verfügbar).</w:t>
      </w:r>
    </w:p>
    <w:p>
      <w:pPr>
        <w:pStyle w:val="BodyText"/>
      </w:pPr>
      <w:r>
        <w:t xml:space="preserve">(3) Disponenten und Admins werden zusätzlich zu den Grenzen dieser Vereinbarung geschult, insbesondere zu § 4 und § 5.</w:t>
      </w:r>
    </w:p>
    <w:bookmarkEnd w:id="29"/>
    <w:bookmarkStart w:id="30" w:name="X62d423415b3d84ef3e22cd1c670aaffce67b210"/>
    <w:p>
      <w:pPr>
        <w:pStyle w:val="Heading2"/>
      </w:pPr>
      <w:r>
        <w:t xml:space="preserve">§ 10 Rechte des Betriebsrats</w:t>
      </w:r>
    </w:p>
    <w:p>
      <w:pPr>
        <w:pStyle w:val="FirstParagraph"/>
      </w:pPr>
      <w:r>
        <w:t xml:space="preserve">(1) Der Betriebsrat wird über alle geplanten Änderungen an der App, die Einstellungen des Mandanten, neue Funktionen, Schnittstellen zu anderen Systemen und Änderungen der Unterauftragsverarbeiter rechtzeitig und umfassend unterrichtet (§ 80 Abs. 2, § 90 BetrVG).</w:t>
      </w:r>
    </w:p>
    <w:p>
      <w:pPr>
        <w:pStyle w:val="BodyText"/>
      </w:pPr>
      <w:r>
        <w:t xml:space="preserve">(2) Änderungen und Erweiterungen, die die Mitbestimmungsrechte berühren, insbesondere das Einschalten der Standortfunktion, personenbezogene Berichte, neue Auswertungen, Schnittstellen (z. B. REST-API zu einem Transportmanagementsystem) und künftige Funktionen wie Arbeitszeit- oder Spesenerfassung, bedürfen der vorherigen Zustimmung des Betriebsrats und werden in Anlage 1 und 2 nachgetragen.</w:t>
      </w:r>
    </w:p>
    <w:p>
      <w:pPr>
        <w:pStyle w:val="BodyText"/>
      </w:pPr>
      <w:r>
        <w:t xml:space="preserve">(3) Der Betriebsrat kann die Einhaltung dieser Vereinbarung kontrollieren. Er erhält dazu nach Absprache Einsicht in die Einstellungen und das Protokoll und kann Stichproben verlangen. Er kann nach § 80 Abs. 3 BetrVG einen Sachverständigen hinzuziehen; die Kosten trägt der Arbeitgeber im gesetzlichen Rahmen.</w:t>
      </w:r>
    </w:p>
    <w:p>
      <w:pPr>
        <w:pStyle w:val="BodyText"/>
      </w:pPr>
      <w:r>
        <w:t xml:space="preserve">(4) Der Arbeitgeber benennt dem Betriebsrat einen Ansprechpartner für die App: [Name, Funktion].</w:t>
      </w:r>
    </w:p>
    <w:bookmarkEnd w:id="30"/>
    <w:bookmarkStart w:id="31" w:name="X5a89d481379cabb9d8b2b8a479d0d929feee69a"/>
    <w:p>
      <w:pPr>
        <w:pStyle w:val="Heading2"/>
      </w:pPr>
      <w:r>
        <w:t xml:space="preserve">§ 11 Rechte der Beschäftigten</w:t>
      </w:r>
    </w:p>
    <w:p>
      <w:pPr>
        <w:pStyle w:val="FirstParagraph"/>
      </w:pPr>
      <w:r>
        <w:t xml:space="preserve">(1) Die Rechte der Beschäftigten nach der DSGVO, insbesondere auf Auskunft, Berichtigung und Löschung, bleiben unberührt. Auskunftsersuchen werden innerhalb eines Monats beantwortet.</w:t>
      </w:r>
    </w:p>
    <w:p>
      <w:pPr>
        <w:pStyle w:val="BodyText"/>
      </w:pPr>
      <w:r>
        <w:t xml:space="preserve">(2) Beschäftigte können sich bei Fragen oder Beschwerden an den Betriebsrat, den Datenschutzbeauftragten ([Name, E-Mail]) oder die zuständige Aufsichtsbehörde wenden. Daraus dürfen ihnen keine Nachteile entstehen.</w:t>
      </w:r>
    </w:p>
    <w:bookmarkEnd w:id="31"/>
    <w:bookmarkStart w:id="32" w:name="Xde77a169a5d4af5c6dc02b13d32a13c743f9610"/>
    <w:p>
      <w:pPr>
        <w:pStyle w:val="Heading2"/>
      </w:pPr>
      <w:r>
        <w:t xml:space="preserve">§ 12 Datenschutz</w:t>
      </w:r>
    </w:p>
    <w:p>
      <w:pPr>
        <w:pStyle w:val="FirstParagraph"/>
      </w:pPr>
      <w:r>
        <w:t xml:space="preserve">(1) Rechtsgrundlagen der Verarbeitung sind Art. 6 Abs. 1 lit. b, c und f DSGVO sowie diese Vereinbarung als Kollektivvereinbarung im Sinne des Art. 88 Abs. 1 DSGVO und § 26 Abs. 4 BDSG. Für den Zugriff auf den Gerätestandort gilt § 25 Abs. 1 TDDDG (Einwilligung).</w:t>
      </w:r>
    </w:p>
    <w:p>
      <w:pPr>
        <w:pStyle w:val="BodyText"/>
      </w:pPr>
      <w:r>
        <w:t xml:space="preserve">(2) Die Vereinbarung trifft nach Art. 88 Abs. 2 DSGVO angemessene und besondere Maßnahmen zur Wahrung der menschlichen Würde, der berechtigten Interessen und der Grundrechte der Beschäftigten, insbesondere durch Zweckbindung (§ 2), Verbot der Dauerortung (§ 4), Verbot der Leistungs- und Verhaltenskontrolle (§ 5), Zugriffsbeschränkung (§ 6), kurze Löschfristen (§ 7) und Transparenz (§ 9).</w:t>
      </w:r>
    </w:p>
    <w:p>
      <w:pPr>
        <w:pStyle w:val="BodyText"/>
      </w:pPr>
      <w:r>
        <w:t xml:space="preserve">(3) Der Arbeitgeber prüft, ob eine Datenschutz-Folgenabschätzung erforderlich ist, und stellt sie dem Betriebsrat zur Verfügung.</w:t>
      </w:r>
    </w:p>
    <w:p>
      <w:pPr>
        <w:pStyle w:val="BlockText"/>
      </w:pPr>
      <w:r>
        <w:rPr>
          <w:bCs/>
          <w:b/>
        </w:rPr>
        <w:t xml:space="preserve">Prüfhinweis:</w:t>
      </w:r>
      <w:r>
        <w:t xml:space="preserve"> </w:t>
      </w:r>
      <w:r>
        <w:t xml:space="preserve">Nach EuGH C-34/21 (30.03.2023) genügt eine bloße Wiederholung der DSGVO-Grundsätze nicht den Anforderungen des Art. 88 Abs. 2 DSGVO. Nach EuGH C-65/23 müssen Betriebsvereinbarungen zudem die allgemeinen Anforderungen der DSGVO (Art. 5, 6, 9) erfüllen und sind gerichtlich voll überprüfbar. Ein Beschäftigtendatengesetz war am 16.10.2026 nicht beschlossen (Referentenentwurf vom 08.10.2024). Die DSK-Liste der Verarbeitungen, für die eine DSFA erforderlich ist, ist für Standortdaten von Beschäftigten zu prüfen.</w:t>
      </w:r>
    </w:p>
    <w:bookmarkEnd w:id="32"/>
    <w:bookmarkStart w:id="33" w:name="X17c6f04c5357449ec48b1e0e28de9f17ddea0a0"/>
    <w:p>
      <w:pPr>
        <w:pStyle w:val="Heading2"/>
      </w:pPr>
      <w:r>
        <w:t xml:space="preserve">§ 13 Verstöße</w:t>
      </w:r>
    </w:p>
    <w:p>
      <w:pPr>
        <w:pStyle w:val="FirstParagraph"/>
      </w:pPr>
      <w:r>
        <w:t xml:space="preserve">Verstöße gegen diese Vereinbarung werden dem Betriebsrat unverzüglich mitgeteilt. Arbeitgeber und Betriebsrat beraten über Abhilfe. Unzulässig gewonnene Daten werden gelöscht.</w:t>
      </w:r>
    </w:p>
    <w:bookmarkEnd w:id="33"/>
    <w:bookmarkStart w:id="34" w:name="X25d36d3d0d4a39d4140f434f1a85bd02b0477a6"/>
    <w:p>
      <w:pPr>
        <w:pStyle w:val="Heading2"/>
      </w:pPr>
      <w:r>
        <w:t xml:space="preserve">§ 14 Streitigkeiten</w:t>
      </w:r>
    </w:p>
    <w:p>
      <w:pPr>
        <w:pStyle w:val="FirstParagraph"/>
      </w:pPr>
      <w:r>
        <w:t xml:space="preserve">Bei Meinungsverschiedenheiten über Auslegung und Anwendung dieser Vereinbarung verhandeln die Parteien mit dem ernsten Willen zur Einigung. Kommt keine Einigung zustande, entscheidet die Einigungsstelle (§ 76 BetrVG).</w:t>
      </w:r>
    </w:p>
    <w:bookmarkEnd w:id="34"/>
    <w:bookmarkStart w:id="35" w:name="X7588285806cc4bf7d2a884bffcbc15ff71e3485"/>
    <w:p>
      <w:pPr>
        <w:pStyle w:val="Heading2"/>
      </w:pPr>
      <w:r>
        <w:t xml:space="preserve">§ 15 Inkrafttreten, Kündigung, Nachwirkung</w:t>
      </w:r>
    </w:p>
    <w:p>
      <w:pPr>
        <w:pStyle w:val="FirstParagraph"/>
      </w:pPr>
      <w:r>
        <w:t xml:space="preserve">(1) Diese Vereinbarung tritt mit Unterzeichnung in Kraft. Die App wird erst nach Inkrafttreten produktiv mit Beschäftigten genutzt. Eine Erprobung mit erfundenen Daten ist vorher zulässig.</w:t>
      </w:r>
    </w:p>
    <w:p>
      <w:pPr>
        <w:pStyle w:val="BodyText"/>
      </w:pPr>
      <w:r>
        <w:t xml:space="preserve">(2) Sie kann mit einer Frist von [drei] Monaten zum Monatsende gekündigt werden, frühestens zum [Datum].</w:t>
      </w:r>
    </w:p>
    <w:p>
      <w:pPr>
        <w:pStyle w:val="BodyText"/>
      </w:pPr>
      <w:r>
        <w:t xml:space="preserve">(3) Bis zum Abschluss einer neuen Vereinbarung wirkt sie nach (§ 77 Abs. 6 BetrVG).</w:t>
      </w:r>
    </w:p>
    <w:p>
      <w:pPr>
        <w:pStyle w:val="BodyText"/>
      </w:pPr>
      <w:r>
        <w:t xml:space="preserve">(4) Sollte eine Regelung unwirksam sein, bleibt die Wirksamkeit der übrigen Regelungen unberührt. Die Parteien verpflichten sich, eine unwirksame Regelung durch eine wirksame zu ersetzen, die ihrem Zweck am nächsten kommt.</w:t>
      </w:r>
    </w:p>
    <w:p>
      <w:pPr>
        <w:pStyle w:val="BodyText"/>
      </w:pPr>
      <w:r>
        <w:t xml:space="preserve">[Ort, Datum]</w:t>
      </w:r>
    </w:p>
    <w:p>
      <w:pPr>
        <w:pStyle w:val="BodyText"/>
      </w:pPr>
      <w:r>
        <w:t xml:space="preserve">______________________ (Arbeitgeber) ______________________ (Betriebsrat)</w:t>
      </w:r>
    </w:p>
    <w:p>
      <w:r>
        <w:pict>
          <v:rect style="width:0;height:1.5pt" o:hralign="center" o:hrstd="t" o:hr="t"/>
        </w:pict>
      </w:r>
    </w:p>
    <w:bookmarkEnd w:id="35"/>
    <w:bookmarkStart w:id="36" w:name="anlagen"/>
    <w:p>
      <w:pPr>
        <w:pStyle w:val="Heading2"/>
      </w:pPr>
      <w:r>
        <w:t xml:space="preserve">Anlagen</w:t>
      </w:r>
    </w:p>
    <w:p>
      <w:pPr>
        <w:numPr>
          <w:ilvl w:val="0"/>
          <w:numId w:val="1004"/>
        </w:numPr>
        <w:pStyle w:val="Compact"/>
      </w:pPr>
      <w:r>
        <w:rPr>
          <w:bCs/>
          <w:b/>
        </w:rPr>
        <w:t xml:space="preserve">Anlage 1:</w:t>
      </w:r>
      <w:r>
        <w:t xml:space="preserve"> </w:t>
      </w:r>
      <w:r>
        <w:t xml:space="preserve">Systembeschreibung, Funktionen, Datenkatalog und gewählte Einstellungen (Grundlage: Leistungsbeschreibung LADEKLAR Teil A und AVV Anlage 1; Einstellungen: Fahrer wählt Fahrzeug [ja/nein], offene Touren [ja/nein], Fotopflicht [ja/nein], Unterschrift [ja/nein], Ankunftserfassung [ja/nein], Palettentausch [ja/nein], Fahrsperre [ja/nein], Standort beim Statuswechsel [ja/nein], Löschfristen [Werte])</w:t>
      </w:r>
    </w:p>
    <w:p>
      <w:pPr>
        <w:numPr>
          <w:ilvl w:val="0"/>
          <w:numId w:val="1004"/>
        </w:numPr>
        <w:pStyle w:val="Compact"/>
      </w:pPr>
      <w:r>
        <w:rPr>
          <w:bCs/>
          <w:b/>
        </w:rPr>
        <w:t xml:space="preserve">Anlage 2:</w:t>
      </w:r>
      <w:r>
        <w:t xml:space="preserve"> </w:t>
      </w:r>
      <w:r>
        <w:t xml:space="preserve">Rollen- und Berechtigungskonzept mit Namen bzw. Funktionen der Admins und Disponenten</w:t>
      </w:r>
    </w:p>
    <w:p>
      <w:pPr>
        <w:numPr>
          <w:ilvl w:val="0"/>
          <w:numId w:val="1004"/>
        </w:numPr>
        <w:pStyle w:val="Compact"/>
      </w:pPr>
      <w:r>
        <w:rPr>
          <w:bCs/>
          <w:b/>
        </w:rPr>
        <w:t xml:space="preserve">Anlage 3:</w:t>
      </w:r>
      <w:r>
        <w:t xml:space="preserve"> </w:t>
      </w:r>
      <w:r>
        <w:t xml:space="preserve">Nutzungsbedingungen für Fahrer</w:t>
      </w:r>
    </w:p>
    <w:p>
      <w:pPr>
        <w:numPr>
          <w:ilvl w:val="0"/>
          <w:numId w:val="1004"/>
        </w:numPr>
        <w:pStyle w:val="Compact"/>
      </w:pPr>
      <w:r>
        <w:rPr>
          <w:bCs/>
          <w:b/>
        </w:rPr>
        <w:t xml:space="preserve">Anlage 4:</w:t>
      </w:r>
      <w:r>
        <w:t xml:space="preserve"> </w:t>
      </w:r>
      <w:r>
        <w:t xml:space="preserve">Datenschutzhinweise für Fahrer</w:t>
      </w:r>
    </w:p>
    <w:p>
      <w:pPr>
        <w:numPr>
          <w:ilvl w:val="0"/>
          <w:numId w:val="1004"/>
        </w:numPr>
        <w:pStyle w:val="Compact"/>
      </w:pPr>
      <w:r>
        <w:rPr>
          <w:bCs/>
          <w:b/>
        </w:rPr>
        <w:t xml:space="preserve">Anlage 5:</w:t>
      </w:r>
      <w:r>
        <w:t xml:space="preserve"> </w:t>
      </w:r>
      <w:r>
        <w:t xml:space="preserve">Auftragsverarbeitungsvertrag und TOM des Anbieters (zur Einsicht)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2026-10-16T21:43:15Z</dcterms:created>
  <dcterms:modified xsi:type="dcterms:W3CDTF">2026-10-16T21:43:15Z</dcterms:modified>
</cp:coreProperties>
</file>

<file path=docProps/custom.xml><?xml version="1.0" encoding="utf-8"?>
<Properties xmlns="http://schemas.openxmlformats.org/officeDocument/2006/custom-properties" xmlns:vt="http://schemas.openxmlformats.org/officeDocument/2006/docPropsVTypes"/>
</file>