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a9ce9853887fa7371bd79ee28b6f179a5730718"/>
    <w:p>
      <w:pPr>
        <w:pStyle w:val="Heading1"/>
      </w:pPr>
      <w:r>
        <w:t xml:space="preserve">Technische und organisatorische Maßnahmen (TOM) nach Art. 32 DSGVO</w:t>
      </w:r>
    </w:p>
    <w:p>
      <w:pPr>
        <w:pStyle w:val="BlockText"/>
      </w:pPr>
      <w:r>
        <w:rPr>
          <w:bCs/>
          <w:b/>
        </w:rPr>
        <w:t xml:space="preserve">Hinweis – Muster, keine Rechtsberatung.</w:t>
      </w:r>
      <w:r>
        <w:t xml:space="preserve"> </w:t>
      </w:r>
      <w:r>
        <w:t xml:space="preserve">Dieses Dokument ist ein Mustertext für LADEKLAR. Es ersetzt keine Rechtsberatung und ist vor Verwendung anwaltlich prüfen zu lassen. Platzhalter in [eckigen Klammern] ausfüllen. Mit „Prüfhinweis“ gekennzeichnete Anmerkungen sind vor Verwendung zu entfernen. Die TOM müssen der tatsächlichen Umsetzung entsprechen; jede Angabe ist vor Veröffentlichung technisch zu bestätigen. Recherchestand: 16.10.2026.</w:t>
      </w:r>
    </w:p>
    <w:p>
      <w:pPr>
        <w:pStyle w:val="FirstParagraph"/>
      </w:pPr>
      <w:r>
        <w:t xml:space="preserve">Anlage 2 zum Auftragsverarbeitungsvertrag von [Firma] [Rechtsform] („Anbieter“)</w:t>
      </w:r>
    </w:p>
    <w:p>
      <w:pPr>
        <w:pStyle w:val="BodyText"/>
      </w:pPr>
      <w:r>
        <w:t xml:space="preserve">Stand: [Datum] · Version [1.0] · verantwortlich für die Pflege: [Name, Funktion]</w:t>
      </w:r>
    </w:p>
    <w:p>
      <w:r>
        <w:pict>
          <v:rect style="width:0;height:1.5pt" o:hralign="center" o:hrstd="t" o:hr="t"/>
        </w:pict>
      </w:r>
    </w:p>
    <w:bookmarkStart w:id="20" w:name="X0ba310e28070d746a14b435acc7b0cdfb407fa7"/>
    <w:p>
      <w:pPr>
        <w:pStyle w:val="Heading2"/>
      </w:pPr>
      <w:r>
        <w:t xml:space="preserve">1. Grundlagen</w:t>
      </w:r>
    </w:p>
    <w:p>
      <w:pPr>
        <w:pStyle w:val="FirstParagraph"/>
      </w:pPr>
      <w:r>
        <w:t xml:space="preserve">(1) Die Maßnahmen berücksichtigen den Stand der Technik, die Implementierungskosten, Art, Umfang, Umstände und Zwecke der Verarbeitung sowie die Risiken für die Rechte und Freiheiten der betroffenen Personen (Art. 32 Abs. 1 DSGVO). Besonderes Gewicht haben die Vertraulichkeit von Beschäftigtendaten, die Integrität von Abliefernachweisen und die Verfügbarkeit während laufender Touren.</w:t>
      </w:r>
    </w:p>
    <w:p>
      <w:pPr>
        <w:pStyle w:val="BodyText"/>
      </w:pPr>
      <w:r>
        <w:t xml:space="preserve">(2) Systemüberblick: Server in Node.js 22 ohne Web-Framework, Datenbank SQLite (</w:t>
      </w:r>
      <w:r>
        <w:rPr>
          <w:rStyle w:val="VerbatimChar"/>
        </w:rPr>
        <w:t xml:space="preserve">node:sqlite</w:t>
      </w:r>
      <w:r>
        <w:t xml:space="preserve">), Live-Aktualisierung per Server-Sent Events, Web-Push mit VAPID, Web-App und installierbare PWA, optional Store-App (Capacitor). Betrieb ausschließlich in einem Rechenzentrum in Deutschland.</w:t>
      </w:r>
    </w:p>
    <w:p>
      <w:pPr>
        <w:pStyle w:val="BodyText"/>
      </w:pPr>
      <w:r>
        <w:t xml:space="preserve">(3) Die Spalte „Status“ ist vor Veröffentlichung auszufüllen:</w:t>
      </w:r>
      <w:r>
        <w:t xml:space="preserve"> </w:t>
      </w:r>
      <w:r>
        <w:rPr>
          <w:bCs/>
          <w:b/>
        </w:rPr>
        <w:t xml:space="preserve">U</w:t>
      </w:r>
      <w:r>
        <w:t xml:space="preserve"> </w:t>
      </w:r>
      <w:r>
        <w:t xml:space="preserve">= umgesetzt,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= geplant bis [Datum].</w:t>
      </w:r>
    </w:p>
    <w:bookmarkEnd w:id="20"/>
    <w:bookmarkStart w:id="26" w:name="X786ecfeb54a94bf609b0a4b080de6ac41d71b87"/>
    <w:p>
      <w:pPr>
        <w:pStyle w:val="Heading2"/>
      </w:pPr>
      <w:r>
        <w:t xml:space="preserve">2. Vertraulichkeit (Art. 32 Abs. 1 lit. b DSGVO)</w:t>
      </w:r>
    </w:p>
    <w:bookmarkStart w:id="21" w:name="Xd7fef7795c1e7900abe50f51a0fffebda00d9c9"/>
    <w:p>
      <w:pPr>
        <w:pStyle w:val="Heading3"/>
      </w:pPr>
      <w:r>
        <w:t xml:space="preserve">2.1 Zutrittskontrolle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 ausschließlich in einem Rechenzentrum von [Hosting-Anbieter] in [Ort], Deutschland, zertifiziert nach ISO/IEC 27001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Physische Sicherheit durch das Rechenzentrum: Zutritt nur für berechtigte Personen, Videoüberwachung, Einbruchmeldeanlage, Protokollierung, Brandschutz (Nachweis durch Zertifikat des Rechenzentrums)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Keine eigenen Server- oder Datenträgerstandorte des Anbieters; Arbeitsplätze ohne lokale Kopien von Kundendaten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</w:tbl>
    <w:bookmarkEnd w:id="21"/>
    <w:bookmarkStart w:id="22" w:name="X77c1bf494e5ba1e68cd495daa311fcdcfb61a2a"/>
    <w:p>
      <w:pPr>
        <w:pStyle w:val="Heading3"/>
      </w:pPr>
      <w:r>
        <w:t xml:space="preserve">2.2 Zugangskontrolle (Systeme)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Transportverschlüsselung aller Verbindungen mit TLS 1.2 oder höher, HSTS; unverschlüsselte Verbindungen werden umgeleitet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Passwörter von Admins und Disponenten werden mit scrypt und individuellem Salt gehasht (Parameter [N, r, p]); Klartext-Passwörter werden nicht gespeichert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Fahrer-PINs (sechsstellig) werden ebenfalls mit scrypt und Salt gehasht; wegen der geringen Länge der PIN ist die Login-Sperre zwingender Bestandteil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Login-Sperre nach [5] Fehlversuchen für [15] Minuten je Zugang, zusätzlich Begrenzung je IP-Adresse; Protokollierung fehlgeschlagener Versuche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Sitzungs-Tokens mit mindestens 256 Bit Zufall; in der Datenbank nur als Hash (SHA-256) gespeichert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Sitzungs-Cookie mit den Attributen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SameSite=[Lax/Strict]</w:t>
            </w:r>
            <w:r>
              <w:t xml:space="preserve">; Laufzeit höchstens 90 Tage; Abmelden und PIN-Reset beenden alle Sitzungen des 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Startpasswort für Admins muss bei der ersten Anmeldung geändert werden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Einladungslinks für Fahrer sind [einmalig verwendbar und [72] Stunden gültig] und erfordern zusätzlich die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API-Schlüssel (Premium) werden nur als Hash gespeichert, sind je Mandant widerrufbar und unterliegen einer Anfragebegrenzung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Server-Administration nur über SSH mit Schlüssel, ohne Passwort-Anmeldung; Zugang für [Anzahl] namentlich benannte Personen; Protokollierung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Zwei-Faktor-Authentifizierung für die Plattform-Konsole des Anbieters, den Support-Modus und die Konten beim Hosting-Anbieter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Zwei-Faktor-Authentifizierung als Option für Admins der 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[G]</w:t>
            </w:r>
          </w:p>
        </w:tc>
      </w:tr>
    </w:tbl>
    <w:bookmarkEnd w:id="22"/>
    <w:bookmarkStart w:id="23" w:name="Xfc8dc01b3692d2a39100997a09811bd30a2359c"/>
    <w:p>
      <w:pPr>
        <w:pStyle w:val="Heading3"/>
      </w:pPr>
      <w:r>
        <w:t xml:space="preserve">2.3 Zugriffskontrolle (Daten)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Rollenmodell (Anbieter, Admin, Disponent, Fahrer) mit festgelegten Rechten; Fahrer sehen nur eigene und freigegebene Lieferungen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Mandantentrennung im Kern der Anwendung (</w:t>
            </w:r>
            <w:r>
              <w:rPr>
                <w:rStyle w:val="VerbatimChar"/>
              </w:rPr>
              <w:t xml:space="preserve">core/engine.js</w:t>
            </w:r>
            <w:r>
              <w:t xml:space="preserve">): jede Abfrage und jede Aktion prüft die</w:t>
            </w:r>
            <w:r>
              <w:t xml:space="preserve"> </w:t>
            </w:r>
            <w:r>
              <w:rPr>
                <w:rStyle w:val="VerbatimChar"/>
              </w:rPr>
              <w:t xml:space="preserve">tenantId</w:t>
            </w:r>
            <w:r>
              <w:t xml:space="preserve"> </w:t>
            </w:r>
            <w:r>
              <w:t xml:space="preserve">des angemeldeten 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 Tests stellen sicher, dass ein Mandant keine Daten eines anderen Mandanten lesen oder ändern kann und dass Rollen keine fremden Rechte erhalten; Tests laufen vor jeder Auslieferung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Plattform-Konsole des Anbieters ohne Zugriff auf Auftragsdaten (nur Kennzahlen und Abrechnung)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Support-Zugriff nur nach Freigabe durch den Admin des Kunden, zeitlich begrenzt, nur lesend, protokolliert (AVV Anlage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Dateien (Fotos, Dokumente, Unterschriften) werden nur nach Prüfung von Sitzung, Mandant und Rolle ausgeliefert; keine öffentlich erratbaren Datei-URLs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Live-Ereignisse (Server-Sent Events) und Push-Benachrichtigungen werden nur an berechtigte Nutzer desselben Mandanten zugestellt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</w:tbl>
    <w:bookmarkEnd w:id="23"/>
    <w:bookmarkStart w:id="24" w:name="X4f7043d45b77637952d267196d79314b3793584"/>
    <w:p>
      <w:pPr>
        <w:pStyle w:val="Heading3"/>
      </w:pPr>
      <w:r>
        <w:t xml:space="preserve">2.4 Trennungskontrolle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Logische Trennung der Mandanten über</w:t>
            </w:r>
            <w:r>
              <w:t xml:space="preserve"> </w:t>
            </w:r>
            <w:r>
              <w:rPr>
                <w:rStyle w:val="VerbatimChar"/>
              </w:rPr>
              <w:t xml:space="preserve">tenantId</w:t>
            </w:r>
            <w:r>
              <w:t xml:space="preserve"> </w:t>
            </w:r>
            <w:r>
              <w:t xml:space="preserve">in allen Tabellen, erzwungen im Anwendungskern (siehe 2.3)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Getrennte Umgebungen für Entwicklung, Test und Produktion; in Entwicklung und Test keine Echtdaten der 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Online-Demo arbeitet mit lokaler Engine und erfundenen Demodaten, getrennt vom Produktivsystem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</w:tbl>
    <w:bookmarkEnd w:id="24"/>
    <w:bookmarkStart w:id="25" w:name="X0a57a195740adf141be74fc8d24e01c1a383df8"/>
    <w:p>
      <w:pPr>
        <w:pStyle w:val="Heading3"/>
      </w:pPr>
      <w:r>
        <w:t xml:space="preserve">2.5 Pseudonymisierung und Datenminimierung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Keine Dauerortung; Standort nur im Moment eines Statuswechsels, nur wenn vom Kunden eingeschaltet und vom Fahrer im Gerät freigegeben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Fahrsperre wertet die Geschwindigkeit ausschließlich im Gerät aus; keine Übertragung oder Speicherung der dafür genutzten Positionen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Fotos werden im Gerät auf etwa 200 KB verkleinert; dabei werden Metadaten (EXIF, insbesondere GPS-Koordinaten) entfernt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Push-Nachrichten enthalten nur Kennungen und Status, keine Dokumente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Server-Protokolle ohne Inhalte von Formularen und Dokumenten; IP-Adressen werden nach [7] Tagen gelöscht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Aggregierte Kennzahlen je Mandant für Abrechnung ohne Personenbezug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</w:tbl>
    <w:bookmarkEnd w:id="25"/>
    <w:bookmarkEnd w:id="26"/>
    <w:bookmarkStart w:id="30" w:name="X3c3faaf215473d3da5c0aa04e0149b6b18529fc"/>
    <w:p>
      <w:pPr>
        <w:pStyle w:val="Heading2"/>
      </w:pPr>
      <w:r>
        <w:t xml:space="preserve">3. Integrität (Art. 32 Abs. 1 lit. b DSGVO)</w:t>
      </w:r>
    </w:p>
    <w:bookmarkStart w:id="27" w:name="Xf9b05f57fbbe50c7e83756eeaedf961fc44f0df"/>
    <w:p>
      <w:pPr>
        <w:pStyle w:val="Heading3"/>
      </w:pPr>
      <w:r>
        <w:t xml:space="preserve">3.1 Weitergabekontrolle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für alle Übertragungen zwischen Geräten, Server, Sicherungsziel und E-Mail-Versanddienst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Ende-zu-Ende-verschlüsselte Nutzlast bei Web-Push (RFC 8291); Push-Dienste können Inhalte nicht lesen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Datensicherungen werden vor der Übertragung mit [AES-256] verschlüsselt; Schlüssel getrennt von den Sicherungen verwahrt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Datenexport nur durch Admins; jeder Export wird protokolliert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Keine Einbindung externer Skripte, Schriften, Karten oder Tracker; Schriften werden vom eigenen Server ausgeliefert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</w:tbl>
    <w:bookmarkEnd w:id="27"/>
    <w:bookmarkStart w:id="28" w:name="Xdf025686b3299c929f0076dd324f69d44fa1460"/>
    <w:p>
      <w:pPr>
        <w:pStyle w:val="Heading3"/>
      </w:pPr>
      <w:r>
        <w:t xml:space="preserve">3.2 Eingabekontrolle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Audit-Log für Anmeldungen, Änderungen an Lieferungen, Nutzern, Fahrzeugen und Einstellungen, Exporte, Freigaben und Support-Zugriffe, jeweils mit Zeitpunkt und handelnder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Verlauf jeder Lieferung als Zeitstrahl; Rücknahmen innerhalb von 2 Minuten werden als eigenes Ereignis gespeichert; spätere Korrekturen durch Disponenten werden protokolliert, der ursprüngliche Eintrag bleibt erhalten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 offline erfassten Schritten Speicherung von Gerätezeit und Server-Eingangszeit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[Prüfsumme (SHA-256) je Datei, Ausweis im Abliefernachweis]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[G]</w:t>
            </w:r>
          </w:p>
        </w:tc>
      </w:tr>
    </w:tbl>
    <w:bookmarkEnd w:id="28"/>
    <w:bookmarkStart w:id="29" w:name="X42b37f9e56b2698d980de71861189896a14a2ba"/>
    <w:p>
      <w:pPr>
        <w:pStyle w:val="Heading3"/>
      </w:pPr>
      <w:r>
        <w:t xml:space="preserve">3.3 Schutz der Anwendung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Content-Security-Policy ohne externe Quellen, z. B.</w:t>
            </w:r>
            <w:r>
              <w:t xml:space="preserve"> </w:t>
            </w:r>
            <w:r>
              <w:rPr>
                <w:rStyle w:val="VerbatimChar"/>
              </w:rPr>
              <w:t xml:space="preserve">default-src 'self'; script-src 'self'; style-src 'self'; font-src 'self'; img-src 'self' data: blob:; connect-src 'self'; object-src 'none'; base-uri 'self'; frame-ancestors 'none'; form-action 'self'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weitere Sicherheits-Header: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[strict-origin-when-cross-origin]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(Standort und Kamera nur für die eigene Herkunft)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Upload-Prüfung: erlaubte Dateitypen [JPEG, PNG, WebP, PDF], Prüfung des tatsächlichen Dateiinhalts (Signatur), Größenbegrenzung [10 MB], Speicherung außerhalb des Web-Verzeichnisses mit zufälligem Dateinamen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 vor Cross-Site-Request-Forgery durch</w:t>
            </w:r>
            <w:r>
              <w:t xml:space="preserve"> </w:t>
            </w:r>
            <w:r>
              <w:rPr>
                <w:rStyle w:val="VerbatimChar"/>
              </w:rPr>
              <w:t xml:space="preserve">SameSite</w:t>
            </w:r>
            <w:r>
              <w:t xml:space="preserve">-Cookies [und Prüfung von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/Token]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Eingabevalidierung und parametrisierte Datenbankabfragen; Ausgabe-Kodierung gegen Cross-Site-Scripting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Begrenzung der Anfragen je Zugang und IP-Adresse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Wenige Abhängigkeiten (kein Framework); regelmäßige Prüfung der Abhängigkeiten auf bekannte Schwachstellen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</w:tbl>
    <w:bookmarkEnd w:id="29"/>
    <w:bookmarkEnd w:id="30"/>
    <w:bookmarkStart w:id="31" w:name="X61b537aa7dbb0ed2da6d48d3e3758d218f0deac"/>
    <w:p>
      <w:pPr>
        <w:pStyle w:val="Heading2"/>
      </w:pPr>
      <w:r>
        <w:t xml:space="preserve">4. Verfügbarkeit und Belastbarkeit (Art. 32 Abs. 1 lit. b DSGVO)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Rechenzentrum mit redundanter Strom- und Netzanbindung, USV, Klimatisierung, Brandfrüherkennung (Nachweis durch Zertifikat)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Mindestens tägliche, verschlüsselte Datensicherung von Datenbank und Dateien an einen räumlich getrennten Ort in Deutschland ([Backup-Anbieter]); Aufbewahrung 30 Tage rollierend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Überwachung der Erreichbarkeit im Minutentakt, Alarmierung der Bereitschaft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Offline-Warteschlange in der Fahrer-App überbrückt Funklöcher und kurze Unterbrechungen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Patch-Management: Sicherheitsaktualisierungen von Betriebssystem und Node.js 22 (LTS) innerhalb von [14] Tagen, bei kritischen Schwachstellen innerhalb von [72] 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Speicherkontingente und Überlaufpuffer, damit Uploads laufender Zustellungen nicht scheitern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 vor Überlastung durch Anfragebegrenzung [und vorgelagerten DDoS-Schutz des Hosting-Anbieters]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</w:tbl>
    <w:bookmarkEnd w:id="31"/>
    <w:bookmarkStart w:id="32" w:name="Xd58343cd4e6fd5684ff4f17751249e643366232"/>
    <w:p>
      <w:pPr>
        <w:pStyle w:val="Heading2"/>
      </w:pPr>
      <w:r>
        <w:t xml:space="preserve">5. Wiederherstellbarkeit (Art. 32 Abs. 1 lit. c DSGVO)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Dokumentiertes Wiederherstellungsverfahren für Datenbank und Dateien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Wiederherstellungstests mindestens vierteljährlich, mit Protokoll (Datum, Dauer, Ergebnis)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Zielwerte: Wiederherstellungszeit [8 Stunden / Premium 4 Stunden], maximaler Datenverlust [24 Stunden / 15 Minuten]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Notfallplan mit Zuständigkeiten, Kontaktliste und Kommunikationsvorlagen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</w:tbl>
    <w:bookmarkEnd w:id="32"/>
    <w:bookmarkStart w:id="33" w:name="X98ab2bca71ad550bdae251b3fbce5632c1aa8a5"/>
    <w:p>
      <w:pPr>
        <w:pStyle w:val="Heading2"/>
      </w:pPr>
      <w:r>
        <w:t xml:space="preserve">6. Verfahren zur regelmäßigen Überprüfung (Art. 32 Abs. 1 lit. d DSGVO)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Jährliche Überprüfung und Aktualisierung dieser TOM; zusätzlich bei wesentlichen Änderungen der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 Tests zu Rechten und Mandantentrennung bei jeder 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[Jährlicher externer Sicherheitstest (Penetrationstest)]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Verfahren zur Behandlung von Sicherheitsvorfällen und Datenschutzverletzungen mit Meldung an Kunden innerhalb von [24] Stunden (AVV §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Verfahren zur Entgegennahme und Behandlung von Schwachstellenmeldungen (</w:t>
            </w:r>
            <w:r>
              <w:rPr>
                <w:rStyle w:val="VerbatimChar"/>
              </w:rPr>
              <w:t xml:space="preserve">security.txt</w:t>
            </w:r>
            <w:r>
              <w:t xml:space="preserve">, [Sicherheits-E-Mail]); für Store-Apps zusätzlich Meldewege nach Art. 14 CRA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Prüfung der Unterauftragsverarbeiter vor Beauftragung und danach [jährlich]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</w:tbl>
    <w:bookmarkEnd w:id="33"/>
    <w:bookmarkStart w:id="34" w:name="X963f0371f3054463a124fc938764cd8e75de6ab"/>
    <w:p>
      <w:pPr>
        <w:pStyle w:val="Heading2"/>
      </w:pPr>
      <w:r>
        <w:t xml:space="preserve">7. Auftragskontrolle und Organisation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Maßnahme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Schriftliche bzw. elektronische Verträge nach Art. 28 DSGVO mit allen Unterauftragsverarbeitern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Verpflichtung aller Mitarbeiter und freien Mitarbeiter auf Vertraulichkeit und Datenschutz vor Aufnahme der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Datenschutz- und Sicherheitsschulung bei Einstellung und danach jährlich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Berechtigungen nach dem Prinzip der minimalen Rechte; Entzug aller Zugänge beim Ausscheiden am letzten Arbeitstag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Verzeichnis von Verarbeitungstätigkeiten als Verantwortlicher (Art. 30 Abs. 1) und als Auftragsverarbeiter (Art. 30 Abs.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Benennung eines Datenschutzkontakts bzw. Datenschutzbeauftragten: [Datenschutzkontakt]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Arbeitsplatzgeräte mit Festplattenverschlüsselung, Bildschirmsperre und aktuellen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[U/G]</w:t>
            </w:r>
          </w:p>
        </w:tc>
      </w:tr>
    </w:tbl>
    <w:bookmarkEnd w:id="34"/>
    <w:bookmarkStart w:id="35" w:name="Xb363d441024e9c2611b5bb31cf7307d0e42c986"/>
    <w:p>
      <w:pPr>
        <w:pStyle w:val="Heading2"/>
      </w:pPr>
      <w:r>
        <w:t xml:space="preserve">8. Löschkonzept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Verfahren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Lieferungen mit Verlauf und Dokumenten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Einstellung des Kunden (Voreinstellung [3] Jahre, einstellbar 1–10 Jahre)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Löschung im Produktivsystem; Ausnahme bei markiertem Streitfall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Standortangaben beim Statuswechsel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Einstellung des Kunden (Voreinstellung [90] 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Löschung der Koordinaten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Stammdaten deaktivierter 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 Monate nach Deaktivierung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Löschung; Name verbleibt in Lieferungen bis zu deren Löschung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In-App-Benachrichtigungen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[90] 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Audit-Log des Mandanten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Abmeldung, PIN-Reset oder 90 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Push-Abonnements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Abmeldung, Widerruf im Browser oder Rückmeldung des Push-Dienstes, dass das Abonnement ungültig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Server-Protokolle mit IP-Adresse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 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Kundendaten nach Vertragsende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Tage Abrufzeitraum, danach Löschung innerhalb von [30] Tagen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Löschung des Mandanten und aller Dateien, Bestätigung auf Verlangen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Tage rollierend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Überschreiben im Sicherungszyklus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Datenträger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Austausch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Löschung bzw. Vernichtung durch das Rechenzentrum nach anerkanntem Standard (Nachweis durch Zertifikat)</w:t>
            </w:r>
          </w:p>
        </w:tc>
      </w:tr>
    </w:tbl>
    <w:bookmarkEnd w:id="35"/>
    <w:bookmarkStart w:id="36" w:name="X124d15e096d71bc151bac65ccb859f526d3761f"/>
    <w:p>
      <w:pPr>
        <w:pStyle w:val="Heading2"/>
      </w:pPr>
      <w:r>
        <w:t xml:space="preserve">9. Hinweise für Kunden (Maßnahmen im Verantwortungsbereich des Kunden)</w:t>
      </w:r>
    </w:p>
    <w:p>
      <w:pPr>
        <w:numPr>
          <w:ilvl w:val="0"/>
          <w:numId w:val="1001"/>
        </w:numPr>
        <w:pStyle w:val="Compact"/>
      </w:pPr>
      <w:r>
        <w:t xml:space="preserve">Fahrer-Geräte mit Bildschirmsperre und Geräteverschlüsselung betreiben; die Offline-Warteschlange liegt unverschlüsselt im Speicher des Browsers und wird durch die Geräteverschlüsselung geschützt.</w:t>
      </w:r>
    </w:p>
    <w:p>
      <w:pPr>
        <w:numPr>
          <w:ilvl w:val="0"/>
          <w:numId w:val="1001"/>
        </w:numPr>
        <w:pStyle w:val="Compact"/>
      </w:pPr>
      <w:r>
        <w:t xml:space="preserve">Bei Verlust eines Geräts PIN zurücksetzen; dadurch werden alle Sitzungen beendet.</w:t>
      </w:r>
    </w:p>
    <w:p>
      <w:pPr>
        <w:numPr>
          <w:ilvl w:val="0"/>
          <w:numId w:val="1001"/>
        </w:numPr>
        <w:pStyle w:val="Compact"/>
      </w:pPr>
      <w:r>
        <w:t xml:space="preserve">Zugänge ausscheidender Mitarbeiter sofort deaktivieren.</w:t>
      </w:r>
    </w:p>
    <w:p>
      <w:pPr>
        <w:numPr>
          <w:ilvl w:val="0"/>
          <w:numId w:val="1001"/>
        </w:numPr>
        <w:pStyle w:val="Compact"/>
      </w:pPr>
      <w:r>
        <w:t xml:space="preserve">Einladungslinks nicht in Gruppen-Chats teilen.</w:t>
      </w:r>
    </w:p>
    <w:p>
      <w:pPr>
        <w:numPr>
          <w:ilvl w:val="0"/>
          <w:numId w:val="1001"/>
        </w:numPr>
        <w:pStyle w:val="Compact"/>
      </w:pPr>
      <w:r>
        <w:t xml:space="preserve">Dokumente mit Aufbewahrungspflicht regelmäßig exportieren und GoBD-konform archivieren.</w:t>
      </w:r>
    </w:p>
    <w:p>
      <w:pPr>
        <w:pStyle w:val="BlockText"/>
      </w:pPr>
      <w:r>
        <w:rPr>
          <w:bCs/>
          <w:b/>
        </w:rPr>
        <w:t xml:space="preserve">Prüfhinweis (Technik):</w:t>
      </w:r>
      <w:r>
        <w:t xml:space="preserve"> </w:t>
      </w:r>
      <w:r>
        <w:t xml:space="preserve">Jede Zeile mit [U/G] vor Veröffentlichung bestätigen. Besonders prüfen: scrypt-Parameter, Gültigkeit der Einladungslinks, Entfernung von EXIF-Daten, lokale Auswertung der Fahrsperre, getrennte Löschfristen (in PLAN.md bisher nur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), Verschlüsselung der Sicherungen, Zwei-Faktor-Authentifizierung für die Plattform-Konsole.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2026-10-16T21:43:12Z</dcterms:created>
  <dcterms:modified xsi:type="dcterms:W3CDTF">2026-10-16T21:43:12Z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