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ste-der-unterauftragsverarbeiter"/>
    <w:p>
      <w:pPr>
        <w:pStyle w:val="Heading1"/>
      </w:pPr>
      <w:r>
        <w:t xml:space="preserve">Liste der Unterauftragsverarbeiter</w:t>
      </w:r>
    </w:p>
    <w:p>
      <w:pPr>
        <w:pStyle w:val="BlockText"/>
      </w:pPr>
      <w:r>
        <w:rPr>
          <w:bCs/>
          <w:b/>
        </w:rPr>
        <w:t xml:space="preserve">Hinweis – Muster, keine Rechtsberatung.</w:t>
      </w:r>
      <w:r>
        <w:t xml:space="preserve"> </w:t>
      </w:r>
      <w:r>
        <w:t xml:space="preserve">Dieses Dokument ist ein Mustertext für LADEKLAR. Es ersetzt keine Rechtsberatung und ist vor Verwendung anwaltlich prüfen zu lassen. Platzhalter in [eckigen Klammern] ausfüllen. Mit „Prüfhinweis“ gekennzeichnete Anmerkungen sind vor Veröffentlichung zu entfernen. Recherchestand: 16.10.2026.</w:t>
      </w:r>
    </w:p>
    <w:p>
      <w:pPr>
        <w:pStyle w:val="FirstParagraph"/>
      </w:pPr>
      <w:r>
        <w:t xml:space="preserve">Anlage 3 zum Auftragsverarbeitungsvertrag von [Firma] [Rechtsform] („Anbieter“)</w:t>
      </w:r>
    </w:p>
    <w:p>
      <w:pPr>
        <w:pStyle w:val="BodyText"/>
      </w:pPr>
      <w:r>
        <w:t xml:space="preserve">Stand: [Datum] · Version [1.0] · veröffentlicht unter [Website-URL/unterauftragsverarbeiter]</w:t>
      </w:r>
    </w:p>
    <w:p>
      <w:r>
        <w:pict>
          <v:rect style="width:0;height:1.5pt" o:hralign="center" o:hrstd="t" o:hr="t"/>
        </w:pict>
      </w:r>
    </w:p>
    <w:bookmarkStart w:id="20" w:name="Xe00abd624dba7069a999451eaaa1dbf613df8db"/>
    <w:p>
      <w:pPr>
        <w:pStyle w:val="Heading2"/>
      </w:pPr>
      <w:r>
        <w:t xml:space="preserve">1. Unterauftragsverarbeiter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Unterauftragsverarbeiter (Name, Anschrift)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Verarbeitete Daten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 der Verarbeitung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Garantie bei Drittland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 Unterauftragsverarbeiter (Kette)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[Hosting-Anbieter], [Anschrift]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Rechenzentrum, Server, Speicher, Netz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Kundendaten (Anlage 1 AVV)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[Ort], Deutschland; Rechenzentrum zertifiziert nach ISO/IEC 27001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erforderlich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 / Angabe]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[Backup-Anbieter], [Anschrift]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Speicherung verschlüsselter Datensicherungen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Kundendaten, vor Übertragung verschlüsselt; kein Zugriff auf Schlüssel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[Ort], Deutschland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erforderlich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 / Angabe]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[E-Mail-Versanddienst], [Anschrift]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Versand von System-E-Mails (Einladung von Admins und Disponenten, Passwort zurücksetzen, Benachrichtigungen zum Konto)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Name, E-Mail-Adresse, Inhalt der System-E-Mail, Zustellprotokolle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[Ort], [EU/Deutschland]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[nicht erforderlich / Angabe]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[Angabe]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Xb77d2320856e05e5262bb7cfb7e1d1516dc7b94"/>
    <w:p>
      <w:pPr>
        <w:pStyle w:val="Heading2"/>
      </w:pPr>
      <w:r>
        <w:t xml:space="preserve">2. Push-Dienste (Sonderstellung)</w:t>
      </w:r>
    </w:p>
    <w:p>
      <w:pPr>
        <w:pStyle w:val="FirstParagraph"/>
      </w:pPr>
      <w:r>
        <w:t xml:space="preserve">Push-Benachrichtigungen werden über den Push-Dienst zugestellt, den der Browser bzw. das Betriebssystem des jeweiligen Geräts vorgibt. Der Anbieter wählt den Dienst nicht aus. Bei Web-Push ist die Nutzlast Ende-zu-Ende verschlüsselt (RFC 8291); der Push-Dienst kann den Inhalt nicht lesen. Er verarbeitet die Endpunkt-Adresse des Abonnements, Zeitpunkt, Größe und Dringlichkeit der Nachricht sowie die IP-Adresse des Servers und des Geräts.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 Geräte/Browser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Anbieter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Garantie bei Drittland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 (FCM)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Opera, Samsung Internet und andere Chromium-Browser unter Android und Desktop; White-Label-App unter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[Ireland Limited / LLC, USA]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EU-US Data Privacy Framework [Zertifizierung prüfen]; Standardvertragsklauseln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Push Notification service (APNs) bzw. Web Push von 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 unter macOS, iOS/iPadOS ab 16.4 (installierte Web-App); White-Label-App unter 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[Distribution International Ltd. / Inc., USA]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EU-US Data Privacy Framework [Zertifizierung prüfen]; Standardvertragsklauseln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 Push Service (Autopush)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Mozilla Corporation,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[Zertifizierung prüfen]; Standardvertragsklauseln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Push Notification Services (WNS)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Edge unter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[Ireland Operations Ltd. / Corporation, USA]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EU/USA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EU-US Data Privacy Framework [Zertifizierung prüfen]; Standardvertragsklauseln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Prüfhinweis:</w:t>
      </w:r>
      <w:r>
        <w:t xml:space="preserve"> </w:t>
      </w:r>
      <w:r>
        <w:t xml:space="preserve">Ob Push-Dienste Unterauftragsverarbeiter (Art. 28 Abs. 2 DSGVO) oder eigenständige Übermittlungsdienste sind, ist nicht abschließend geklärt. Für Web-Push spricht vieles für eine bloße Transportfunktion (verschlüsselte Nutzlast, Dienst vom Browser vorgegeben, kein Vertrag des Anbieters mit Mozilla oder Microsoft). Bei der White-Label-App schließt der Anbieter bzw. Kunde dagegen Verträge mit Google (Firebase) und Apple; dort ist eine Einordnung als Unterauftragsverarbeiter naheliegend. Die Liste führt die Dienste vorsorglich transparent auf. Vor Veröffentlichung: (a) tatsächlich vorkommende Endpunkt-Hosts aus den gespeicherten Abonnements auswerten (z. B.</w:t>
      </w:r>
      <w:r>
        <w:t xml:space="preserve"> </w:t>
      </w:r>
      <w:r>
        <w:rPr>
          <w:rStyle w:val="VerbatimChar"/>
        </w:rPr>
        <w:t xml:space="preserve">fcm.googleapis.com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web.push.apple.com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updates.push.services.mozilla.com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*.notify.windows.com</w:t>
      </w:r>
      <w:r>
        <w:t xml:space="preserve">), (b) DPF-Zertifizierung je Unternehmen in der offiziellen Liste prüfen (dataprivacyframework.gov), (c) Vertragspartner und Auftragsverarbeitungsbedingungen von Firebase und Apple dokumentieren. Zum DPF: Klage abgewiesen durch das EuG am 03.09.2025 (T-553/23), Rechtsmittel C-703/25 P beim EuGH anhängig.</w:t>
      </w:r>
    </w:p>
    <w:bookmarkEnd w:id="21"/>
    <w:bookmarkStart w:id="22" w:name="X884a0663d5c9e90a07b4e04413da726c07f40b0"/>
    <w:p>
      <w:pPr>
        <w:pStyle w:val="Heading2"/>
      </w:pPr>
      <w:r>
        <w:t xml:space="preserve">3. Keine Unterauftragsverarbeiter</w:t>
      </w:r>
    </w:p>
    <w:p>
      <w:pPr>
        <w:pStyle w:val="FirstParagraph"/>
      </w:pPr>
      <w:r>
        <w:t xml:space="preserve">Nicht als Unterauftragsverarbeiter gelten insbesondere:</w:t>
      </w:r>
    </w:p>
    <w:p>
      <w:pPr>
        <w:numPr>
          <w:ilvl w:val="0"/>
          <w:numId w:val="1001"/>
        </w:numPr>
        <w:pStyle w:val="Compact"/>
      </w:pPr>
      <w:r>
        <w:t xml:space="preserve">Telekommunikations- und Internetzugangsanbieter;</w:t>
      </w:r>
    </w:p>
    <w:p>
      <w:pPr>
        <w:numPr>
          <w:ilvl w:val="0"/>
          <w:numId w:val="1001"/>
        </w:numPr>
        <w:pStyle w:val="Compact"/>
      </w:pPr>
      <w:r>
        <w:t xml:space="preserve">die App-Stores von Apple und Google beim Vertrieb der White-Label-App (eigene Verantwortlichkeit gegenüber den Nutzern der Stores);</w:t>
      </w:r>
    </w:p>
    <w:p>
      <w:pPr>
        <w:numPr>
          <w:ilvl w:val="0"/>
          <w:numId w:val="1001"/>
        </w:numPr>
        <w:pStyle w:val="Compact"/>
      </w:pPr>
      <w:r>
        <w:t xml:space="preserve">Navigationsdienste (Google Maps, Apple Karten), die die Fahrer-App lediglich mit der Zieladresse öffnet; die Plattform bindet keine Karten ein;</w:t>
      </w:r>
    </w:p>
    <w:p>
      <w:pPr>
        <w:numPr>
          <w:ilvl w:val="0"/>
          <w:numId w:val="1001"/>
        </w:numPr>
        <w:pStyle w:val="Compact"/>
      </w:pPr>
      <w:r>
        <w:t xml:space="preserve">Messenger-Dienste, über die der Kunde Einladungslinks selbst weiterleitet;</w:t>
      </w:r>
    </w:p>
    <w:p>
      <w:pPr>
        <w:numPr>
          <w:ilvl w:val="0"/>
          <w:numId w:val="1001"/>
        </w:numPr>
        <w:pStyle w:val="Compact"/>
      </w:pPr>
      <w:r>
        <w:t xml:space="preserve">Dienstleister des Anbieters ohne Zugriff auf Kundendaten (z. B. Buchhaltung, Steuerberatung, Erreichbarkeitsüberwachung ohne personenbezogene Daten).</w:t>
      </w:r>
    </w:p>
    <w:bookmarkEnd w:id="22"/>
    <w:bookmarkStart w:id="23" w:name="X924cb4dc03bb56deada4519287f11c4701806c5"/>
    <w:p>
      <w:pPr>
        <w:pStyle w:val="Heading2"/>
      </w:pPr>
      <w:r>
        <w:t xml:space="preserve">4. Änderungen</w:t>
      </w:r>
    </w:p>
    <w:p>
      <w:pPr>
        <w:pStyle w:val="FirstParagraph"/>
      </w:pPr>
      <w:r>
        <w:t xml:space="preserve">(1) Der Anbieter informiert den Kunden mindestens [30] Tage vor der Hinzuziehung oder dem Austausch eines Unterauftragsverarbeiters per E-Mail an den Admin und über einen Hinweis in der Plattform. Die Mitteilung nennt Name, Anschrift, Leistung, Ort der Verarbeitung und gegebenenfalls die Garantie für die Drittlandübermittlung.</w:t>
      </w:r>
    </w:p>
    <w:p>
      <w:pPr>
        <w:pStyle w:val="BodyText"/>
      </w:pPr>
      <w:r>
        <w:t xml:space="preserve">(2) Der Kunde kann innerhalb dieser Frist aus wichtigem datenschutzrechtlichem Grund in Textform an [Datenschutzkontakt] widersprechen. Die Folgen eines Widerspruchs regelt § 5 Abs. 2 AVV.</w:t>
      </w:r>
    </w:p>
    <w:p>
      <w:pPr>
        <w:pStyle w:val="BodyText"/>
      </w:pPr>
      <w:r>
        <w:t xml:space="preserve">(3) Kunden können Änderungsmitteilungen zusätzlich unter [Website-URL/unterauftragsverarbeiter] abonnieren.</w:t>
      </w:r>
    </w:p>
    <w:bookmarkEnd w:id="23"/>
    <w:bookmarkStart w:id="24" w:name="X282b9aad96b106cdf9acef0d8aca5cf517f7bb3"/>
    <w:p>
      <w:pPr>
        <w:pStyle w:val="Heading2"/>
      </w:pPr>
      <w:r>
        <w:t xml:space="preserve">5. Änderungsverlauf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Erstfassung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2026-10-16T21:43:13Z</dcterms:created>
  <dcterms:modified xsi:type="dcterms:W3CDTF">2026-10-16T21:43:13Z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