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fcc30990f33f1a35ca2ab6af47dc52084313158"/>
    <w:p>
      <w:pPr>
        <w:pStyle w:val="Heading1"/>
      </w:pPr>
      <w:r>
        <w:t xml:space="preserve">Allgemeine Geschäftsbedingungen und SaaS-Nutzungsvertrag LADEKLAR</w:t>
      </w:r>
    </w:p>
    <w:p>
      <w:pPr>
        <w:pStyle w:val="FirstParagraph"/>
      </w:pPr>
      <w:r>
        <w:rPr>
          <w:bCs/>
          <w:b/>
        </w:rPr>
        <w:t xml:space="preserve">für Unternehmer im Sinne des § 14 BGB</w:t>
      </w:r>
    </w:p>
    <w:p>
      <w:pPr>
        <w:pStyle w:val="BlockText"/>
      </w:pPr>
      <w:r>
        <w:rPr>
          <w:bCs/>
          <w:b/>
        </w:rPr>
        <w:t xml:space="preserve">Hinweis – Muster, keine Rechtsberatung.</w:t>
      </w:r>
      <w:r>
        <w:t xml:space="preserve"> </w:t>
      </w:r>
      <w:r>
        <w:t xml:space="preserve">Dieses Dokument ist ein Mustertext für LADEKLAR. Es ersetzt keine Rechtsberatung und ist vor Verwendung anwaltlich prüfen zu lassen. Platzhalter in [eckigen Klammern] ausfüllen. Mit „Prüfhinweis“ gekennzeichnete Anmerkungen richten sich an die prüfende Anwältin bzw. den prüfenden Anwalt und sind vor Veröffentlichung zu entfernen. Recherchestand: 16.10.2026.</w:t>
      </w:r>
    </w:p>
    <w:p>
      <w:pPr>
        <w:pStyle w:val="FirstParagraph"/>
      </w:pPr>
      <w:r>
        <w:t xml:space="preserve">Anbieter: [Firma] [Rechtsform], [Anschrift], vertreten durch [Vertretungsberechtigte Person], eingetragen beim [Registergericht/HRB], USt-IdNr. [USt-IdNr.], E-Mail [E-Mail], Telefon [Telefon]</w:t>
      </w:r>
    </w:p>
    <w:p>
      <w:pPr>
        <w:pStyle w:val="BodyText"/>
      </w:pPr>
      <w:r>
        <w:t xml:space="preserve">Stand: [Datum] · Version [1.0]</w:t>
      </w:r>
    </w:p>
    <w:p>
      <w:r>
        <w:pict>
          <v:rect style="width:0;height:1.5pt" o:hralign="center" o:hrstd="t" o:hr="t"/>
        </w:pict>
      </w:r>
    </w:p>
    <w:bookmarkStart w:id="20" w:name="inhaltsübersicht"/>
    <w:p>
      <w:pPr>
        <w:pStyle w:val="Heading2"/>
      </w:pPr>
      <w:r>
        <w:t xml:space="preserve">Inhaltsübersicht</w:t>
      </w:r>
    </w:p>
    <w:p>
      <w:pPr>
        <w:numPr>
          <w:ilvl w:val="0"/>
          <w:numId w:val="1001"/>
        </w:numPr>
        <w:pStyle w:val="Compact"/>
      </w:pPr>
      <w:r>
        <w:t xml:space="preserve">Geltungsbereich, Vertragsbestandteile</w:t>
      </w:r>
    </w:p>
    <w:p>
      <w:pPr>
        <w:numPr>
          <w:ilvl w:val="0"/>
          <w:numId w:val="1001"/>
        </w:numPr>
        <w:pStyle w:val="Compact"/>
      </w:pPr>
      <w:r>
        <w:t xml:space="preserve">Begriffsbestimmungen</w:t>
      </w:r>
    </w:p>
    <w:p>
      <w:pPr>
        <w:numPr>
          <w:ilvl w:val="0"/>
          <w:numId w:val="1001"/>
        </w:numPr>
        <w:pStyle w:val="Compact"/>
      </w:pPr>
      <w:r>
        <w:t xml:space="preserve">Vertragsschluss, Registrierung</w:t>
      </w:r>
    </w:p>
    <w:p>
      <w:pPr>
        <w:numPr>
          <w:ilvl w:val="0"/>
          <w:numId w:val="1001"/>
        </w:numPr>
        <w:pStyle w:val="Compact"/>
      </w:pPr>
      <w:r>
        <w:t xml:space="preserve">Testphase</w:t>
      </w:r>
    </w:p>
    <w:p>
      <w:pPr>
        <w:numPr>
          <w:ilvl w:val="0"/>
          <w:numId w:val="1001"/>
        </w:numPr>
        <w:pStyle w:val="Compact"/>
      </w:pPr>
      <w:r>
        <w:t xml:space="preserve">Vertragsgegenstand und Leistungsumfang</w:t>
      </w:r>
    </w:p>
    <w:p>
      <w:pPr>
        <w:numPr>
          <w:ilvl w:val="0"/>
          <w:numId w:val="1001"/>
        </w:numPr>
        <w:pStyle w:val="Compact"/>
      </w:pPr>
      <w:r>
        <w:t xml:space="preserve">Zusatzleistungen und White-Label-App</w:t>
      </w:r>
    </w:p>
    <w:p>
      <w:pPr>
        <w:numPr>
          <w:ilvl w:val="0"/>
          <w:numId w:val="1001"/>
        </w:numPr>
        <w:pStyle w:val="Compact"/>
      </w:pPr>
      <w:r>
        <w:t xml:space="preserve">Nutzungsrechte</w:t>
      </w:r>
    </w:p>
    <w:p>
      <w:pPr>
        <w:numPr>
          <w:ilvl w:val="0"/>
          <w:numId w:val="1001"/>
        </w:numPr>
        <w:pStyle w:val="Compact"/>
      </w:pPr>
      <w:r>
        <w:t xml:space="preserve">Branding, Rechte an Logo und Marke, Freistellung</w:t>
      </w:r>
    </w:p>
    <w:p>
      <w:pPr>
        <w:numPr>
          <w:ilvl w:val="0"/>
          <w:numId w:val="1001"/>
        </w:numPr>
        <w:pStyle w:val="Compact"/>
      </w:pPr>
      <w:r>
        <w:t xml:space="preserve">Pflichten und Obliegenheiten des Kunden</w:t>
      </w:r>
    </w:p>
    <w:p>
      <w:pPr>
        <w:numPr>
          <w:ilvl w:val="0"/>
          <w:numId w:val="1001"/>
        </w:numPr>
        <w:pStyle w:val="Compact"/>
      </w:pPr>
      <w:r>
        <w:t xml:space="preserve">Unzulässige Nutzung, vorübergehende Beschränkung</w:t>
      </w:r>
    </w:p>
    <w:p>
      <w:pPr>
        <w:numPr>
          <w:ilvl w:val="0"/>
          <w:numId w:val="1001"/>
        </w:numPr>
        <w:pStyle w:val="Compact"/>
      </w:pPr>
      <w:r>
        <w:t xml:space="preserve">Verfügbarkeit, Wartung, Support</w:t>
      </w:r>
    </w:p>
    <w:p>
      <w:pPr>
        <w:numPr>
          <w:ilvl w:val="0"/>
          <w:numId w:val="1001"/>
        </w:numPr>
        <w:pStyle w:val="Compact"/>
      </w:pPr>
      <w:r>
        <w:t xml:space="preserve">Weiterentwicklung der Plattform</w:t>
      </w:r>
    </w:p>
    <w:p>
      <w:pPr>
        <w:numPr>
          <w:ilvl w:val="0"/>
          <w:numId w:val="1001"/>
        </w:numPr>
        <w:pStyle w:val="Compact"/>
      </w:pPr>
      <w:r>
        <w:t xml:space="preserve">Vergütung, Abrechnung, Zahlung</w:t>
      </w:r>
    </w:p>
    <w:p>
      <w:pPr>
        <w:numPr>
          <w:ilvl w:val="0"/>
          <w:numId w:val="1001"/>
        </w:numPr>
        <w:pStyle w:val="Compact"/>
      </w:pPr>
      <w:r>
        <w:t xml:space="preserve">Zahlungsverzug und Sperrung</w:t>
      </w:r>
    </w:p>
    <w:p>
      <w:pPr>
        <w:numPr>
          <w:ilvl w:val="0"/>
          <w:numId w:val="1001"/>
        </w:numPr>
        <w:pStyle w:val="Compact"/>
      </w:pPr>
      <w:r>
        <w:t xml:space="preserve">Preisanpassung</w:t>
      </w:r>
    </w:p>
    <w:p>
      <w:pPr>
        <w:numPr>
          <w:ilvl w:val="0"/>
          <w:numId w:val="1001"/>
        </w:numPr>
        <w:pStyle w:val="Compact"/>
      </w:pPr>
      <w:r>
        <w:t xml:space="preserve">Laufzeit und Kündigung</w:t>
      </w:r>
    </w:p>
    <w:p>
      <w:pPr>
        <w:numPr>
          <w:ilvl w:val="0"/>
          <w:numId w:val="1001"/>
        </w:numPr>
        <w:pStyle w:val="Compact"/>
      </w:pPr>
      <w:r>
        <w:t xml:space="preserve">Datenexport und Anbieterwechsel (EU Data Act)</w:t>
      </w:r>
    </w:p>
    <w:p>
      <w:pPr>
        <w:numPr>
          <w:ilvl w:val="0"/>
          <w:numId w:val="1001"/>
        </w:numPr>
        <w:pStyle w:val="Compact"/>
      </w:pPr>
      <w:r>
        <w:t xml:space="preserve">Vertragsende, Abrufzeitraum und Löschung</w:t>
      </w:r>
    </w:p>
    <w:p>
      <w:pPr>
        <w:numPr>
          <w:ilvl w:val="0"/>
          <w:numId w:val="1001"/>
        </w:numPr>
        <w:pStyle w:val="Compact"/>
      </w:pPr>
      <w:r>
        <w:t xml:space="preserve">Mängelrechte</w:t>
      </w:r>
    </w:p>
    <w:p>
      <w:pPr>
        <w:numPr>
          <w:ilvl w:val="0"/>
          <w:numId w:val="1001"/>
        </w:numPr>
        <w:pStyle w:val="Compact"/>
      </w:pPr>
      <w:r>
        <w:t xml:space="preserve">Haftung</w:t>
      </w:r>
    </w:p>
    <w:p>
      <w:pPr>
        <w:numPr>
          <w:ilvl w:val="0"/>
          <w:numId w:val="1001"/>
        </w:numPr>
        <w:pStyle w:val="Compact"/>
      </w:pPr>
      <w:r>
        <w:t xml:space="preserve">Schutzrechte Dritter, Freistellung</w:t>
      </w:r>
    </w:p>
    <w:p>
      <w:pPr>
        <w:numPr>
          <w:ilvl w:val="0"/>
          <w:numId w:val="1001"/>
        </w:numPr>
        <w:pStyle w:val="Compact"/>
      </w:pPr>
      <w:r>
        <w:t xml:space="preserve">Datenschutz</w:t>
      </w:r>
    </w:p>
    <w:p>
      <w:pPr>
        <w:numPr>
          <w:ilvl w:val="0"/>
          <w:numId w:val="1001"/>
        </w:numPr>
        <w:pStyle w:val="Compact"/>
      </w:pPr>
      <w:r>
        <w:t xml:space="preserve">Vertraulichkeit</w:t>
      </w:r>
    </w:p>
    <w:p>
      <w:pPr>
        <w:numPr>
          <w:ilvl w:val="0"/>
          <w:numId w:val="1001"/>
        </w:numPr>
        <w:pStyle w:val="Compact"/>
      </w:pPr>
      <w:r>
        <w:t xml:space="preserve">Informationssicherheit, Sicherheitsvorfälle, NIS2</w:t>
      </w:r>
    </w:p>
    <w:p>
      <w:pPr>
        <w:numPr>
          <w:ilvl w:val="0"/>
          <w:numId w:val="1001"/>
        </w:numPr>
        <w:pStyle w:val="Compact"/>
      </w:pPr>
      <w:r>
        <w:t xml:space="preserve">Referenznennung</w:t>
      </w:r>
    </w:p>
    <w:p>
      <w:pPr>
        <w:numPr>
          <w:ilvl w:val="0"/>
          <w:numId w:val="1001"/>
        </w:numPr>
        <w:pStyle w:val="Compact"/>
      </w:pPr>
      <w:r>
        <w:t xml:space="preserve">Höhere Gewalt</w:t>
      </w:r>
    </w:p>
    <w:p>
      <w:pPr>
        <w:numPr>
          <w:ilvl w:val="0"/>
          <w:numId w:val="1001"/>
        </w:numPr>
        <w:pStyle w:val="Compact"/>
      </w:pPr>
      <w:r>
        <w:t xml:space="preserve">Änderungen dieser AGB</w:t>
      </w:r>
    </w:p>
    <w:p>
      <w:pPr>
        <w:numPr>
          <w:ilvl w:val="0"/>
          <w:numId w:val="1001"/>
        </w:numPr>
        <w:pStyle w:val="Compact"/>
      </w:pPr>
      <w:r>
        <w:t xml:space="preserve">Schlussbestimmungen</w:t>
      </w:r>
    </w:p>
    <w:p>
      <w:pPr>
        <w:pStyle w:val="FirstParagraph"/>
      </w:pPr>
      <w:r>
        <w:t xml:space="preserve">Anlage A – Exportierbare und nicht exportierbare Daten</w:t>
      </w:r>
    </w:p>
    <w:p>
      <w:r>
        <w:pict>
          <v:rect style="width:0;height:1.5pt" o:hralign="center" o:hrstd="t" o:hr="t"/>
        </w:pict>
      </w:r>
    </w:p>
    <w:bookmarkEnd w:id="20"/>
    <w:bookmarkStart w:id="21" w:name="Xad858da3871a6ba735c9240ce2eebdad2e36030"/>
    <w:p>
      <w:pPr>
        <w:pStyle w:val="Heading2"/>
      </w:pPr>
      <w:r>
        <w:t xml:space="preserve">§ 1 Geltungsbereich, Vertragsbestandteile</w:t>
      </w:r>
    </w:p>
    <w:p>
      <w:pPr>
        <w:pStyle w:val="FirstParagraph"/>
      </w:pPr>
      <w:r>
        <w:t xml:space="preserve">(1) Diese Allgemeinen Geschäftsbedingungen („AGB“) gelten für alle Verträge zwischen dem Anbieter und seinen Kunden über die Nutzung der Software-as-a-Service-Lösung „LADEKLAR“ („Plattform“) sowie über damit zusammenhängende Leistungen (Testphase, Zusatzleistungen, White-Label-App, Support).</w:t>
      </w:r>
    </w:p>
    <w:p>
      <w:pPr>
        <w:pStyle w:val="BodyText"/>
      </w:pPr>
      <w:r>
        <w:t xml:space="preserve">(2) Der Anbieter schließt Verträge ausschließlich mit Unternehmern im Sinne des § 14 BGB, juristischen Personen des öffentlichen Rechts und öffentlich-rechtlichen Sondervermögen. Verträge mit Verbrauchern im Sinne des § 13 BGB werden nicht geschlossen. Der Kunde bestätigt bei der Registrierung, dass er die Plattform ausschließlich für Zwecke seiner gewerblichen oder selbstständigen beruflichen Tätigkeit nutzt. Der Anbieter ist berechtigt, hierfür geeignete Nachweise zu verlangen, insbesondere einen Handelsregisterauszug, eine Gewerbeanmeldung oder die Umsatzsteuer-Identifikationsnummer.</w:t>
      </w:r>
    </w:p>
    <w:p>
      <w:pPr>
        <w:pStyle w:val="BodyText"/>
      </w:pPr>
      <w:r>
        <w:t xml:space="preserve">(3) Abweichende, entgegenstehende oder ergänzende Geschäftsbedingungen des Kunden werden nicht Vertragsbestandteil, auch wenn der Anbieter ihrer Geltung nicht ausdrücklich widerspricht oder Leistungen in Kenntnis solcher Bedingungen vorbehaltlos erbringt.</w:t>
      </w:r>
    </w:p>
    <w:p>
      <w:pPr>
        <w:pStyle w:val="BodyText"/>
      </w:pPr>
      <w:r>
        <w:t xml:space="preserve">(4) Vertragsbestandteile sind in folgender Rangfolge:</w:t>
      </w:r>
    </w:p>
    <w:p>
      <w:pPr>
        <w:numPr>
          <w:ilvl w:val="0"/>
          <w:numId w:val="1002"/>
        </w:numPr>
        <w:pStyle w:val="Compact"/>
      </w:pPr>
      <w:r>
        <w:t xml:space="preserve">individuelle Vereinbarungen, insbesondere ein vom Kunden angenommenes Angebot oder eine Bestellbestätigung;</w:t>
      </w:r>
    </w:p>
    <w:p>
      <w:pPr>
        <w:numPr>
          <w:ilvl w:val="0"/>
          <w:numId w:val="1002"/>
        </w:numPr>
        <w:pStyle w:val="Compact"/>
      </w:pPr>
      <w:r>
        <w:t xml:space="preserve">der Auftragsverarbeitungsvertrag („AVV“) samt Anlagen; er geht in allen Fragen des Schutzes personenbezogener Daten den übrigen Vertragsbestandteilen vor;</w:t>
      </w:r>
    </w:p>
    <w:p>
      <w:pPr>
        <w:numPr>
          <w:ilvl w:val="0"/>
          <w:numId w:val="1002"/>
        </w:numPr>
        <w:pStyle w:val="Compact"/>
      </w:pPr>
      <w:r>
        <w:t xml:space="preserve">die Leistungsbeschreibung und das Service Level Agreement („Leistungsbeschreibung/SLA“);</w:t>
      </w:r>
    </w:p>
    <w:p>
      <w:pPr>
        <w:numPr>
          <w:ilvl w:val="0"/>
          <w:numId w:val="1002"/>
        </w:numPr>
        <w:pStyle w:val="Compact"/>
      </w:pPr>
      <w:r>
        <w:t xml:space="preserve">diese AGB;</w:t>
      </w:r>
    </w:p>
    <w:p>
      <w:pPr>
        <w:numPr>
          <w:ilvl w:val="0"/>
          <w:numId w:val="1002"/>
        </w:numPr>
        <w:pStyle w:val="Compact"/>
      </w:pPr>
      <w:r>
        <w:t xml:space="preserve">die jeweils bei Vertragsschluss gültige Preisliste.</w:t>
      </w:r>
    </w:p>
    <w:p>
      <w:pPr>
        <w:pStyle w:val="FirstParagraph"/>
      </w:pPr>
      <w:r>
        <w:t xml:space="preserve">(5) Die Nutzungsbedingungen für Fahrer regeln das Verhalten der Fahrer bei der Nutzung der Fahrer-App. Der Kunde macht sie seinen Fahrern zugänglich (§ 9 Abs. 3).</w:t>
      </w:r>
    </w:p>
    <w:bookmarkEnd w:id="21"/>
    <w:bookmarkStart w:id="22" w:name="Xc52ffa91d711d8531915610059f96406eac77f5"/>
    <w:p>
      <w:pPr>
        <w:pStyle w:val="Heading2"/>
      </w:pPr>
      <w:r>
        <w:t xml:space="preserve">§ 2 Begriffsbestimmungen</w:t>
      </w:r>
    </w:p>
    <w:p>
      <w:pPr>
        <w:pStyle w:val="FirstParagraph"/>
      </w:pPr>
      <w:r>
        <w:t xml:space="preserve">Im Sinne dieser AGB bedeuten:</w:t>
      </w:r>
    </w:p>
    <w:p>
      <w:pPr>
        <w:numPr>
          <w:ilvl w:val="0"/>
          <w:numId w:val="1003"/>
        </w:numPr>
        <w:pStyle w:val="Compact"/>
      </w:pPr>
      <w:r>
        <w:rPr>
          <w:bCs/>
          <w:b/>
        </w:rPr>
        <w:t xml:space="preserve">Anbieter</w:t>
      </w:r>
      <w:r>
        <w:t xml:space="preserve">: der Lizenzgeber und Betreiber der Plattform, [Firma].</w:t>
      </w:r>
    </w:p>
    <w:p>
      <w:pPr>
        <w:numPr>
          <w:ilvl w:val="0"/>
          <w:numId w:val="1003"/>
        </w:numPr>
        <w:pStyle w:val="Compact"/>
      </w:pPr>
      <w:r>
        <w:rPr>
          <w:bCs/>
          <w:b/>
        </w:rPr>
        <w:t xml:space="preserve">Kunde</w:t>
      </w:r>
      <w:r>
        <w:t xml:space="preserve">: das Unternehmen, das mit dem Anbieter einen Vertrag über die Nutzung der Plattform schließt (Lizenznehmer), z. B. Spedition, Transportunternehmen, Kurierdienst oder Bauunternehmen mit eigenem Fuhrpark.</w:t>
      </w:r>
    </w:p>
    <w:p>
      <w:pPr>
        <w:numPr>
          <w:ilvl w:val="0"/>
          <w:numId w:val="1003"/>
        </w:numPr>
        <w:pStyle w:val="Compact"/>
      </w:pPr>
      <w:r>
        <w:rPr>
          <w:bCs/>
          <w:b/>
        </w:rPr>
        <w:t xml:space="preserve">Plattform</w:t>
      </w:r>
      <w:r>
        <w:t xml:space="preserve">: die vom Anbieter betriebene Software LADEKLAR in ihren Bereitstellungsformen Web-App, installierbare Web-App (PWA) und – soweit gebucht – White-Label-App, einschließlich der Schnittstellen (REST-API) und der Dokumentation.</w:t>
      </w:r>
    </w:p>
    <w:p>
      <w:pPr>
        <w:numPr>
          <w:ilvl w:val="0"/>
          <w:numId w:val="1003"/>
        </w:numPr>
        <w:pStyle w:val="Compact"/>
      </w:pPr>
      <w:r>
        <w:rPr>
          <w:bCs/>
          <w:b/>
        </w:rPr>
        <w:t xml:space="preserve">Mandant</w:t>
      </w:r>
      <w:r>
        <w:t xml:space="preserve">: der logisch von anderen Kunden getrennte Bereich des Kunden in der Plattform.</w:t>
      </w:r>
    </w:p>
    <w:p>
      <w:pPr>
        <w:numPr>
          <w:ilvl w:val="0"/>
          <w:numId w:val="1003"/>
        </w:numPr>
        <w:pStyle w:val="Compact"/>
      </w:pPr>
      <w:r>
        <w:rPr>
          <w:bCs/>
          <w:b/>
        </w:rPr>
        <w:t xml:space="preserve">Nutzer</w:t>
      </w:r>
      <w:r>
        <w:t xml:space="preserve">: natürliche Personen, denen der Kunde einen Zugang zu seinem Mandanten einräumt, insbesondere in den Rollen Unternehmens-Admin („Admin“), Disponent und Fahrer.</w:t>
      </w:r>
    </w:p>
    <w:p>
      <w:pPr>
        <w:numPr>
          <w:ilvl w:val="0"/>
          <w:numId w:val="1003"/>
        </w:numPr>
        <w:pStyle w:val="Compact"/>
      </w:pPr>
      <w:r>
        <w:rPr>
          <w:bCs/>
          <w:b/>
        </w:rPr>
        <w:t xml:space="preserve">Fahrer</w:t>
      </w:r>
      <w:r>
        <w:t xml:space="preserve">: Nutzer in der Rolle Fahrer, unabhängig davon, ob sie beim Kunden angestellt sind oder für einen Subunternehmer des Kunden fahren.</w:t>
      </w:r>
    </w:p>
    <w:p>
      <w:pPr>
        <w:numPr>
          <w:ilvl w:val="0"/>
          <w:numId w:val="1003"/>
        </w:numPr>
        <w:pStyle w:val="Compact"/>
      </w:pPr>
      <w:r>
        <w:rPr>
          <w:bCs/>
          <w:b/>
        </w:rPr>
        <w:t xml:space="preserve">Kundendaten</w:t>
      </w:r>
      <w:r>
        <w:t xml:space="preserve">: alle Daten, die der Kunde oder seine Nutzer in die Plattform eingeben, hochladen oder durch die Nutzung der Plattform erzeugen, insbesondere Auftragsdaten, Stammdaten, Dokumente, Fotos, Unterschriften, Notizen und Ereignisse.</w:t>
      </w:r>
    </w:p>
    <w:p>
      <w:pPr>
        <w:numPr>
          <w:ilvl w:val="0"/>
          <w:numId w:val="1003"/>
        </w:numPr>
        <w:pStyle w:val="Compact"/>
      </w:pPr>
      <w:r>
        <w:rPr>
          <w:bCs/>
          <w:b/>
        </w:rPr>
        <w:t xml:space="preserve">Auftragsdaten</w:t>
      </w:r>
      <w:r>
        <w:t xml:space="preserve">: Kundendaten zu Lieferungen, einschließlich Verlauf, Statusmeldungen, Lieferscheinen, Fotos, Unterschriften, Notizen, Problemmeldungen und optionaler Standortangaben.</w:t>
      </w:r>
    </w:p>
    <w:p>
      <w:pPr>
        <w:numPr>
          <w:ilvl w:val="0"/>
          <w:numId w:val="1003"/>
        </w:numPr>
        <w:pStyle w:val="Compact"/>
      </w:pPr>
      <w:r>
        <w:rPr>
          <w:bCs/>
          <w:b/>
        </w:rPr>
        <w:t xml:space="preserve">Tarif</w:t>
      </w:r>
      <w:r>
        <w:t xml:space="preserve">: das gebuchte Leistungspaket (Start, Flotte oder Premium).</w:t>
      </w:r>
    </w:p>
    <w:p>
      <w:pPr>
        <w:numPr>
          <w:ilvl w:val="0"/>
          <w:numId w:val="1003"/>
        </w:numPr>
        <w:pStyle w:val="Compact"/>
      </w:pPr>
      <w:r>
        <w:rPr>
          <w:bCs/>
          <w:b/>
        </w:rPr>
        <w:t xml:space="preserve">Testphase</w:t>
      </w:r>
      <w:r>
        <w:t xml:space="preserve">: die kostenlose Erprobung der Plattform nach § 4.</w:t>
      </w:r>
    </w:p>
    <w:p>
      <w:pPr>
        <w:numPr>
          <w:ilvl w:val="0"/>
          <w:numId w:val="1003"/>
        </w:numPr>
        <w:pStyle w:val="Compact"/>
      </w:pPr>
      <w:r>
        <w:rPr>
          <w:bCs/>
          <w:b/>
        </w:rPr>
        <w:t xml:space="preserve">White-Label-App</w:t>
      </w:r>
      <w:r>
        <w:t xml:space="preserve">: die auf Grundlage der Plattform erstellte native App für Apple App Store und Google Play mit Namen, Icon und Farben des Kunden (§ 6 Abs. 3).</w:t>
      </w:r>
    </w:p>
    <w:p>
      <w:pPr>
        <w:numPr>
          <w:ilvl w:val="0"/>
          <w:numId w:val="1003"/>
        </w:numPr>
        <w:pStyle w:val="Compact"/>
      </w:pPr>
      <w:r>
        <w:rPr>
          <w:bCs/>
          <w:b/>
        </w:rPr>
        <w:t xml:space="preserve">Textform</w:t>
      </w:r>
      <w:r>
        <w:t xml:space="preserve">: Textform im Sinne des § 126b BGB, z. B. E-Mail oder eine Erklärung über die Plattform.</w:t>
      </w:r>
    </w:p>
    <w:p>
      <w:pPr>
        <w:numPr>
          <w:ilvl w:val="0"/>
          <w:numId w:val="1003"/>
        </w:numPr>
        <w:pStyle w:val="Compact"/>
      </w:pPr>
      <w:r>
        <w:rPr>
          <w:bCs/>
          <w:b/>
        </w:rPr>
        <w:t xml:space="preserve">Werktage</w:t>
      </w:r>
      <w:r>
        <w:t xml:space="preserve">: Montag bis Freitag mit Ausnahme der gesetzlichen Feiertage am Sitz des Anbieters in [Bundesland].</w:t>
      </w:r>
    </w:p>
    <w:bookmarkEnd w:id="22"/>
    <w:bookmarkStart w:id="23" w:name="X68fbff5f3728d816d20a9c56bd8e839ca31fdfd"/>
    <w:p>
      <w:pPr>
        <w:pStyle w:val="Heading2"/>
      </w:pPr>
      <w:r>
        <w:t xml:space="preserve">§ 3 Vertragsschluss, Registrierung</w:t>
      </w:r>
    </w:p>
    <w:p>
      <w:pPr>
        <w:pStyle w:val="FirstParagraph"/>
      </w:pPr>
      <w:r>
        <w:t xml:space="preserve">(1) Die Darstellung der Plattform und der Tarife auf der Website des Anbieters ist kein bindendes Angebot, sondern eine Aufforderung zur Abgabe eines Angebots.</w:t>
      </w:r>
    </w:p>
    <w:p>
      <w:pPr>
        <w:pStyle w:val="BodyText"/>
      </w:pPr>
      <w:r>
        <w:t xml:space="preserve">(2) Ein Vertrag über die Testphase kommt zustande, indem der Kunde das Registrierungsformular ausfüllt, diese AGB sowie den AVV einbezieht und die Schaltfläche „[Kostenlos testen]“ betätigt (Angebot) und der Anbieter den Zugang freischaltet oder die Registrierung in Textform bestätigt (Annahme). Alternativ kann der Anbieter den Mandanten auf Anfrage des Kunden einrichten; dann kommt der Vertrag mit Zugang der Zugangsdaten beim Kunden zustande.</w:t>
      </w:r>
    </w:p>
    <w:p>
      <w:pPr>
        <w:pStyle w:val="BodyText"/>
      </w:pPr>
      <w:r>
        <w:t xml:space="preserve">(3) Ein kostenpflichtiger Vertrag kommt zustande, indem der Kunde einen Tarif in der Plattform bucht („[Tarif zahlungspflichtig buchen]“) und der Anbieter die Buchung in Textform bestätigt oder den Tarif freischaltet, oder indem der Kunde ein Angebot des Anbieters in Textform annimmt. [Solange die Plattform keine Buchungsfunktion hat, schaltet der Anbieter den Tarif nach einer Bestellung oder Angebotsannahme in Textform frei.]</w:t>
      </w:r>
    </w:p>
    <w:p>
      <w:pPr>
        <w:pStyle w:val="BodyText"/>
      </w:pPr>
      <w:r>
        <w:t xml:space="preserve">(4) Die Pflichten nach § 312i Abs. 1 Satz 1 Nr. 1 bis 3 BGB werden abbedungen. Der Kunde kann diese AGB, die Leistungsbeschreibung/SLA und den AVV jederzeit unter [Website-URL/recht] abrufen und in wiedergabefähiger Form speichern.</w:t>
      </w:r>
    </w:p>
    <w:p>
      <w:pPr>
        <w:pStyle w:val="BodyText"/>
      </w:pPr>
      <w:r>
        <w:t xml:space="preserve">(5) Der Kunde hat bei der Registrierung vollständige und zutreffende Angaben zu machen und Änderungen (Firma, Anschrift, Ansprechpartner, Rechnungsadresse, USt-IdNr.) unverzüglich in der Plattform oder in Textform mitzuteilen.</w:t>
      </w:r>
    </w:p>
    <w:p>
      <w:pPr>
        <w:pStyle w:val="BodyText"/>
      </w:pPr>
      <w:r>
        <w:t xml:space="preserve">(6) Ein Anspruch auf Vertragsschluss besteht nicht.</w:t>
      </w:r>
    </w:p>
    <w:bookmarkEnd w:id="23"/>
    <w:bookmarkStart w:id="24" w:name="Xbd7d8f0fc090a8196070e23788dc394e3c9a544"/>
    <w:p>
      <w:pPr>
        <w:pStyle w:val="Heading2"/>
      </w:pPr>
      <w:r>
        <w:t xml:space="preserve">§ 4 Testphase</w:t>
      </w:r>
    </w:p>
    <w:p>
      <w:pPr>
        <w:pStyle w:val="FirstParagraph"/>
      </w:pPr>
      <w:r>
        <w:t xml:space="preserve">(1) Der Kunde kann die Plattform 30 Tage ab Freischaltung kostenlos im vereinbarten Tarif testen. Die White-Label-App ist von der Testphase ausgenommen.</w:t>
      </w:r>
    </w:p>
    <w:p>
      <w:pPr>
        <w:pStyle w:val="BodyText"/>
      </w:pPr>
      <w:r>
        <w:t xml:space="preserve">(2) Für die Testphase sind keine Zahlungsdaten erforderlich. Die Testphase endet automatisch mit Ablauf des 30. Tages. Sie wandelt sich nicht automatisch in einen kostenpflichtigen Vertrag um.</w:t>
      </w:r>
    </w:p>
    <w:p>
      <w:pPr>
        <w:pStyle w:val="BodyText"/>
      </w:pPr>
      <w:r>
        <w:t xml:space="preserve">(3) Bucht der Kunde bis zum Ende der Testphase keinen Tarif, sperrt die Plattform den Mandanten automatisch (Anzeige „Abgelaufen“); es gelten die Wirkungen des Status „Gesperrt“ (§ 14 Abs. 3). Der Admin kann dann für weitere 30 Tage alle Daten lesen und exportieren (§ 17 Abs. 1). Danach setzt der Anbieter den Status „Gekündigt“ und löscht den Mandanten einschließlich aller Kundendaten nach § 18 Abs. 2. Bucht der Kunde einen Tarif, bleiben die in der Testphase erfassten Daten erhalten.</w:t>
      </w:r>
    </w:p>
    <w:p>
      <w:pPr>
        <w:pStyle w:val="BodyText"/>
      </w:pPr>
      <w:r>
        <w:t xml:space="preserve">(4) Während der Testphase gelten keine Verfügbarkeitszusagen und keine Gutschriften nach dem SLA. Der Anbieter haftet während der Testphase – außer bei Verletzung von Leben, Körper oder Gesundheit, nach dem Produkthaftungsgesetz, bei arglistig verschwiegenen Mängeln und bei Übernahme einer Garantie – nur für Vorsatz und grobe Fahrlässigkeit.</w:t>
      </w:r>
    </w:p>
    <w:p>
      <w:pPr>
        <w:pStyle w:val="BodyText"/>
      </w:pPr>
      <w:r>
        <w:t xml:space="preserve">(5) Werden in der Testphase personenbezogene Daten verarbeitet, gilt der AVV ab Beginn der Testphase.</w:t>
      </w:r>
    </w:p>
    <w:p>
      <w:pPr>
        <w:pStyle w:val="BodyText"/>
      </w:pPr>
      <w:r>
        <w:t xml:space="preserve">(6) Der Anbieter kann die Testphase vorzeitig beenden, wenn konkrete Anhaltspunkte für eine Nutzung entgegen § 10 bestehen.</w:t>
      </w:r>
    </w:p>
    <w:p>
      <w:pPr>
        <w:pStyle w:val="BlockText"/>
      </w:pPr>
      <w:r>
        <w:rPr>
          <w:bCs/>
          <w:b/>
        </w:rPr>
        <w:t xml:space="preserve">Prüfhinweis:</w:t>
      </w:r>
      <w:r>
        <w:t xml:space="preserve"> </w:t>
      </w:r>
      <w:r>
        <w:t xml:space="preserve">Für zeitlich begrenzte Testversionen gelten nach Art. 31 Abs. 2 Data Act die Wechselpflichten des Kapitels VI nicht. Der Datenexport wird trotzdem angeboten, weil Testkunden regelmäßig Echtdaten erfassen. Die Haftungsmilderung in Abs. 4 lehnt sich an die Leihe (§§ 599, 600 BGB) an; zu prüfen ist, ob sie bei einer unentgeltlichen SaaS-Überlassung im B2B-Verkehr AGB-fest ist.</w:t>
      </w:r>
    </w:p>
    <w:bookmarkEnd w:id="24"/>
    <w:bookmarkStart w:id="25" w:name="X971985887b49b014d7f106ea7e4c3d7d9c800f5"/>
    <w:p>
      <w:pPr>
        <w:pStyle w:val="Heading2"/>
      </w:pPr>
      <w:r>
        <w:t xml:space="preserve">§ 5 Vertragsgegenstand und Leistungsumfang</w:t>
      </w:r>
    </w:p>
    <w:p>
      <w:pPr>
        <w:pStyle w:val="FirstParagraph"/>
      </w:pPr>
      <w:r>
        <w:t xml:space="preserve">(1) Der Anbieter stellt dem Kunden die Plattform für die Vertragslaufzeit als Software-as-a-Service über das Internet zur Nutzung bereit. Der Anbieter betreibt die Plattform in Rechenzentren in Deutschland. Übergabepunkt ist der Routerausgang des vom Anbieter genutzten Rechenzentrums. Die Internetverbindung des Kunden und seiner Nutzer, Mobilfunkverbindungen, Endgeräte und Browser sind nicht Gegenstand der Leistung des Anbieters.</w:t>
      </w:r>
    </w:p>
    <w:p>
      <w:pPr>
        <w:pStyle w:val="BodyText"/>
      </w:pPr>
      <w:r>
        <w:t xml:space="preserve">(2) Der Funktionsumfang je Rolle, die technischen Voraussetzungen, die Verfügbarkeit, die Datensicherung, die Speicherkontingente und der Support ergeben sich aus der Leistungsbeschreibung/SLA.</w:t>
      </w:r>
    </w:p>
    <w:p>
      <w:pPr>
        <w:pStyle w:val="BodyText"/>
      </w:pPr>
      <w:r>
        <w:t xml:space="preserve">(3) Die Tarife umfassen insbesondere: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Leistung</w:t>
            </w:r>
          </w:p>
        </w:tc>
        <w:tc>
          <w:tcPr/>
          <w:p>
            <w:pPr>
              <w:pStyle w:val="Compact"/>
              <w:jc w:val="left"/>
            </w:pPr>
            <w:r>
              <w:t xml:space="preserve">Start</w:t>
            </w:r>
          </w:p>
        </w:tc>
        <w:tc>
          <w:tcPr/>
          <w:p>
            <w:pPr>
              <w:pStyle w:val="Compact"/>
              <w:jc w:val="left"/>
            </w:pPr>
            <w:r>
              <w:t xml:space="preserve">Flotte</w:t>
            </w:r>
          </w:p>
        </w:tc>
        <w:tc>
          <w:tcPr/>
          <w:p>
            <w:pPr>
              <w:pStyle w:val="Compact"/>
              <w:jc w:val="left"/>
            </w:pPr>
            <w:r>
              <w:t xml:space="preserve">Premium</w:t>
            </w:r>
          </w:p>
        </w:tc>
      </w:tr>
      <w:tr>
        <w:tc>
          <w:tcPr/>
          <w:p>
            <w:pPr>
              <w:pStyle w:val="Compact"/>
              <w:jc w:val="left"/>
            </w:pPr>
            <w:r>
              <w:t xml:space="preserve">Grundpreis je Monat (netto)</w:t>
            </w:r>
          </w:p>
        </w:tc>
        <w:tc>
          <w:tcPr/>
          <w:p>
            <w:pPr>
              <w:pStyle w:val="Compact"/>
              <w:jc w:val="left"/>
            </w:pPr>
            <w:r>
              <w:t xml:space="preserve">49 €</w:t>
            </w:r>
          </w:p>
        </w:tc>
        <w:tc>
          <w:tcPr/>
          <w:p>
            <w:pPr>
              <w:pStyle w:val="Compact"/>
              <w:jc w:val="left"/>
            </w:pPr>
            <w:r>
              <w:t xml:space="preserve">129 €</w:t>
            </w:r>
          </w:p>
        </w:tc>
        <w:tc>
          <w:tcPr/>
          <w:p>
            <w:pPr>
              <w:pStyle w:val="Compact"/>
              <w:jc w:val="left"/>
            </w:pPr>
            <w:r>
              <w:t xml:space="preserve">299 €</w:t>
            </w:r>
          </w:p>
        </w:tc>
      </w:tr>
      <w:tr>
        <w:tc>
          <w:tcPr/>
          <w:p>
            <w:pPr>
              <w:pStyle w:val="Compact"/>
              <w:jc w:val="left"/>
            </w:pPr>
            <w:r>
              <w:t xml:space="preserve">Fahrer inklusive</w:t>
            </w:r>
          </w:p>
        </w:tc>
        <w:tc>
          <w:tcPr/>
          <w:p>
            <w:pPr>
              <w:pStyle w:val="Compact"/>
              <w:jc w:val="left"/>
            </w:pPr>
            <w:r>
              <w:t xml:space="preserve">3</w:t>
            </w:r>
          </w:p>
        </w:tc>
        <w:tc>
          <w:tcPr/>
          <w:p>
            <w:pPr>
              <w:pStyle w:val="Compact"/>
              <w:jc w:val="left"/>
            </w:pPr>
            <w:r>
              <w:t xml:space="preserve">15</w:t>
            </w:r>
          </w:p>
        </w:tc>
        <w:tc>
          <w:tcPr/>
          <w:p>
            <w:pPr>
              <w:pStyle w:val="Compact"/>
              <w:jc w:val="left"/>
            </w:pPr>
            <w:r>
              <w:t xml:space="preserve">40</w:t>
            </w:r>
          </w:p>
        </w:tc>
      </w:tr>
      <w:tr>
        <w:tc>
          <w:tcPr/>
          <w:p>
            <w:pPr>
              <w:pStyle w:val="Compact"/>
              <w:jc w:val="left"/>
            </w:pPr>
            <w:r>
              <w:t xml:space="preserve">jeder weitere Fahrer je Monat (netto)</w:t>
            </w:r>
          </w:p>
        </w:tc>
        <w:tc>
          <w:tcPr/>
          <w:p>
            <w:pPr>
              <w:pStyle w:val="Compact"/>
              <w:jc w:val="left"/>
            </w:pPr>
            <w:r>
              <w:t xml:space="preserve">nicht buchbar (Tarifwechsel)</w:t>
            </w:r>
          </w:p>
        </w:tc>
        <w:tc>
          <w:tcPr/>
          <w:p>
            <w:pPr>
              <w:pStyle w:val="Compact"/>
              <w:jc w:val="left"/>
            </w:pPr>
            <w:r>
              <w:t xml:space="preserve">7 €</w:t>
            </w:r>
          </w:p>
        </w:tc>
        <w:tc>
          <w:tcPr/>
          <w:p>
            <w:pPr>
              <w:pStyle w:val="Compact"/>
              <w:jc w:val="left"/>
            </w:pPr>
            <w:r>
              <w:t xml:space="preserve">6 €</w:t>
            </w:r>
          </w:p>
        </w:tc>
      </w:tr>
      <w:tr>
        <w:tc>
          <w:tcPr/>
          <w:p>
            <w:pPr>
              <w:pStyle w:val="Compact"/>
              <w:jc w:val="left"/>
            </w:pPr>
            <w:r>
              <w:t xml:space="preserve">Fahrzeuge (LKW und Auflieger)</w:t>
            </w:r>
          </w:p>
        </w:tc>
        <w:tc>
          <w:tcPr/>
          <w:p>
            <w:pPr>
              <w:pStyle w:val="Compact"/>
              <w:jc w:val="left"/>
            </w:pPr>
            <w:r>
              <w:t xml:space="preserve">6</w:t>
            </w:r>
          </w:p>
        </w:tc>
        <w:tc>
          <w:tcPr/>
          <w:p>
            <w:pPr>
              <w:pStyle w:val="Compact"/>
              <w:jc w:val="left"/>
            </w:pPr>
            <w:r>
              <w:t xml:space="preserve">40</w:t>
            </w:r>
          </w:p>
        </w:tc>
        <w:tc>
          <w:tcPr/>
          <w:p>
            <w:pPr>
              <w:pStyle w:val="Compact"/>
              <w:jc w:val="left"/>
            </w:pPr>
            <w:r>
              <w:t xml:space="preserve">unbegrenzt</w:t>
            </w:r>
          </w:p>
        </w:tc>
      </w:tr>
      <w:tr>
        <w:tc>
          <w:tcPr/>
          <w:p>
            <w:pPr>
              <w:pStyle w:val="Compact"/>
              <w:jc w:val="left"/>
            </w:pPr>
            <w:r>
              <w:t xml:space="preserve">Disponenten-Zugänge</w:t>
            </w:r>
          </w:p>
        </w:tc>
        <w:tc>
          <w:tcPr/>
          <w:p>
            <w:pPr>
              <w:pStyle w:val="Compact"/>
              <w:jc w:val="left"/>
            </w:pPr>
            <w:r>
              <w:t xml:space="preserve">1</w:t>
            </w:r>
          </w:p>
        </w:tc>
        <w:tc>
          <w:tcPr/>
          <w:p>
            <w:pPr>
              <w:pStyle w:val="Compact"/>
              <w:jc w:val="left"/>
            </w:pPr>
            <w:r>
              <w:t xml:space="preserve">5</w:t>
            </w:r>
          </w:p>
        </w:tc>
        <w:tc>
          <w:tcPr/>
          <w:p>
            <w:pPr>
              <w:pStyle w:val="Compact"/>
              <w:jc w:val="left"/>
            </w:pPr>
            <w:r>
              <w:t xml:space="preserve">unbegrenzt</w:t>
            </w:r>
          </w:p>
        </w:tc>
      </w:tr>
      <w:tr>
        <w:tc>
          <w:tcPr/>
          <w:p>
            <w:pPr>
              <w:pStyle w:val="Compact"/>
              <w:jc w:val="left"/>
            </w:pPr>
            <w:r>
              <w:t xml:space="preserve">eigenes Logo, Farben, App-Name</w:t>
            </w:r>
          </w:p>
        </w:tc>
        <w:tc>
          <w:tcPr/>
          <w:p>
            <w:pPr>
              <w:pStyle w:val="Compact"/>
              <w:jc w:val="left"/>
            </w:pPr>
            <w:r>
              <w:t xml:space="preserve">ja</w:t>
            </w:r>
          </w:p>
        </w:tc>
        <w:tc>
          <w:tcPr/>
          <w:p>
            <w:pPr>
              <w:pStyle w:val="Compact"/>
              <w:jc w:val="left"/>
            </w:pPr>
            <w:r>
              <w:t xml:space="preserve">ja</w:t>
            </w:r>
          </w:p>
        </w:tc>
        <w:tc>
          <w:tcPr/>
          <w:p>
            <w:pPr>
              <w:pStyle w:val="Compact"/>
              <w:jc w:val="left"/>
            </w:pPr>
            <w:r>
              <w:t xml:space="preserve">ja</w:t>
            </w:r>
          </w:p>
        </w:tc>
      </w:tr>
      <w:tr>
        <w:tc>
          <w:tcPr/>
          <w:p>
            <w:pPr>
              <w:pStyle w:val="Compact"/>
              <w:jc w:val="left"/>
            </w:pPr>
            <w:r>
              <w:t xml:space="preserve">Lieferungen, Push-Benachrichtigungen, 8 Sprachen, Offline-Funktion</w:t>
            </w:r>
          </w:p>
        </w:tc>
        <w:tc>
          <w:tcPr/>
          <w:p>
            <w:pPr>
              <w:pStyle w:val="Compact"/>
              <w:jc w:val="left"/>
            </w:pPr>
            <w:r>
              <w:t xml:space="preserve">ja, unbegrenzt</w:t>
            </w:r>
          </w:p>
        </w:tc>
        <w:tc>
          <w:tcPr/>
          <w:p>
            <w:pPr>
              <w:pStyle w:val="Compact"/>
              <w:jc w:val="left"/>
            </w:pPr>
            <w:r>
              <w:t xml:space="preserve">ja, unbegrenzt</w:t>
            </w:r>
          </w:p>
        </w:tc>
        <w:tc>
          <w:tcPr/>
          <w:p>
            <w:pPr>
              <w:pStyle w:val="Compact"/>
              <w:jc w:val="left"/>
            </w:pPr>
            <w:r>
              <w:t xml:space="preserve">ja, unbegrenzt</w:t>
            </w:r>
          </w:p>
        </w:tc>
      </w:tr>
      <w:tr>
        <w:tc>
          <w:tcPr/>
          <w:p>
            <w:pPr>
              <w:pStyle w:val="Compact"/>
              <w:jc w:val="left"/>
            </w:pPr>
            <w:r>
              <w:t xml:space="preserve">Lieferschein-Speicher</w:t>
            </w:r>
          </w:p>
        </w:tc>
        <w:tc>
          <w:tcPr/>
          <w:p>
            <w:pPr>
              <w:pStyle w:val="Compact"/>
              <w:jc w:val="left"/>
            </w:pPr>
            <w:r>
              <w:t xml:space="preserve">5 GB</w:t>
            </w:r>
          </w:p>
        </w:tc>
        <w:tc>
          <w:tcPr/>
          <w:p>
            <w:pPr>
              <w:pStyle w:val="Compact"/>
              <w:jc w:val="left"/>
            </w:pPr>
            <w:r>
              <w:t xml:space="preserve">50 GB</w:t>
            </w:r>
          </w:p>
        </w:tc>
        <w:tc>
          <w:tcPr/>
          <w:p>
            <w:pPr>
              <w:pStyle w:val="Compact"/>
              <w:jc w:val="left"/>
            </w:pPr>
            <w:r>
              <w:t xml:space="preserve">250 GB</w:t>
            </w:r>
          </w:p>
        </w:tc>
      </w:tr>
      <w:tr>
        <w:tc>
          <w:tcPr/>
          <w:p>
            <w:pPr>
              <w:pStyle w:val="Compact"/>
              <w:jc w:val="left"/>
            </w:pPr>
            <w:r>
              <w:t xml:space="preserve">Berichte und CSV-Export</w:t>
            </w:r>
          </w:p>
        </w:tc>
        <w:tc>
          <w:tcPr/>
          <w:p>
            <w:pPr>
              <w:pStyle w:val="Compact"/>
              <w:jc w:val="left"/>
            </w:pPr>
            <w:r>
              <w:t xml:space="preserve">ja</w:t>
            </w:r>
          </w:p>
        </w:tc>
        <w:tc>
          <w:tcPr/>
          <w:p>
            <w:pPr>
              <w:pStyle w:val="Compact"/>
              <w:jc w:val="left"/>
            </w:pPr>
            <w:r>
              <w:t xml:space="preserve">ja</w:t>
            </w:r>
          </w:p>
        </w:tc>
        <w:tc>
          <w:tcPr/>
          <w:p>
            <w:pPr>
              <w:pStyle w:val="Compact"/>
              <w:jc w:val="left"/>
            </w:pPr>
            <w:r>
              <w:t xml:space="preserve">ja</w:t>
            </w:r>
          </w:p>
        </w:tc>
      </w:tr>
      <w:tr>
        <w:tc>
          <w:tcPr/>
          <w:p>
            <w:pPr>
              <w:pStyle w:val="Compact"/>
              <w:jc w:val="left"/>
            </w:pPr>
            <w:r>
              <w:t xml:space="preserve">eigene Subdomain / eigene Domain</w:t>
            </w:r>
          </w:p>
        </w:tc>
        <w:tc>
          <w:tcPr/>
          <w:p>
            <w:pPr>
              <w:pStyle w:val="Compact"/>
              <w:jc w:val="left"/>
            </w:pPr>
            <w:r>
              <w:t xml:space="preserve">–</w:t>
            </w:r>
          </w:p>
        </w:tc>
        <w:tc>
          <w:tcPr/>
          <w:p>
            <w:pPr>
              <w:pStyle w:val="Compact"/>
              <w:jc w:val="left"/>
            </w:pPr>
            <w:r>
              <w:t xml:space="preserve">Subdomain</w:t>
            </w:r>
          </w:p>
        </w:tc>
        <w:tc>
          <w:tcPr/>
          <w:p>
            <w:pPr>
              <w:pStyle w:val="Compact"/>
              <w:jc w:val="left"/>
            </w:pPr>
            <w:r>
              <w:t xml:space="preserve">eigene Domain</w:t>
            </w:r>
          </w:p>
        </w:tc>
      </w:tr>
      <w:tr>
        <w:tc>
          <w:tcPr/>
          <w:p>
            <w:pPr>
              <w:pStyle w:val="Compact"/>
              <w:jc w:val="left"/>
            </w:pPr>
            <w:r>
              <w:t xml:space="preserve">REST-API, Prioritäts-Support</w:t>
            </w:r>
          </w:p>
        </w:tc>
        <w:tc>
          <w:tcPr/>
          <w:p>
            <w:pPr>
              <w:pStyle w:val="Compact"/>
              <w:jc w:val="left"/>
            </w:pPr>
            <w:r>
              <w:t xml:space="preserve">–</w:t>
            </w:r>
          </w:p>
        </w:tc>
        <w:tc>
          <w:tcPr/>
          <w:p>
            <w:pPr>
              <w:pStyle w:val="Compact"/>
              <w:jc w:val="left"/>
            </w:pPr>
            <w:r>
              <w:t xml:space="preserve">–</w:t>
            </w:r>
          </w:p>
        </w:tc>
        <w:tc>
          <w:tcPr/>
          <w:p>
            <w:pPr>
              <w:pStyle w:val="Compact"/>
              <w:jc w:val="left"/>
            </w:pPr>
            <w:r>
              <w:t xml:space="preserve">ja</w:t>
            </w:r>
          </w:p>
        </w:tc>
      </w:tr>
      <w:tr>
        <w:tc>
          <w:tcPr/>
          <w:p>
            <w:pPr>
              <w:pStyle w:val="Compact"/>
              <w:jc w:val="left"/>
            </w:pPr>
            <w:r>
              <w:t xml:space="preserve">Verfügbarkeit im Monatsmittel (SLA)</w:t>
            </w:r>
          </w:p>
        </w:tc>
        <w:tc>
          <w:tcPr/>
          <w:p>
            <w:pPr>
              <w:pStyle w:val="Compact"/>
              <w:jc w:val="left"/>
            </w:pPr>
            <w:r>
              <w:t xml:space="preserve">99,0 %</w:t>
            </w:r>
          </w:p>
        </w:tc>
        <w:tc>
          <w:tcPr/>
          <w:p>
            <w:pPr>
              <w:pStyle w:val="Compact"/>
              <w:jc w:val="left"/>
            </w:pPr>
            <w:r>
              <w:t xml:space="preserve">99,0 %</w:t>
            </w:r>
          </w:p>
        </w:tc>
        <w:tc>
          <w:tcPr/>
          <w:p>
            <w:pPr>
              <w:pStyle w:val="Compact"/>
              <w:jc w:val="left"/>
            </w:pPr>
            <w:r>
              <w:t xml:space="preserve">99,5 %</w:t>
            </w:r>
          </w:p>
        </w:tc>
      </w:tr>
      <w:tr>
        <w:tc>
          <w:tcPr/>
          <w:p>
            <w:pPr>
              <w:pStyle w:val="Compact"/>
              <w:jc w:val="left"/>
            </w:pPr>
            <w:r>
              <w:t xml:space="preserve">White-Label-App im App Store / Google Play</w:t>
            </w:r>
          </w:p>
        </w:tc>
        <w:tc>
          <w:tcPr/>
          <w:p>
            <w:pPr>
              <w:pStyle w:val="Compact"/>
              <w:jc w:val="left"/>
            </w:pPr>
            <w:r>
              <w:t xml:space="preserve">–</w:t>
            </w:r>
          </w:p>
        </w:tc>
        <w:tc>
          <w:tcPr/>
          <w:p>
            <w:pPr>
              <w:pStyle w:val="Compact"/>
              <w:jc w:val="left"/>
            </w:pPr>
            <w:r>
              <w:t xml:space="preserve">–</w:t>
            </w:r>
          </w:p>
        </w:tc>
        <w:tc>
          <w:tcPr/>
          <w:p>
            <w:pPr>
              <w:pStyle w:val="Compact"/>
              <w:jc w:val="left"/>
            </w:pPr>
            <w:r>
              <w:t xml:space="preserve">Zusatz (§ 6 Abs. 3)</w:t>
            </w:r>
          </w:p>
        </w:tc>
      </w:tr>
    </w:tbl>
    <w:p>
      <w:pPr>
        <w:pStyle w:val="BodyText"/>
      </w:pPr>
      <w:r>
        <w:t xml:space="preserve">Der vollständige Datenexport nach § 17 steht in allen Tarifen zur Verfügung.</w:t>
      </w:r>
    </w:p>
    <w:p>
      <w:pPr>
        <w:pStyle w:val="BodyText"/>
      </w:pPr>
      <w:r>
        <w:t xml:space="preserve">(4) Die Plattform prüft die Grenzen des gebuchten Tarifs (Fahrerplätze, Fahrzeuge, Büro-Zugänge, Speicher), nimmt darüber hinaus keine weiteren aktiven Zugänge, Fahrzeuge oder Dateien an und weist auf einen möglichen Tarifwechsel hin; die Regeln zum Speicher enthält die Leistungsbeschreibung/SLA (Teil A Ziffer 4). Den Wechsel in einen anderen Tarif kann der Admin in der Plattform anfragen (Einstellungen → Lizenz → „Tarif wechseln anfragen“); der Anbieter führt ihn aus. Ein Wechsel in einen höheren Tarif ist jederzeit mit sofortiger Wirkung möglich und wird zeitanteilig abgerechnet. Ein Wechsel in einen niedrigeren Tarif wird zum Ende des laufenden Abrechnungszeitraums wirksam, wenn die Nutzung zu diesem Zeitpunkt innerhalb der Grenzen des niedrigeren Tarifs liegt; die Plattform zeigt dem Anbieter vor dem Wechsel an, wo die Nutzung darüber liegt. Wird der Wechsel dennoch vereinbart, kann der Kunde bis zur Bereinigung keine weiteren Zugänge oder Fahrzeuge anlegen. Eigene Domains entfallen mit dem Wechsel in einen Tarif ohne eigene Domain, die Subdomain mit Firmen-Marke mit dem Wechsel in den Tarif Start.</w:t>
      </w:r>
    </w:p>
    <w:p>
      <w:pPr>
        <w:pStyle w:val="BodyText"/>
      </w:pPr>
      <w:r>
        <w:t xml:space="preserve">(5) Nicht geschuldet sind, soweit nicht ausdrücklich gesondert vereinbart:</w:t>
      </w:r>
    </w:p>
    <w:p>
      <w:pPr>
        <w:numPr>
          <w:ilvl w:val="0"/>
          <w:numId w:val="1004"/>
        </w:numPr>
        <w:pStyle w:val="Compact"/>
      </w:pPr>
      <w:r>
        <w:t xml:space="preserve">Rechts-, Steuer- oder Datenschutzberatung;</w:t>
      </w:r>
    </w:p>
    <w:p>
      <w:pPr>
        <w:numPr>
          <w:ilvl w:val="0"/>
          <w:numId w:val="1004"/>
        </w:numPr>
        <w:pStyle w:val="Compact"/>
      </w:pPr>
      <w:r>
        <w:t xml:space="preserve">eine revisionssichere Archivierung im Sinne der GoBD; die Plattform ist kein zertifiziertes Archivsystem (§ 9 Abs. 7);</w:t>
      </w:r>
    </w:p>
    <w:p>
      <w:pPr>
        <w:numPr>
          <w:ilvl w:val="0"/>
          <w:numId w:val="1004"/>
        </w:numPr>
        <w:pStyle w:val="Compact"/>
      </w:pPr>
      <w:r>
        <w:t xml:space="preserve">eine bestimmte Beweiskraft von Abliefernachweisen, Fotos oder Unterschriften sowie die Erfüllung gesetzlicher Formerfordernisse, insbesondere eines Frachtbriefs nach § 408 HGB oder eines Frachtbriefs nach CMR; die Unterschrift auf dem Display ist eine einfache elektronische Signatur und keine qualifizierte elektronische Signatur im Sinne des § 126a BGB;</w:t>
      </w:r>
    </w:p>
    <w:p>
      <w:pPr>
        <w:numPr>
          <w:ilvl w:val="0"/>
          <w:numId w:val="1004"/>
        </w:numPr>
        <w:pStyle w:val="Compact"/>
      </w:pPr>
      <w:r>
        <w:t xml:space="preserve">ein elektronischer Frachtbrief nach dem Zusatzprotokoll zur CMR (eCMR); eine eCMR-Schnittstelle ist Gegenstand der Produktplanung;</w:t>
      </w:r>
    </w:p>
    <w:p>
      <w:pPr>
        <w:numPr>
          <w:ilvl w:val="0"/>
          <w:numId w:val="1004"/>
        </w:numPr>
        <w:pStyle w:val="Compact"/>
      </w:pPr>
      <w:r>
        <w:t xml:space="preserve">eine fortlaufende Ortung von Fahrzeugen oder Personen (Telematik), eine Arbeitszeiterfassung oder eine Lenk- und Ruhezeitenkontrolle;</w:t>
      </w:r>
    </w:p>
    <w:p>
      <w:pPr>
        <w:numPr>
          <w:ilvl w:val="0"/>
          <w:numId w:val="1004"/>
        </w:numPr>
        <w:pStyle w:val="Compact"/>
      </w:pPr>
      <w:r>
        <w:t xml:space="preserve">Leistungen Dritter, insbesondere der Push-Dienste der Browser- und Betriebssystemhersteller, der App-Stores, der Mobilfunknetze und der Navigationsdienste (Google Maps, Apple Karten), die die Plattform lediglich aufruft.</w:t>
      </w:r>
    </w:p>
    <w:bookmarkEnd w:id="25"/>
    <w:bookmarkStart w:id="26" w:name="X6db9e4083fba5d15bda4c321918de6352a375bf"/>
    <w:p>
      <w:pPr>
        <w:pStyle w:val="Heading2"/>
      </w:pPr>
      <w:r>
        <w:t xml:space="preserve">§ 6 Zusatzleistungen und White-Label-App</w:t>
      </w:r>
    </w:p>
    <w:p>
      <w:pPr>
        <w:pStyle w:val="FirstParagraph"/>
      </w:pPr>
      <w:r>
        <w:t xml:space="preserve">(1)</w:t>
      </w:r>
      <w:r>
        <w:t xml:space="preserve"> </w:t>
      </w:r>
      <w:r>
        <w:rPr>
          <w:bCs/>
          <w:b/>
        </w:rPr>
        <w:t xml:space="preserve">Zusatzfahrer.</w:t>
      </w:r>
      <w:r>
        <w:t xml:space="preserve"> </w:t>
      </w:r>
      <w:r>
        <w:t xml:space="preserve">In den Tarifen Flotte und Premium kann der Kunde über die inklusiven Fahrer hinaus zusätzliche Fahrerplätze buchen; der Anbieter schaltet sie frei. Abgerechnet wird je Abrechnungsmonat die Zahl der gebuchten Zusatzplätze, unabhängig davon, wie viele davon belegt sind. Mehr aktive Fahrerzugänge, als Plätze vorhanden sind, lässt die Plattform nicht zu; gesperrte und gelöschte Fahrerzugänge belegen keinen Platz. Im Tarif Start sind Zusatzfahrer nicht buchbar.</w:t>
      </w:r>
    </w:p>
    <w:p>
      <w:pPr>
        <w:pStyle w:val="BodyText"/>
      </w:pPr>
      <w:r>
        <w:t xml:space="preserve">(2)</w:t>
      </w:r>
      <w:r>
        <w:t xml:space="preserve"> </w:t>
      </w:r>
      <w:r>
        <w:rPr>
          <w:bCs/>
          <w:b/>
        </w:rPr>
        <w:t xml:space="preserve">Zusatzspeicher.</w:t>
      </w:r>
      <w:r>
        <w:t xml:space="preserve"> </w:t>
      </w:r>
      <w:r>
        <w:t xml:space="preserve">[Der Kunde kann zusätzlichen Speicher zu [Preis] € netto je angefangene [10] GB und Monat buchen.] Die Regeln bei Erreichen des Speicherkontingents ergeben sich aus der Leistungsbeschreibung/SLA.</w:t>
      </w:r>
    </w:p>
    <w:p>
      <w:pPr>
        <w:pStyle w:val="BlockText"/>
      </w:pPr>
      <w:r>
        <w:rPr>
          <w:bCs/>
          <w:b/>
        </w:rPr>
        <w:t xml:space="preserve">Prüfhinweis (Technik):</w:t>
      </w:r>
      <w:r>
        <w:t xml:space="preserve"> </w:t>
      </w:r>
      <w:r>
        <w:t xml:space="preserve">Die Plattform kennt derzeit keinen Zusatzspeicher: Das Kontingent ergibt sich fest aus dem Tarif (</w:t>
      </w:r>
      <w:r>
        <w:rPr>
          <w:rStyle w:val="VerbatimChar"/>
        </w:rPr>
        <w:t xml:space="preserve">PLANS[…].storageGB</w:t>
      </w:r>
      <w:r>
        <w:t xml:space="preserve"> </w:t>
      </w:r>
      <w:r>
        <w:t xml:space="preserve">in</w:t>
      </w:r>
      <w:r>
        <w:t xml:space="preserve"> </w:t>
      </w:r>
      <w:r>
        <w:rPr>
          <w:rStyle w:val="VerbatimChar"/>
        </w:rPr>
        <w:t xml:space="preserve">core/engine.js</w:t>
      </w:r>
      <w:r>
        <w:t xml:space="preserve">), und der Anbieter kann es in der Konsole nicht erhöhen. Mehr Speicher gibt es nur über einen Tarifwechsel. Den ersten Satz von Abs. 2 bis zur Umsetzung streichen.</w:t>
      </w:r>
    </w:p>
    <w:p>
      <w:pPr>
        <w:pStyle w:val="FirstParagraph"/>
      </w:pPr>
      <w:r>
        <w:t xml:space="preserve">(3)</w:t>
      </w:r>
      <w:r>
        <w:t xml:space="preserve"> </w:t>
      </w:r>
      <w:r>
        <w:rPr>
          <w:bCs/>
          <w:b/>
        </w:rPr>
        <w:t xml:space="preserve">White-Label-App (nur im Tarif Premium).</w:t>
      </w:r>
    </w:p>
    <w:p>
      <w:pPr>
        <w:numPr>
          <w:ilvl w:val="0"/>
          <w:numId w:val="1005"/>
        </w:numPr>
        <w:pStyle w:val="Compact"/>
      </w:pPr>
      <w:r>
        <w:t xml:space="preserve">Der Anbieter erstellt auf Grundlage der Plattform eine native App für iOS und Android mit Namen, Icon, Startbildschirm und Farben des Kunden, bereitet die Einreichung in den App-Stores vor, unterstützt die Ersteinreichung und pflegt die App während der Vertragslaufzeit (Anpassung an neue Betriebssystemversionen und Store-Vorgaben, Sicherheitsaktualisierungen, erneute Einreichung).</w:t>
      </w:r>
    </w:p>
    <w:p>
      <w:pPr>
        <w:numPr>
          <w:ilvl w:val="0"/>
          <w:numId w:val="1005"/>
        </w:numPr>
        <w:pStyle w:val="Compact"/>
      </w:pPr>
      <w:r>
        <w:t xml:space="preserve">Die Vergütung beträgt einmalig 1.990 € netto für die Erstellung und 99 € netto je Monat für Betrieb und Pflege. Die Einmalvergütung ist mit Bereitstellung des ersten einreichungsfähigen App-Builds fällig, die Monatsvergütung ab dem Folgemonat.</w:t>
      </w:r>
    </w:p>
    <w:p>
      <w:pPr>
        <w:numPr>
          <w:ilvl w:val="0"/>
          <w:numId w:val="1005"/>
        </w:numPr>
        <w:pStyle w:val="Compact"/>
      </w:pPr>
      <w:r>
        <w:t xml:space="preserve">Die App wird im eigenen Entwicklerkonto des Kunden veröffentlicht (Apple Developer Program und Google Play Console, jeweils als Organisation). Der Kunde schließt die hierfür erforderlichen Verträge mit Apple und Google selbst, trägt deren Gebühren, beschafft die erforderliche D-U-N-S-Nummer und räumt dem Anbieter die für Erstellung und Pflege erforderlichen technischen Rollen ein. Der Kunde stellt Store-Texte, Bildmaterial, Impressum, Datenschutzerklärung und die Angaben für Datenschutz-Labels bereit; der Anbieter liefert die technischen Angaben hierzu.</w:t>
      </w:r>
    </w:p>
    <w:p>
      <w:pPr>
        <w:numPr>
          <w:ilvl w:val="0"/>
          <w:numId w:val="1005"/>
        </w:numPr>
        <w:pStyle w:val="Compact"/>
      </w:pPr>
      <w:r>
        <w:t xml:space="preserve">Die Zulassung durch Apple oder Google ist nicht geschuldet. Der Anbieter schuldet die fachgerechte Erstellung und Einreichung nach den zum Zeitpunkt der Einreichung veröffentlichten Store-Richtlinien. Lehnt ein Store die App aus Gründen ab, die im Verantwortungsbereich des Anbieters liegen, und gelingt die Zulassung nicht innerhalb von [60] Tagen nach der Ablehnung, kann der Kunde von dieser Zusatzleistung zurücktreten; der Anbieter erstattet die Einmalvergütung. Ablehnungen aus Gründen in der Sphäre des Kunden (z. B. Marken- oder Kontoprobleme, fehlende Angaben) berechtigen nicht zum Rücktritt.</w:t>
      </w:r>
    </w:p>
    <w:p>
      <w:pPr>
        <w:numPr>
          <w:ilvl w:val="0"/>
          <w:numId w:val="1005"/>
        </w:numPr>
        <w:pStyle w:val="Compact"/>
      </w:pPr>
      <w:r>
        <w:t xml:space="preserve">Die White-Label-App endet mit dem Vertrag über den Tarif Premium. Mit Vertragsende stellt der Anbieter die Pflege und die Anbindung an die Plattform ein. Der Kunde entfernt die App innerhalb von [30] Tagen aus den Stores.</w:t>
      </w:r>
    </w:p>
    <w:p>
      <w:pPr>
        <w:numPr>
          <w:ilvl w:val="0"/>
          <w:numId w:val="1005"/>
        </w:numPr>
        <w:pStyle w:val="Compact"/>
      </w:pPr>
      <w:r>
        <w:t xml:space="preserve">Da die App unter dem Namen oder der Marke des Kunden vertrieben wird, kann der Kunde als Hersteller im Sinne der Verordnung (EU) 2024/2847 (Cyber Resilience Act) und des Produkthaftungsrechts gelten. Der Anbieter wirkt als technischer Entwickler mit: Er betreibt ein Verfahren zur Behandlung von Schwachstellen, stellt Sicherheitsaktualisierungen bereit, übergibt auf Anforderung eine Software-Stückliste (SBOM) und die technischen Unterlagen, die der Kunde für seine Pflichten benötigt, und informiert den Kunden über aktiv ausgenutzte Schwachstellen und schwerwiegende Sicherheitsvorfälle, die die App betreffen, unverzüglich, spätestens innerhalb von [12] Stunden nach Kenntnis, damit der Kunde etwaige Meldefristen einhalten kann.</w:t>
      </w:r>
    </w:p>
    <w:p>
      <w:pPr>
        <w:pStyle w:val="BlockText"/>
      </w:pPr>
      <w:r>
        <w:rPr>
          <w:bCs/>
          <w:b/>
        </w:rPr>
        <w:t xml:space="preserve">Prüfhinweis:</w:t>
      </w:r>
      <w:r>
        <w:t xml:space="preserve"> </w:t>
      </w:r>
      <w:r>
        <w:t xml:space="preserve">Nach Ziffer 4.2.6 der App Review Guidelines von Apple werden Apps aus kommerziellen Vorlagen oder App-Generatoren abgelehnt, wenn sie nicht direkt vom Anbieter der App-Inhalte eingereicht werden. Deshalb ist die Veröffentlichung im Konto des Kunden vorgesehen. Hersteller im Sinne des Art. 3 Nr. 13 CRA ist, wer ein Produkt mit digitalen Elementen entwickeln lässt und unter eigenem Namen oder eigener Marke vertreibt. Die Meldepflichten nach Art. 14 CRA gelten seit 11.09.2026 (Frühwarnung binnen 24 Stunden), die übrigen Pflichten ab 11.12.2027. Zu prüfen sind (a) die Rollenverteilung Hersteller/Zulieferer, (b) ob der Anbieter alternativ selbst als Hersteller auftreten soll, (c) ein Regress im Innenverhältnis zum neuen Produkthaftungsrecht (Quasi-Hersteller).</w:t>
      </w:r>
    </w:p>
    <w:p>
      <w:pPr>
        <w:pStyle w:val="FirstParagraph"/>
      </w:pPr>
      <w:r>
        <w:t xml:space="preserve">(4)</w:t>
      </w:r>
      <w:r>
        <w:t xml:space="preserve"> </w:t>
      </w:r>
      <w:r>
        <w:rPr>
          <w:bCs/>
          <w:b/>
        </w:rPr>
        <w:t xml:space="preserve">Individuelle Leistungen</w:t>
      </w:r>
      <w:r>
        <w:t xml:space="preserve"> </w:t>
      </w:r>
      <w:r>
        <w:t xml:space="preserve">wie Datenübernahme aus Altsystemen, Schulungen vor Ort oder kundenspezifische Anpassungen erbringt der Anbieter nur auf Grundlage eines gesonderten Angebots, im Zweifel zu einem Tagessatz von [Betrag] € netto.</w:t>
      </w:r>
    </w:p>
    <w:bookmarkEnd w:id="26"/>
    <w:bookmarkStart w:id="27" w:name="X9dbab4266941a8a84364e7e7907950999b8d878"/>
    <w:p>
      <w:pPr>
        <w:pStyle w:val="Heading2"/>
      </w:pPr>
      <w:r>
        <w:t xml:space="preserve">§ 7 Nutzungsrechte</w:t>
      </w:r>
    </w:p>
    <w:p>
      <w:pPr>
        <w:pStyle w:val="FirstParagraph"/>
      </w:pPr>
      <w:r>
        <w:t xml:space="preserve">(1) Der Anbieter räumt dem Kunden für die Vertragslaufzeit das einfache, nicht übertragbare und nicht unterlizenzierbare Recht ein, die Plattform im Rahmen des gebuchten Tarifs durch seine Nutzer bestimmungsgemäß für eigene Geschäftszwecke zu nutzen. Fahrer von Subunternehmern dürfen die Plattform nutzen, soweit sie Lieferungen für den Kunden durchführen.</w:t>
      </w:r>
    </w:p>
    <w:p>
      <w:pPr>
        <w:pStyle w:val="BodyText"/>
      </w:pPr>
      <w:r>
        <w:t xml:space="preserve">(2) Der Kunde ist nicht berechtigt, die Plattform zu vervielfältigen, zu bearbeiten, zu vermieten, Dritten zur Nutzung zu überlassen, sie in fremde Angebote einzubetten (Framing), automatisiert auszulesen (außer über die REST-API) oder für die Entwicklung eines Konkurrenzprodukts zu verwenden. § 69d und § 69e UrhG bleiben unberührt.</w:t>
      </w:r>
    </w:p>
    <w:p>
      <w:pPr>
        <w:pStyle w:val="BodyText"/>
      </w:pPr>
      <w:r>
        <w:t xml:space="preserve">(3) API-Schlüssel (Tarif Premium) sind geheim zu halten. Es gelten die in der Leistungsbeschreibung genannten Nutzungsgrenzen.</w:t>
      </w:r>
    </w:p>
    <w:p>
      <w:pPr>
        <w:pStyle w:val="BodyText"/>
      </w:pPr>
      <w:r>
        <w:t xml:space="preserve">(4) Die Rechte an den Kundendaten verbleiben beim Kunden. Der Kunde räumt dem Anbieter die Rechte ein, die zur Erbringung der Leistungen erforderlich sind (Speichern, Verarbeiten, Darstellen, Umformatieren, Sichern), beschränkt auf den Vertragszweck und die Vertragslaufzeit einschließlich des Abrufzeitraums.</w:t>
      </w:r>
    </w:p>
    <w:p>
      <w:pPr>
        <w:pStyle w:val="BodyText"/>
      </w:pPr>
      <w:r>
        <w:t xml:space="preserve">(5) Der Anbieter darf aggregierte Nutzungskennzahlen je Mandant ohne Personenbezug und ohne Inhalte der Auftragsdaten (z. B. Anzahl der Fahrer, Büro-Zugänge, Fahrzeuge und Lieferungen, Zeitpunkt der letzten Aktivität) für Abrechnung, Kapazitätsplanung und Produktverbesserung verwenden.</w:t>
      </w:r>
    </w:p>
    <w:p>
      <w:pPr>
        <w:pStyle w:val="BodyText"/>
      </w:pPr>
      <w:r>
        <w:t xml:space="preserve">(6) Alle Rechte an der Plattform, insbesondere am Quellcode, an der Dokumentation und an den Marken des Anbieters, verbleiben beim Anbieter.</w:t>
      </w:r>
    </w:p>
    <w:bookmarkEnd w:id="27"/>
    <w:bookmarkStart w:id="28" w:name="X4cbcc3f0fa98fee55a9e6a3b80243817dca555a"/>
    <w:p>
      <w:pPr>
        <w:pStyle w:val="Heading2"/>
      </w:pPr>
      <w:r>
        <w:t xml:space="preserve">§ 8 Branding, Rechte an Logo und Marke, Freistellung</w:t>
      </w:r>
    </w:p>
    <w:p>
      <w:pPr>
        <w:pStyle w:val="FirstParagraph"/>
      </w:pPr>
      <w:r>
        <w:t xml:space="preserve">(1) Der Kunde kann in der Plattform Logo, Markenfarbe und App-Namen hinterlegen sowie – je nach Tarif – eine Subdomain oder eigene Domain nutzen. Das Branding erscheint insbesondere in der App, auf der Anmeldeseite, im Symbol auf dem Startbildschirm, in Push-Benachrichtigungen, im Abliefernachweis und in der White-Label-App.</w:t>
      </w:r>
    </w:p>
    <w:p>
      <w:pPr>
        <w:pStyle w:val="BodyText"/>
      </w:pPr>
      <w:r>
        <w:t xml:space="preserve">(2) Der Kunde gewährleistet, dass er über alle Rechte an den von ihm bereitgestellten Kennzeichen, Logos, Bildern, Texten und Domains verfügt, insbesondere Marken-, Urheber-, Namens- und Persönlichkeitsrechte, und dass deren Nutzung im Rahmen dieses Vertrags keine Rechte Dritter und keine gesetzlichen Vorschriften verletzt.</w:t>
      </w:r>
    </w:p>
    <w:p>
      <w:pPr>
        <w:pStyle w:val="BodyText"/>
      </w:pPr>
      <w:r>
        <w:t xml:space="preserve">(3) Der Kunde räumt dem Anbieter für die Vertragslaufzeit unentgeltlich das einfache, nicht übertragbare Recht ein, diese Inhalte zu vervielfältigen, in Größe und Format anzupassen und öffentlich zugänglich zu machen, soweit dies für die Erbringung der Leistungen erforderlich ist, einschließlich der White-Label-App und – vorbehaltlich eines Widerspruchs nach § 25 – der Referenznennung.</w:t>
      </w:r>
    </w:p>
    <w:p>
      <w:pPr>
        <w:pStyle w:val="BodyText"/>
      </w:pPr>
      <w:r>
        <w:t xml:space="preserve">(4) Der Kunde stellt den Anbieter von allen Ansprüchen Dritter frei, die diese wegen einer Verletzung ihrer Rechte durch die vom Kunden bereitgestellten Inhalte gegen den Anbieter geltend machen, soweit der Kunde die Rechtsverletzung zu vertreten hat. Die Freistellung umfasst die angemessenen Kosten der Rechtsverteidigung in Höhe der gesetzlichen Gebühren. Der Anbieter informiert den Kunden unverzüglich über die Inanspruchnahme, erkennt Ansprüche nicht ohne Zustimmung des Kunden an und überlässt ihm, soweit rechtlich möglich, die Verteidigung.</w:t>
      </w:r>
    </w:p>
    <w:p>
      <w:pPr>
        <w:pStyle w:val="BodyText"/>
      </w:pPr>
      <w:r>
        <w:t xml:space="preserve">(5) Der Anbieter darf Inhalte vorläufig ausblenden, wenn sie offensichtlich rechtswidrig sind oder ihm eine hinreichend begründete Meldung eines Dritten vorliegt. Er informiert den Kunden unverzüglich unter Angabe der Gründe und gibt ihm Gelegenheit zur Stellungnahme.</w:t>
      </w:r>
    </w:p>
    <w:p>
      <w:pPr>
        <w:pStyle w:val="BodyText"/>
      </w:pPr>
      <w:r>
        <w:t xml:space="preserve">(6) Der Anbieter darf im Informations- bzw. Impressumsbereich der App einen unauffälligen Hinweis auf sich als technischen Anbieter aufnehmen („bereitgestellt mit LADEKLAR“). Auf den Arbeitsoberflächen der Nutzer erscheint kein Hinweis auf den Anbieter.</w:t>
      </w:r>
    </w:p>
    <w:p>
      <w:pPr>
        <w:pStyle w:val="BodyText"/>
      </w:pPr>
      <w:r>
        <w:t xml:space="preserve">(7) Bei Nutzung einer eigenen Domain ist der Kunde für deren Registrierung und die DNS-Einträge verantwortlich. Der Anbieter stellt das TLS-Zertifikat automatisch bereit.</w:t>
      </w:r>
    </w:p>
    <w:p>
      <w:pPr>
        <w:pStyle w:val="BlockText"/>
      </w:pPr>
      <w:r>
        <w:rPr>
          <w:bCs/>
          <w:b/>
        </w:rPr>
        <w:t xml:space="preserve">Prüfhinweis:</w:t>
      </w:r>
      <w:r>
        <w:t xml:space="preserve"> </w:t>
      </w:r>
      <w:r>
        <w:t xml:space="preserve">Die Plattform speichert Inhalte, die Nutzer bereitstellen. Sie dürfte daher ein Hostingdienst im Sinne des Digital Services Act (VO (EU) 2022/2065) sein. Pflichten nach Art. 11, 12 (Kontaktstellen), Art. 14 (Angaben zu Inhaltsbeschränkungen in den AGB), Art. 16 (Melde- und Abhilfeverfahren) und Art. 17 (Begründung) gelten unabhängig von der Unternehmensgröße. Abs. 5 und § 10 sind als Beschränkungshinweis im Sinne des Art. 14 DSA gedacht; Meldeweg: [E-Mail/Formular].</w:t>
      </w:r>
    </w:p>
    <w:bookmarkEnd w:id="28"/>
    <w:bookmarkStart w:id="29" w:name="X69536ac6e4ef34597338582f17f603bf6f769ca"/>
    <w:p>
      <w:pPr>
        <w:pStyle w:val="Heading2"/>
      </w:pPr>
      <w:r>
        <w:t xml:space="preserve">§ 9 Pflichten und Obliegenheiten des Kunden</w:t>
      </w:r>
    </w:p>
    <w:p>
      <w:pPr>
        <w:pStyle w:val="FirstParagraph"/>
      </w:pPr>
      <w:r>
        <w:t xml:space="preserve">(1)</w:t>
      </w:r>
      <w:r>
        <w:t xml:space="preserve"> </w:t>
      </w:r>
      <w:r>
        <w:rPr>
          <w:bCs/>
          <w:b/>
        </w:rPr>
        <w:t xml:space="preserve">Zugangsdaten.</w:t>
      </w:r>
      <w:r>
        <w:t xml:space="preserve"> </w:t>
      </w:r>
      <w:r>
        <w:t xml:space="preserve">Der Kunde hält Passwörter, PINs, Einladungslinks und API-Schlüssel geheim und sorgt dafür, dass seine Nutzer dies ebenfalls tun. Admin- und Disponentenzugänge sind personengebunden. Bei Verdacht auf Missbrauch informiert der Kunde den Anbieter unverzüglich und setzt betroffene Zugänge zurück. Zugänge ausscheidender Nutzer deaktiviert der Kunde unverzüglich. Der Anbieter empfiehlt, für Admin- und Disponentenzugänge die Zwei-Faktor-Anmeldung der Plattform einzuschalten.</w:t>
      </w:r>
    </w:p>
    <w:p>
      <w:pPr>
        <w:pStyle w:val="BodyText"/>
      </w:pPr>
      <w:r>
        <w:t xml:space="preserve">(2)</w:t>
      </w:r>
      <w:r>
        <w:t xml:space="preserve"> </w:t>
      </w:r>
      <w:r>
        <w:rPr>
          <w:bCs/>
          <w:b/>
        </w:rPr>
        <w:t xml:space="preserve">Verantwortung für Nutzer.</w:t>
      </w:r>
      <w:r>
        <w:t xml:space="preserve"> </w:t>
      </w:r>
      <w:r>
        <w:t xml:space="preserve">Der Kunde ist für die Handlungen seiner Nutzer im Mandanten wie für eigene Handlungen verantwortlich, soweit sie im Zusammenhang mit der Nutzung der Plattform stehen.</w:t>
      </w:r>
    </w:p>
    <w:p>
      <w:pPr>
        <w:pStyle w:val="BodyText"/>
      </w:pPr>
      <w:r>
        <w:t xml:space="preserve">(3)</w:t>
      </w:r>
      <w:r>
        <w:t xml:space="preserve"> </w:t>
      </w:r>
      <w:r>
        <w:rPr>
          <w:bCs/>
          <w:b/>
        </w:rPr>
        <w:t xml:space="preserve">Unterweisung der Fahrer, Straßenverkehr.</w:t>
      </w:r>
      <w:r>
        <w:t xml:space="preserve"> </w:t>
      </w:r>
      <w:r>
        <w:t xml:space="preserve">Der Kunde unterweist jeden Fahrer vor der ersten Nutzung über die Nutzungsbedingungen für Fahrer und dokumentiert dies. Er weist insbesondere darauf hin, dass ein Mobiltelefon oder Tablet während der Fahrt nur unter den Voraussetzungen des § 23 Abs. 1a StVO benutzt werden darf, dass die Befreiung für stehende Fahrzeuge nach § 23 Abs. 1b StVO nur bei vollständig ausgeschaltetem Motor gilt und dass die Abschaltung durch eine Start-Stopp-Automatik nicht genügt. Der Kunde gestaltet seine Abläufe so, dass Fahrer die App nur bei sicher abgestelltem Fahrzeug bedienen müssen. Die Fahrsperre der App ist ein Hilfsmittel: Sie wirkt nur bei erteilter Standortfreigabe, erst ab einer Geschwindigkeit von etwa 8 km/h und nicht bei stehendem Fahrzeug mit laufendem Motor. Sie entbindet weder den Fahrer noch den Kunden von ihrer Verantwortung.</w:t>
      </w:r>
    </w:p>
    <w:p>
      <w:pPr>
        <w:pStyle w:val="BodyText"/>
      </w:pPr>
      <w:r>
        <w:t xml:space="preserve">(4)</w:t>
      </w:r>
      <w:r>
        <w:t xml:space="preserve"> </w:t>
      </w:r>
      <w:r>
        <w:rPr>
          <w:bCs/>
          <w:b/>
        </w:rPr>
        <w:t xml:space="preserve">Datenschutz.</w:t>
      </w:r>
      <w:r>
        <w:t xml:space="preserve"> </w:t>
      </w:r>
      <w:r>
        <w:t xml:space="preserve">Der Kunde ist für die Verarbeitung der Kundendaten Verantwortlicher im Sinne der DSGVO. Er stellt insbesondere sicher, dass</w:t>
      </w:r>
    </w:p>
    <w:p>
      <w:pPr>
        <w:numPr>
          <w:ilvl w:val="0"/>
          <w:numId w:val="1006"/>
        </w:numPr>
        <w:pStyle w:val="Compact"/>
      </w:pPr>
      <w:r>
        <w:t xml:space="preserve">für die Verarbeitung der Daten seiner Fahrer, Disponenten, Auftraggeber, Empfänger und Ansprechpartner an Lade- und Entladestellen eine Rechtsgrundlage besteht;</w:t>
      </w:r>
    </w:p>
    <w:p>
      <w:pPr>
        <w:numPr>
          <w:ilvl w:val="0"/>
          <w:numId w:val="1006"/>
        </w:numPr>
        <w:pStyle w:val="Compact"/>
      </w:pPr>
      <w:r>
        <w:t xml:space="preserve">die betroffenen Personen nach Art. 13 und 14 DSGVO informiert werden (Vorlage: Datenschutzhinweise für Fahrer einschließlich Kurzhinweis für Empfänger);</w:t>
      </w:r>
    </w:p>
    <w:p>
      <w:pPr>
        <w:numPr>
          <w:ilvl w:val="0"/>
          <w:numId w:val="1006"/>
        </w:numPr>
        <w:pStyle w:val="Compact"/>
      </w:pPr>
      <w:r>
        <w:t xml:space="preserve">erforderliche Einwilligungen, insbesondere für die Standortabfrage beim Statuswechsel und für den Zugriff auf den Gerätestandort durch die Fahrsperre (in der Plattform voreingestellt eingeschaltet), wirksam eingeholt werden;</w:t>
      </w:r>
    </w:p>
    <w:p>
      <w:pPr>
        <w:numPr>
          <w:ilvl w:val="0"/>
          <w:numId w:val="1006"/>
        </w:numPr>
        <w:pStyle w:val="Compact"/>
      </w:pPr>
      <w:r>
        <w:t xml:space="preserve">eine erforderliche Datenschutz-Folgenabschätzung durchgeführt wird.</w:t>
      </w:r>
    </w:p>
    <w:p>
      <w:pPr>
        <w:pStyle w:val="FirstParagraph"/>
      </w:pPr>
      <w:r>
        <w:t xml:space="preserve">Die vom Kunden in der Plattform gewählten Einstellungen (z. B. Standort beim Statuswechsel, Ankunftserfassung, Fotopflicht, Unterschrift, Löschfristen) sind Weisungen im Sinne des AVV.</w:t>
      </w:r>
    </w:p>
    <w:p>
      <w:pPr>
        <w:pStyle w:val="BodyText"/>
      </w:pPr>
      <w:r>
        <w:t xml:space="preserve">(5)</w:t>
      </w:r>
      <w:r>
        <w:t xml:space="preserve"> </w:t>
      </w:r>
      <w:r>
        <w:rPr>
          <w:bCs/>
          <w:b/>
        </w:rPr>
        <w:t xml:space="preserve">Betriebsrat.</w:t>
      </w:r>
      <w:r>
        <w:t xml:space="preserve"> </w:t>
      </w:r>
      <w:r>
        <w:t xml:space="preserve">Besteht beim Kunden ein Betriebsrat, wahrt der Kunde dessen Beteiligungsrechte, insbesondere nach § 87 Abs. 1 Nr. 6 BetrVG, bevor er die Plattform mit Fahrern oder Disponenten produktiv nutzt. Die vom Anbieter bereitgestellte Muster-Betriebsvereinbarung ist eine unverbindliche Vorlage.</w:t>
      </w:r>
    </w:p>
    <w:p>
      <w:pPr>
        <w:pStyle w:val="BodyText"/>
      </w:pPr>
      <w:r>
        <w:t xml:space="preserve">(6)</w:t>
      </w:r>
      <w:r>
        <w:t xml:space="preserve"> </w:t>
      </w:r>
      <w:r>
        <w:rPr>
          <w:bCs/>
          <w:b/>
        </w:rPr>
        <w:t xml:space="preserve">Inhalte.</w:t>
      </w:r>
      <w:r>
        <w:t xml:space="preserve"> </w:t>
      </w:r>
      <w:r>
        <w:t xml:space="preserve">Der Kunde sorgt dafür, dass über die Plattform keine rechtswidrigen Inhalte verarbeitet werden. Fotos sollen nur Lieferdokumente, Ware, Ladung, Schäden und Fahrzeuge zeigen, keine Personen. In Freitextfeldern sollen keine besonderen Kategorien personenbezogener Daten im Sinne des Art. 9 DSGVO (z. B. Angaben zu Verletzungen nach einem Unfall) erfasst werden, soweit dies nicht im Einzelfall erforderlich ist.</w:t>
      </w:r>
    </w:p>
    <w:p>
      <w:pPr>
        <w:pStyle w:val="BodyText"/>
      </w:pPr>
      <w:r>
        <w:t xml:space="preserve">(7)</w:t>
      </w:r>
      <w:r>
        <w:t xml:space="preserve"> </w:t>
      </w:r>
      <w:r>
        <w:rPr>
          <w:bCs/>
          <w:b/>
        </w:rPr>
        <w:t xml:space="preserve">Aufbewahrung und Archivierung.</w:t>
      </w:r>
      <w:r>
        <w:t xml:space="preserve"> </w:t>
      </w:r>
      <w:r>
        <w:t xml:space="preserve">Der Kunde legt fest, wie lange abgeschlossene Lieferungen mit allen Dokumenten aufbewahrt werden (1 bis 10 Jahre, Voreinstellung 3 Jahre, gerechnet ab der Zustellung bzw. Stornierung); danach löscht die Plattform sie automatisch. Die übrigen Fristen sind in der Leistungsbeschreibung Teil A Ziffer 6 festgelegt. Der Kunde ist selbst dafür verantwortlich, handels- und steuerrechtliche Aufbewahrungspflichten zu erfüllen, insbesondere Unterlagen, die Buchungsbelege sind, nach den GoBD in seinen eigenen Systemen zu archivieren. Der Anbieter empfiehlt, Abliefernachweise und Dokumente regelmäßig zu exportieren.</w:t>
      </w:r>
    </w:p>
    <w:p>
      <w:pPr>
        <w:pStyle w:val="BodyText"/>
      </w:pPr>
      <w:r>
        <w:t xml:space="preserve">(8)</w:t>
      </w:r>
      <w:r>
        <w:t xml:space="preserve"> </w:t>
      </w:r>
      <w:r>
        <w:rPr>
          <w:bCs/>
          <w:b/>
        </w:rPr>
        <w:t xml:space="preserve">Endgeräte.</w:t>
      </w:r>
      <w:r>
        <w:t xml:space="preserve"> </w:t>
      </w:r>
      <w:r>
        <w:t xml:space="preserve">Der Kunde stellt sicher, dass die Endgeräte seiner Nutzer die technischen Voraussetzungen der Leistungsbeschreibung erfüllen, mit Bildschirmsperre geschützt und auf aktuellem Stand sind. Ob Fahrer Dienstgeräte oder private Geräte nutzen, entscheidet der Kunde in eigener Verantwortung.</w:t>
      </w:r>
    </w:p>
    <w:p>
      <w:pPr>
        <w:pStyle w:val="BodyText"/>
      </w:pPr>
      <w:r>
        <w:t xml:space="preserve">(9)</w:t>
      </w:r>
      <w:r>
        <w:t xml:space="preserve"> </w:t>
      </w:r>
      <w:r>
        <w:rPr>
          <w:bCs/>
          <w:b/>
        </w:rPr>
        <w:t xml:space="preserve">Mitwirkung bei Störungen.</w:t>
      </w:r>
      <w:r>
        <w:t xml:space="preserve"> </w:t>
      </w:r>
      <w:r>
        <w:t xml:space="preserve">Der Kunde meldet Störungen über die Supportwege der Leistungsbeschreibung/SLA mit einer nachvollziehbaren Beschreibung.</w:t>
      </w:r>
    </w:p>
    <w:p>
      <w:pPr>
        <w:pStyle w:val="BodyText"/>
      </w:pPr>
      <w:r>
        <w:t xml:space="preserve">(10)</w:t>
      </w:r>
      <w:r>
        <w:t xml:space="preserve"> </w:t>
      </w:r>
      <w:r>
        <w:rPr>
          <w:bCs/>
          <w:b/>
        </w:rPr>
        <w:t xml:space="preserve">Subunternehmer.</w:t>
      </w:r>
      <w:r>
        <w:t xml:space="preserve"> </w:t>
      </w:r>
      <w:r>
        <w:t xml:space="preserve">Setzt der Kunde Fahrer von Subunternehmern ein, verpflichtet er diese vertraglich auf die Nutzungsbedingungen für Fahrer und stellt deren Information nach Art. 13 DSGVO sicher.</w:t>
      </w:r>
    </w:p>
    <w:bookmarkEnd w:id="29"/>
    <w:bookmarkStart w:id="30" w:name="X435b10000736825e367e0f877873caeac88c9d2"/>
    <w:p>
      <w:pPr>
        <w:pStyle w:val="Heading2"/>
      </w:pPr>
      <w:r>
        <w:t xml:space="preserve">§ 10 Unzulässige Nutzung, vorübergehende Beschränkung</w:t>
      </w:r>
    </w:p>
    <w:p>
      <w:pPr>
        <w:pStyle w:val="FirstParagraph"/>
      </w:pPr>
      <w:r>
        <w:t xml:space="preserve">(1) Unzulässig ist insbesondere,</w:t>
      </w:r>
    </w:p>
    <w:p>
      <w:pPr>
        <w:numPr>
          <w:ilvl w:val="0"/>
          <w:numId w:val="1007"/>
        </w:numPr>
        <w:pStyle w:val="Compact"/>
      </w:pPr>
      <w:r>
        <w:t xml:space="preserve">rechtswidrige Inhalte oder Schadsoftware hochzuladen;</w:t>
      </w:r>
    </w:p>
    <w:p>
      <w:pPr>
        <w:numPr>
          <w:ilvl w:val="0"/>
          <w:numId w:val="1007"/>
        </w:numPr>
        <w:pStyle w:val="Compact"/>
      </w:pPr>
      <w:r>
        <w:t xml:space="preserve">Sicherheitsmaßnahmen zu umgehen, Zugänge Dritter zu nutzen oder Tarifgrenzen technisch zu umgehen;</w:t>
      </w:r>
    </w:p>
    <w:p>
      <w:pPr>
        <w:numPr>
          <w:ilvl w:val="0"/>
          <w:numId w:val="1007"/>
        </w:numPr>
        <w:pStyle w:val="Compact"/>
      </w:pPr>
      <w:r>
        <w:t xml:space="preserve">die Plattform übermäßig zu belasten oder Sicherheitstests ohne vorherige Zustimmung des Anbieters in Textform durchzuführen;</w:t>
      </w:r>
    </w:p>
    <w:p>
      <w:pPr>
        <w:numPr>
          <w:ilvl w:val="0"/>
          <w:numId w:val="1007"/>
        </w:numPr>
        <w:pStyle w:val="Compact"/>
      </w:pPr>
      <w:r>
        <w:t xml:space="preserve">die Plattform zu einer fortlaufenden Ortung oder Überwachung von Personen zu verwenden, die über die vorgesehenen Funktionen hinausgeht.</w:t>
      </w:r>
    </w:p>
    <w:p>
      <w:pPr>
        <w:pStyle w:val="FirstParagraph"/>
      </w:pPr>
      <w:r>
        <w:t xml:space="preserve">(2) Bestehen konkrete Anhaltspunkte für einen Verstoß gegen Abs. 1 oder droht eine Gefahr für die Sicherheit der Plattform oder anderer Kunden (z. B. kompromittierter Zugang), kann der Anbieter einzelne Zugänge oder Funktionen vorübergehend beschränken. Er wählt das mildeste geeignete Mittel, informiert den Kunden unverzüglich, möglichst vorab, und hebt die Beschränkung auf, sobald der Grund entfallen ist. Hat der Kunde den Grund zu vertreten, bleibt die Vergütungspflicht bestehen.</w:t>
      </w:r>
    </w:p>
    <w:bookmarkEnd w:id="30"/>
    <w:bookmarkStart w:id="31" w:name="X0940d898f112f35e451d6f8eba77327ff321246"/>
    <w:p>
      <w:pPr>
        <w:pStyle w:val="Heading2"/>
      </w:pPr>
      <w:r>
        <w:t xml:space="preserve">§ 11 Verfügbarkeit, Wartung, Support</w:t>
      </w:r>
    </w:p>
    <w:p>
      <w:pPr>
        <w:pStyle w:val="FirstParagraph"/>
      </w:pPr>
      <w:r>
        <w:t xml:space="preserve">(1) Der Anbieter stellt die Plattform mit einer Verfügbarkeit im Monatsmittel von 99,0 % in den Tarifen Start und Flotte und von 99,5 % im Tarif Premium bereit. Berechnung, Ausnahmen, Wartungsfenster und Gutschriften regelt das SLA.</w:t>
      </w:r>
    </w:p>
    <w:p>
      <w:pPr>
        <w:pStyle w:val="BodyText"/>
      </w:pPr>
      <w:r>
        <w:t xml:space="preserve">(2) Der Anbieter führt geplante Wartungen grundsätzlich in den Wartungsfenstern des SLA durch und kündigt sie vorher an.</w:t>
      </w:r>
    </w:p>
    <w:p>
      <w:pPr>
        <w:pStyle w:val="BodyText"/>
      </w:pPr>
      <w:r>
        <w:t xml:space="preserve">(3) Supportzeiten, Supportwege und Reaktionszeiten ergeben sich aus dem SLA. Der Prioritäts-Support ist Bestandteil des Tarifs Premium.</w:t>
      </w:r>
    </w:p>
    <w:bookmarkEnd w:id="31"/>
    <w:bookmarkStart w:id="32" w:name="X43465e6ab851dba53f9394eb93cfca14cb5a180"/>
    <w:p>
      <w:pPr>
        <w:pStyle w:val="Heading2"/>
      </w:pPr>
      <w:r>
        <w:t xml:space="preserve">§ 12 Weiterentwicklung der Plattform</w:t>
      </w:r>
    </w:p>
    <w:p>
      <w:pPr>
        <w:pStyle w:val="FirstParagraph"/>
      </w:pPr>
      <w:r>
        <w:t xml:space="preserve">(1) Der Anbieter entwickelt die Plattform fortlaufend weiter. Er darf Funktionen ändern, ersetzen oder einstellen, wenn dies (a) aus rechtlichen oder regulatorischen Gründen, zur Gewährleistung der Sicherheit oder wegen Änderungen bei Dritten (z. B. Browser, Betriebssysteme, Push-Dienste, App-Stores) erforderlich ist oder (b) für den Kunden unter Berücksichtigung seiner Interessen zumutbar ist. Die Kernfunktionen Lieferungen, Statusmeldungen, Dokumente und Fotos, Benachrichtigungen und Datenexport bleiben mindestens gleichwertig erhalten.</w:t>
      </w:r>
    </w:p>
    <w:p>
      <w:pPr>
        <w:pStyle w:val="BodyText"/>
      </w:pPr>
      <w:r>
        <w:t xml:space="preserve">(2) Wesentliche Änderungen, die sich für den Kunden nachteilig auswirken, kündigt der Anbieter mindestens [6] Wochen vor ihrem Wirksamwerden in Textform an. Der Kunde kann den Vertrag in diesem Fall außerordentlich zum Zeitpunkt des Wirksamwerdens kündigen. Der Anbieter weist in der Ankündigung auf dieses Recht hin.</w:t>
      </w:r>
    </w:p>
    <w:p>
      <w:pPr>
        <w:pStyle w:val="BodyText"/>
      </w:pPr>
      <w:r>
        <w:t xml:space="preserve">(3) Als „Beta“ gekennzeichnete Funktionen sind freiwillige Vorabversionen. Für sie gelten keine Verfügbarkeitszusagen.</w:t>
      </w:r>
    </w:p>
    <w:bookmarkEnd w:id="32"/>
    <w:bookmarkStart w:id="33" w:name="X549e40c8db818d4aa244d6296aa8a27a9c607c7"/>
    <w:p>
      <w:pPr>
        <w:pStyle w:val="Heading2"/>
      </w:pPr>
      <w:r>
        <w:t xml:space="preserve">§ 13 Vergütung, Abrechnung, Zahlung</w:t>
      </w:r>
    </w:p>
    <w:p>
      <w:pPr>
        <w:pStyle w:val="FirstParagraph"/>
      </w:pPr>
      <w:r>
        <w:t xml:space="preserve">(1) Alle Preise verstehen sich in Euro zuzüglich der jeweils gesetzlichen Umsatzsteuer.</w:t>
      </w:r>
    </w:p>
    <w:p>
      <w:pPr>
        <w:pStyle w:val="BodyText"/>
      </w:pPr>
      <w:r>
        <w:t xml:space="preserve">(2)</w:t>
      </w:r>
      <w:r>
        <w:t xml:space="preserve"> </w:t>
      </w:r>
      <w:r>
        <w:rPr>
          <w:bCs/>
          <w:b/>
        </w:rPr>
        <w:t xml:space="preserve">Monatliche Zahlweise.</w:t>
      </w:r>
      <w:r>
        <w:t xml:space="preserve"> </w:t>
      </w:r>
      <w:r>
        <w:t xml:space="preserve">Der monatliche Preis aus Grundpreis des Tarifs, gebuchten Zusatzfahrern und gegebenenfalls dem Betrieb der White-Label-App ist für jeden Kalendermonat ab dem Monat des Beginns der kostenpflichtigen Nutzung im Voraus fällig. [Zusatzspeicher wird monatlich nachträglich abgerechnet.]</w:t>
      </w:r>
    </w:p>
    <w:p>
      <w:pPr>
        <w:pStyle w:val="BodyText"/>
      </w:pPr>
      <w:r>
        <w:t xml:space="preserve">(3)</w:t>
      </w:r>
      <w:r>
        <w:t xml:space="preserve"> </w:t>
      </w:r>
      <w:r>
        <w:rPr>
          <w:bCs/>
          <w:b/>
        </w:rPr>
        <w:t xml:space="preserve">Jährliche Zahlweise.</w:t>
      </w:r>
      <w:r>
        <w:t xml:space="preserve"> </w:t>
      </w:r>
      <w:r>
        <w:t xml:space="preserve">Bei jährlicher Zahlweise zahlt der Kunde für zwölf Monate den zehnfachen monatlichen Preis einschließlich gebuchter Zusatzfahrer und des Betriebs der White-Label-App im Voraus („2 Monate geschenkt“), erstmals im Monat des Beginns der kostenpflichtigen Nutzung und danach alle zwölf Monate. [Zusatzspeicher wird monatlich nachträglich abgerechnet.]</w:t>
      </w:r>
    </w:p>
    <w:p>
      <w:pPr>
        <w:pStyle w:val="BlockText"/>
      </w:pPr>
      <w:r>
        <w:rPr>
          <w:bCs/>
          <w:b/>
        </w:rPr>
        <w:t xml:space="preserve">Prüfhinweis (Technik):</w:t>
      </w:r>
      <w:r>
        <w:t xml:space="preserve"> </w:t>
      </w:r>
      <w:r>
        <w:t xml:space="preserve">Die Abrechnungsvorschau der Lizenzgeber-Konsole (</w:t>
      </w:r>
      <w:r>
        <w:rPr>
          <w:rStyle w:val="VerbatimChar"/>
        </w:rPr>
        <w:t xml:space="preserve">billingRun</w:t>
      </w:r>
      <w:r>
        <w:t xml:space="preserve">) rechnet aus der Lizenz-Historie des Kunden (jede Änderung von Status, Tarif, Zahlweise, Zusatzfahrern, Store-App und Laufzeitende mit Zeitpunkt). Bezahlt ist eine Lizenz, solange sie aktiv ist, auch während einer Sperre nach vorheriger Zahlung (§ 14 Abs. 4), bis zum Laufzeitende; Testtage werden nie berechnet. Monatliche Zahler: jeder Kalendermonat mit mindestens einem bezahlten Tag, auch der Monat, in dem eine Kündigung wirksam wird; Tarif und Zusätze wie am letzten bezahlten Tag des Monats (Berliner Zeit). Jährliche Zahler: zehnfacher Monatspreis im ersten bezahlten Monat und danach alle zwölf Monate, nicht, wenn die Laufzeit vor dem Verlängerungstag endet; Änderungen im bezahlten Jahr gelten erst ab der Verlängerung. Wechsel monatlich → jährlich: im Wechselmonat beginnt ein neues Jahr ohne Monatsbeitrag; jährlich → monatlich: Monatsbeiträge erst nach dem bezahlten Jahr. Einrichtung der White-Label-App: 1.990 € einmalig im ersten bezahlten Monat mit App. Jede Zeile nennt ihren Grund, die CSV hat die Spalte „Grund“. Nicht abgebildet sind eine zeitanteilige Abrechnung von Tarifwechseln innerhalb eines Monats bzw. eines Jahres, die Erstattung nach § 16 Abs. 3, Zusatzspeicher und individuelle Leistungen; diese sind gesondert abzurechnen. Die Vorschau erzeugt keine Rechnungen.</w:t>
      </w:r>
    </w:p>
    <w:p>
      <w:pPr>
        <w:pStyle w:val="FirstParagraph"/>
      </w:pPr>
      <w:r>
        <w:t xml:space="preserve">(4) Rechnungen werden elektronisch übermittelt. Der Kunde ist mit dem Empfang elektronischer Rechnungen einverstanden. Soweit gesetzlich vorgeschrieben oder vom Kunden gewünscht, stellt der Anbieter Rechnungen in einem strukturierten elektronischen Format (z. B. XRechnung oder ZUGFeRD) aus.</w:t>
      </w:r>
    </w:p>
    <w:p>
      <w:pPr>
        <w:pStyle w:val="BodyText"/>
      </w:pPr>
      <w:r>
        <w:t xml:space="preserve">(5) Rechnungsbeträge sind innerhalb von [14] Tagen nach Zugang der Rechnung ohne Abzug fällig. Zahlungen erfolgen per Überweisung oder, falls vereinbart, per SEPA-Lastschrift. Bei SEPA-Lastschrift wird die Vorabankündigung (Pre-Notification) auf [einen] Tag vor Fälligkeit verkürzt. Kosten einer vom Kunden zu vertretenden Rücklastschrift trägt der Kunde.</w:t>
      </w:r>
    </w:p>
    <w:p>
      <w:pPr>
        <w:pStyle w:val="BodyText"/>
      </w:pPr>
      <w:r>
        <w:t xml:space="preserve">(6) Kunden mit Sitz in einem anderen Mitgliedstaat der EU teilen ihre gültige Umsatzsteuer-Identifikationsnummer mit. Liegt der Ort der Leistung im Ausland, rechnet der Anbieter ohne deutsche Umsatzsteuer ab; die Steuer schuldet der Kunde als Leistungsempfänger.</w:t>
      </w:r>
    </w:p>
    <w:p>
      <w:pPr>
        <w:pStyle w:val="BodyText"/>
      </w:pPr>
      <w:r>
        <w:t xml:space="preserve">(7) Die Plattform ermittelt die abrechnungsrelevanten Kennzahlen (Tarif, Fahrerzahl, Speicher). Einwendungen gegen eine Rechnung erhebt der Kunde innerhalb von [6] Wochen nach Zugang in Textform. Unterlässt er dies, gilt die Rechnung als genehmigt; der Anbieter weist in jeder Rechnung auf diese Folge hin. Gesetzliche Ansprüche des Kunden bei begründeten Einwendungen nach Fristablauf bleiben unberührt.</w:t>
      </w:r>
    </w:p>
    <w:p>
      <w:pPr>
        <w:pStyle w:val="BodyText"/>
      </w:pPr>
      <w:r>
        <w:t xml:space="preserve">(8) Der Kunde kann nur mit unbestrittenen oder rechtskräftig festgestellten Forderungen aufrechnen und ein Zurückbehaltungsrecht nur wegen Ansprüchen aus demselben Vertragsverhältnis ausüben. Dies gilt nicht für Gegenansprüche wegen Mängeln oder teilweiser Nichterfüllung aus demselben Vertrag.</w:t>
      </w:r>
    </w:p>
    <w:bookmarkEnd w:id="33"/>
    <w:bookmarkStart w:id="34" w:name="X7211a34a603ccc74a814ee8827b71ddf37b321d"/>
    <w:p>
      <w:pPr>
        <w:pStyle w:val="Heading2"/>
      </w:pPr>
      <w:r>
        <w:t xml:space="preserve">§ 14 Zahlungsverzug und Sperrung</w:t>
      </w:r>
    </w:p>
    <w:p>
      <w:pPr>
        <w:pStyle w:val="FirstParagraph"/>
      </w:pPr>
      <w:r>
        <w:t xml:space="preserve">(1) Gerät der Kunde in Zahlungsverzug, schuldet er Verzugszinsen in gesetzlicher Höhe (§ 288 Abs. 2 BGB) und die Pauschale nach § 288 Abs. 5 BGB. Weitergehende Ansprüche bleiben unberührt.</w:t>
      </w:r>
    </w:p>
    <w:p>
      <w:pPr>
        <w:pStyle w:val="BodyText"/>
      </w:pPr>
      <w:r>
        <w:t xml:space="preserve">(2) Ist der Kunde mit einem Betrag von mindestens einem monatlichen Grundpreis länger als [14] Tage nach Fälligkeit in Verzug, kann der Anbieter den Mandanten in den Status „Gesperrt“ versetzen. Voraussetzung ist eine Mahnung in Textform, die die Sperrung ankündigt und eine Zahlungsfrist von mindestens [10] Werktagen setzt.</w:t>
      </w:r>
    </w:p>
    <w:p>
      <w:pPr>
        <w:pStyle w:val="BodyText"/>
      </w:pPr>
      <w:r>
        <w:t xml:space="preserve">(3) Im Status „Gesperrt“ können sich Admins und Disponenten weiter anmelden und die Daten lesen; der Admin kann alle Daten vollständig exportieren, Personen löschen und Kündigungs- oder Tarifwünsche senden. Neue Lieferungen, Statusmeldungen, Uploads und sonstige Änderungen sind nicht möglich; die App zeigt einen entsprechenden Hinweis. Die REST-API ist gesperrt. Angemeldete Fahrer werden abgemeldet und können sich nicht neu anmelden; die App zeigt ihnen „Zugang gesperrt – bitte die Disposition anrufen.“ Meldungen, die ein Fahrer ohne Netz gespeichert hat, bleiben auf seinem Gerät und werden erst gesendet, wenn er sich nach Aufhebung der Sperrung wieder anmeldet; liegt sein Tippen dann mehr als 72 Stunden zurück, speichert die Plattform den Zeitpunkt des Eingangs. Der Kunde ist selbst dafür verantwortlich, laufende Touren in diesem Fall auf andere Weise zu dokumentieren.</w:t>
      </w:r>
    </w:p>
    <w:p>
      <w:pPr>
        <w:pStyle w:val="BodyText"/>
      </w:pPr>
      <w:r>
        <w:t xml:space="preserve">(4) Der Anbieter hebt die Sperrung innerhalb von [einem] Werktag nach vollständigem Zahlungseingang auf. Die Vergütungspflicht besteht während der Sperrung fort.</w:t>
      </w:r>
    </w:p>
    <w:p>
      <w:pPr>
        <w:pStyle w:val="BodyText"/>
      </w:pPr>
      <w:r>
        <w:t xml:space="preserve">(5) Ist der Kunde für zwei aufeinanderfolgende Monate mit der Vergütung oder einem nicht unerheblichen Teil davon oder über einen längeren Zeitraum mit einem Betrag in Höhe von zwei monatlichen Grundpreisen in Verzug, kann der Anbieter den Vertrag außerordentlich kündigen. § 18 (Abrufzeitraum) bleibt unberührt.</w:t>
      </w:r>
    </w:p>
    <w:bookmarkEnd w:id="34"/>
    <w:bookmarkStart w:id="35" w:name="X04a2d7162d3825766725f76e71197f3af8f1335"/>
    <w:p>
      <w:pPr>
        <w:pStyle w:val="Heading2"/>
      </w:pPr>
      <w:r>
        <w:t xml:space="preserve">§ 15 Preisanpassung</w:t>
      </w:r>
    </w:p>
    <w:p>
      <w:pPr>
        <w:pStyle w:val="FirstParagraph"/>
      </w:pPr>
      <w:r>
        <w:t xml:space="preserve">(1) Der Anbieter kann die Vergütung nach billigem Ermessen (§ 315 BGB) an die Entwicklung der Kosten anpassen, die für die Erbringung der Leistungen maßgeblich sind. Maßgeblich sind ausschließlich die Kosten für Rechenzentrum und Hosting, Speicher und Datensicherung, Lizenzen und Leistungen Dritter, Energie sowie Personalkosten für Betrieb und Support. Steigerungen einer Kostenart dürfen nur in dem Umfang berücksichtigt werden, in dem sie nicht durch Kostensenkungen in anderen Bereichen ausgeglichen werden. Kostensenkungen gibt der Anbieter in gleicher Weise weiter. Eine Erhöhung des Gewinnanteils ist ausgeschlossen.</w:t>
      </w:r>
    </w:p>
    <w:p>
      <w:pPr>
        <w:pStyle w:val="BodyText"/>
      </w:pPr>
      <w:r>
        <w:t xml:space="preserve">(2) Eine Anpassung ist frühestens zwölf Monate nach Vertragsbeginn und danach höchstens einmal in zwölf Monaten zulässig. Jede Erhöhung ist auf [5] % des bisherigen Entgelts begrenzt. Bei jährlicher Zahlweise wird eine Anpassung erst zu Beginn des nächsten Vertragsjahres wirksam.</w:t>
      </w:r>
    </w:p>
    <w:p>
      <w:pPr>
        <w:pStyle w:val="BodyText"/>
      </w:pPr>
      <w:r>
        <w:t xml:space="preserve">(3) Der Anbieter teilt dem Kunden die Anpassung mindestens [6] Wochen vor ihrem Wirksamwerden in Textform mit und erläutert die maßgeblichen Kostenänderungen. Im Fall einer Erhöhung kann der Kunde den Vertrag innerhalb von [4] Wochen nach Zugang der Mitteilung zum Zeitpunkt des Wirksamwerdens kündigen. Der Anbieter weist in der Mitteilung auf dieses Recht hin.</w:t>
      </w:r>
    </w:p>
    <w:p>
      <w:pPr>
        <w:pStyle w:val="BodyText"/>
      </w:pPr>
      <w:r>
        <w:t xml:space="preserve">(4) Änderungen des gesetzlichen Umsatzsteuersatzes werden ab ihrem Inkrafttreten berücksichtigt.</w:t>
      </w:r>
    </w:p>
    <w:p>
      <w:pPr>
        <w:pStyle w:val="BlockText"/>
      </w:pPr>
      <w:r>
        <w:rPr>
          <w:bCs/>
          <w:b/>
        </w:rPr>
        <w:t xml:space="preserve">Prüfhinweis:</w:t>
      </w:r>
      <w:r>
        <w:t xml:space="preserve"> </w:t>
      </w:r>
      <w:r>
        <w:t xml:space="preserve">Kostenelementeklauseln sind in Dauerschuldverhältnissen nicht grundsätzlich unwirksam, müssen aber transparent sein und Kostensenkungen gleichermaßen berücksichtigen (BGH, Urt. v. 15.11.2007 – III ZR 247/06). Ein Kündigungsrecht gleicht eine unangemessene Klausel nach der BGH-Linie nicht allein aus. Für B2B-SaaS fehlt eigene Rechtsprechung; die Maßstäbe aus dem Verbraucherbereich werden herangezogen. Eine automatische Indexbindung wäre am Preisklauselgesetz zu messen.</w:t>
      </w:r>
      <w:r>
        <w:t xml:space="preserve"> </w:t>
      </w:r>
      <w:r>
        <w:rPr>
          <w:bCs/>
          <w:b/>
        </w:rPr>
        <w:t xml:space="preserve">Einfachere Alternative:</w:t>
      </w:r>
      <w:r>
        <w:t xml:space="preserve"> </w:t>
      </w:r>
      <w:r>
        <w:t xml:space="preserve">feste Preise für die Erstlaufzeit; bei Jahresverträgen kann der Anbieter für die Verlängerung neue Preise anbieten, die nur wirksam werden, wenn der Kunde nicht vor Beginn der Verlängerung kündigt.</w:t>
      </w:r>
    </w:p>
    <w:bookmarkEnd w:id="35"/>
    <w:bookmarkStart w:id="36" w:name="Xb2e66163bd1d8729344a1cd05f29ddd6faf57af"/>
    <w:p>
      <w:pPr>
        <w:pStyle w:val="Heading2"/>
      </w:pPr>
      <w:r>
        <w:t xml:space="preserve">§ 16 Laufzeit und Kündigung</w:t>
      </w:r>
    </w:p>
    <w:p>
      <w:pPr>
        <w:pStyle w:val="FirstParagraph"/>
      </w:pPr>
      <w:r>
        <w:t xml:space="preserve">(1)</w:t>
      </w:r>
      <w:r>
        <w:t xml:space="preserve"> </w:t>
      </w:r>
      <w:r>
        <w:rPr>
          <w:bCs/>
          <w:b/>
        </w:rPr>
        <w:t xml:space="preserve">Monatsvertrag.</w:t>
      </w:r>
      <w:r>
        <w:t xml:space="preserve"> </w:t>
      </w:r>
      <w:r>
        <w:t xml:space="preserve">Bei monatlicher Zahlweise läuft der Vertrag auf unbestimmte Zeit. Der Kunde kann mit einer Frist von [14] Tagen zum Ende eines Abrechnungsmonats kündigen. Der Anbieter kann mit einer Frist von [drei] Monaten zum Ende eines Abrechnungsmonats kündigen.</w:t>
      </w:r>
    </w:p>
    <w:p>
      <w:pPr>
        <w:pStyle w:val="BodyText"/>
      </w:pPr>
      <w:r>
        <w:t xml:space="preserve">(2)</w:t>
      </w:r>
      <w:r>
        <w:t xml:space="preserve"> </w:t>
      </w:r>
      <w:r>
        <w:rPr>
          <w:bCs/>
          <w:b/>
        </w:rPr>
        <w:t xml:space="preserve">Jahresvertrag.</w:t>
      </w:r>
      <w:r>
        <w:t xml:space="preserve"> </w:t>
      </w:r>
      <w:r>
        <w:t xml:space="preserve">Bei jährlicher Zahlweise beträgt die Laufzeit zwölf Monate. Sie verlängert sich jeweils um weitere zwölf Monate, wenn nicht eine Partei mit einer Frist von [einem] Monat (Kunde) bzw. [drei] Monaten (Anbieter) zum Ende der jeweiligen Laufzeit kündigt. Der Anbieter erinnert den Kunden spätestens [acht] Wochen vor Ablauf der Kündigungsfrist in Textform an die bevorstehende Verlängerung und an die Möglichkeit, in die monatliche Zahlweise zu wechseln.</w:t>
      </w:r>
    </w:p>
    <w:p>
      <w:pPr>
        <w:pStyle w:val="BodyText"/>
      </w:pPr>
      <w:r>
        <w:t xml:space="preserve">(3)</w:t>
      </w:r>
      <w:r>
        <w:t xml:space="preserve"> </w:t>
      </w:r>
      <w:r>
        <w:rPr>
          <w:bCs/>
          <w:b/>
        </w:rPr>
        <w:t xml:space="preserve">Anbieterwechsel.</w:t>
      </w:r>
      <w:r>
        <w:t xml:space="preserve"> </w:t>
      </w:r>
      <w:r>
        <w:t xml:space="preserve">Unabhängig von Abs. 1 und 2 kann der Kunde jederzeit nach § 17 einen Anbieterwechsel, eine Übertragung in eigene IT-Infrastruktur oder die Löschung seiner Daten verlangen. Bei einem Jahresvertrag wird in diesem Fall die tatsächliche Nutzungsdauer bis zum Vertragsende zum monatlichen Grundpreis abgerechnet. Übersteigt die Vorauszahlung diesen Betrag, erstattet der Anbieter die Differenz. Eine Nachforderung findet nicht statt. Weitere Entgelte für die vorzeitige Beendigung werden nicht erhoben.</w:t>
      </w:r>
    </w:p>
    <w:p>
      <w:pPr>
        <w:pStyle w:val="BodyText"/>
      </w:pPr>
      <w:r>
        <w:t xml:space="preserve">(4) Das Recht zur außerordentlichen Kündigung aus wichtigem Grund bleibt unberührt. Ein wichtiger Grund für den Kunden liegt insbesondere vor, wenn die vereinbarte Verfügbarkeit in zwei aufeinanderfolgenden Monaten oder in drei Monaten innerhalb von zwölf Monaten um mehr als [zwei] Prozentpunkte unterschritten wird. Ein wichtiger Grund für den Anbieter liegt insbesondere in den Fällen des § 14 Abs. 5 sowie bei einem schwerwiegenden Verstoß gegen § 10 vor, der trotz Abmahnung in Textform nicht abgestellt wird.</w:t>
      </w:r>
    </w:p>
    <w:p>
      <w:pPr>
        <w:pStyle w:val="BodyText"/>
      </w:pPr>
      <w:r>
        <w:t xml:space="preserve">(5) Kündigungen bedürfen der Textform. Der Admin kann den Vertrag auch in der Plattform kündigen (Einstellungen → Lizenz → „Kündigen“, mit optionalem Grund und einer Bestätigung auf derselben Seite). Die Plattform speichert Zeitpunkt und Grund, vermerkt die Kündigung im Protokoll des Kunden und benachrichtigt den Anbieter. Der Anbieter bestätigt dem Kunden den Zugang und das Vertragsende in Textform. Bis dahin läuft der Vertrag unverändert weiter.</w:t>
      </w:r>
    </w:p>
    <w:p>
      <w:pPr>
        <w:pStyle w:val="BlockText"/>
      </w:pPr>
      <w:r>
        <w:rPr>
          <w:bCs/>
          <w:b/>
        </w:rPr>
        <w:t xml:space="preserve">Prüfhinweis:</w:t>
      </w:r>
      <w:r>
        <w:t xml:space="preserve"> </w:t>
      </w:r>
      <w:r>
        <w:t xml:space="preserve">Ob die Erklärung in der Plattform die Textform (§ 126b BGB: Erklärung auf einem dauerhaften Datenträger) wahrt, ist zu prüfen; die Plattform sendet dem Kunden keine Kopie, die Erklärung steht nur in der Datenbank und im Protokoll des Kunden (Eintrag</w:t>
      </w:r>
      <w:r>
        <w:t xml:space="preserve"> </w:t>
      </w:r>
      <w:r>
        <w:rPr>
          <w:rStyle w:val="VerbatimChar"/>
        </w:rPr>
        <w:t xml:space="preserve">tenant.cancel_request</w:t>
      </w:r>
      <w:r>
        <w:t xml:space="preserve">). Die Bestätigung des Anbieters in Textform, z. B. per E-Mail, schließt diese Lücke. Ein Kündigungsbutton nach § 312k BGB ist im B2B-Verkehr nicht vorgeschrieben. Die Plattform bietet keinen eigenen Weg, eine gesendete Kündigung zurückzunehmen; das geschieht in Textform beim Anbieter.</w:t>
      </w:r>
    </w:p>
    <w:p>
      <w:pPr>
        <w:pStyle w:val="FirstParagraph"/>
      </w:pPr>
      <w:r>
        <w:t xml:space="preserve">(6) Nach Zugang einer Kündigung trägt der Anbieter das Vertragsende als Laufzeitende in der Plattform ein. Bis zum Vertragsende steht die Plattform unverändert zur Verfügung. Mit dem Vertragsende sperrt die Plattform den Mandanten automatisch (Anzeige „Abgelaufen“, Wirkungen wie § 14 Abs. 3), und der Anbieter setzt den Status „Gekündigt“: Nur noch der Admin kann sich anmelden; er kann alle Daten lesen, exportieren (§ 17 Abs. 1) und Personen löschen, aber nichts mehr ändern. Disponenten und Fahrer können sich nicht mehr anmelden.</w:t>
      </w:r>
    </w:p>
    <w:p>
      <w:pPr>
        <w:pStyle w:val="BlockText"/>
      </w:pPr>
      <w:r>
        <w:rPr>
          <w:bCs/>
          <w:b/>
        </w:rPr>
        <w:t xml:space="preserve">Prüfhinweis:</w:t>
      </w:r>
      <w:r>
        <w:t xml:space="preserve"> </w:t>
      </w:r>
      <w:r>
        <w:t xml:space="preserve">Art. 25 Abs. 2 lit. d Data Act begrenzt die Frist für die Einleitung des Wechselvorgangs auf höchstens zwei Monate. Ob dies auch ein Recht zur vorzeitigen Beendigung befristeter Verträge begründet, ist umstritten. Erwägungsgrund 89 lässt befristete Verträge mit verhältnismäßigen Entgelten für die vorzeitige Beendigung zu; was verhältnismäßig ist, ist offen. Abs. 3 wählt eine kundenfreundliche Lösung (Wegfall des Jahresrabatts, keine Nachforderung), um nicht als Wechselhindernis (Art. 23) zu gelten. Der Digital Omnibus (Vorschlag der Kommission vom 19.11.2025) sieht hierzu Klarstellungen und Ausnahmen für KMU vor; er war am 16.10.2026 noch nicht verabschiedet.</w:t>
      </w:r>
    </w:p>
    <w:bookmarkEnd w:id="36"/>
    <w:bookmarkStart w:id="37" w:name="X3aa82ef3728f3eb861bc487793561a8afc3d5d7"/>
    <w:p>
      <w:pPr>
        <w:pStyle w:val="Heading2"/>
      </w:pPr>
      <w:r>
        <w:t xml:space="preserve">§ 17 Datenexport und Anbieterwechsel (EU Data Act)</w:t>
      </w:r>
    </w:p>
    <w:p>
      <w:pPr>
        <w:pStyle w:val="FirstParagraph"/>
      </w:pPr>
      <w:r>
        <w:t xml:space="preserve">(1)</w:t>
      </w:r>
      <w:r>
        <w:t xml:space="preserve"> </w:t>
      </w:r>
      <w:r>
        <w:rPr>
          <w:bCs/>
          <w:b/>
        </w:rPr>
        <w:t xml:space="preserve">Jederzeitiger Export.</w:t>
      </w:r>
      <w:r>
        <w:t xml:space="preserve"> </w:t>
      </w:r>
      <w:r>
        <w:t xml:space="preserve">Der Admin kann jederzeit, auch im Status „Gesperrt“, „Abgelaufen“ oder „Gekündigt“, alle exportierbaren Daten (Anlage A) in strukturierten, gängigen und maschinenlesbaren Formaten exportieren: als ZIP-Archiv („Alles als ZIP (mit Lieferscheinen)“) mit JSON (</w:t>
      </w:r>
      <w:r>
        <w:rPr>
          <w:rStyle w:val="VerbatimChar"/>
        </w:rPr>
        <w:t xml:space="preserve">daten.json</w:t>
      </w:r>
      <w:r>
        <w:t xml:space="preserve">, vollständiger Datenbestand mit Metadaten), CSV (</w:t>
      </w:r>
      <w:r>
        <w:rPr>
          <w:rStyle w:val="VerbatimChar"/>
        </w:rPr>
        <w:t xml:space="preserve">lieferungen.csv</w:t>
      </w:r>
      <w:r>
        <w:t xml:space="preserve">, alle Lieferungen), allen gespeicherten Dateien (Fotos, PDF-Dokumente, Unterschriften, Logo) und einer Beschreibung (</w:t>
      </w:r>
      <w:r>
        <w:rPr>
          <w:rStyle w:val="VerbatimChar"/>
        </w:rPr>
        <w:t xml:space="preserve">LIESMICH.txt</w:t>
      </w:r>
      <w:r>
        <w:t xml:space="preserve">); Archive über 4 GB im Format ZIP64; außerdem einzeln als JSON und als CSV. Berichte lassen sich je Monat als CSV herunterladen (die letzten 24 Monate). In CSV-Dateien sind Zellen, die mit einem Formelzeichen beginnen, durch ein vorangestelltes Apostroph entschärft. Jeder Export steht im Protokoll des Kunden. Im Tarif Premium steht zusätzlich die REST-API für Lieferungen zur Verfügung. Die Datenformate und Datenstrukturen sind unter [Website-URL/export-formate] dokumentiert.</w:t>
      </w:r>
    </w:p>
    <w:p>
      <w:pPr>
        <w:pStyle w:val="BodyText"/>
      </w:pPr>
      <w:r>
        <w:t xml:space="preserve">(2)</w:t>
      </w:r>
      <w:r>
        <w:t xml:space="preserve"> </w:t>
      </w:r>
      <w:r>
        <w:rPr>
          <w:bCs/>
          <w:b/>
        </w:rPr>
        <w:t xml:space="preserve">Wechselverlangen.</w:t>
      </w:r>
      <w:r>
        <w:t xml:space="preserve"> </w:t>
      </w:r>
      <w:r>
        <w:t xml:space="preserve">Der Kunde kann in Textform verlangen,</w:t>
      </w:r>
    </w:p>
    <w:p>
      <w:pPr>
        <w:numPr>
          <w:ilvl w:val="0"/>
          <w:numId w:val="1008"/>
        </w:numPr>
        <w:pStyle w:val="Compact"/>
      </w:pPr>
      <w:r>
        <w:t xml:space="preserve">zu einem anderen Anbieter von Datenverarbeitungsdiensten zu wechseln,</w:t>
      </w:r>
    </w:p>
    <w:p>
      <w:pPr>
        <w:numPr>
          <w:ilvl w:val="0"/>
          <w:numId w:val="1008"/>
        </w:numPr>
        <w:pStyle w:val="Compact"/>
      </w:pPr>
      <w:r>
        <w:t xml:space="preserve">seine Daten in eine eigene IT-Infrastruktur zu übertragen oder</w:t>
      </w:r>
    </w:p>
    <w:p>
      <w:pPr>
        <w:numPr>
          <w:ilvl w:val="0"/>
          <w:numId w:val="1008"/>
        </w:numPr>
        <w:pStyle w:val="Compact"/>
      </w:pPr>
      <w:r>
        <w:t xml:space="preserve">seine exportierbaren Daten löschen zu lassen.</w:t>
      </w:r>
    </w:p>
    <w:p>
      <w:pPr>
        <w:pStyle w:val="FirstParagraph"/>
      </w:pPr>
      <w:r>
        <w:t xml:space="preserve">Das Wechselverlangen kann mit einer Frist von höchstens zwei Monaten erklärt werden; der Kunde bestimmt den Zeitpunkt innerhalb dieser Frist.</w:t>
      </w:r>
    </w:p>
    <w:p>
      <w:pPr>
        <w:pStyle w:val="BodyText"/>
      </w:pPr>
      <w:r>
        <w:t xml:space="preserve">(3)</w:t>
      </w:r>
      <w:r>
        <w:t xml:space="preserve"> </w:t>
      </w:r>
      <w:r>
        <w:rPr>
          <w:bCs/>
          <w:b/>
        </w:rPr>
        <w:t xml:space="preserve">Übergangszeitraum.</w:t>
      </w:r>
      <w:r>
        <w:t xml:space="preserve"> </w:t>
      </w:r>
      <w:r>
        <w:t xml:space="preserve">Nach Ablauf der Frist nach Abs. 2 beginnt ein Übergangszeitraum von höchstens 30 Kalendertagen. In dieser Zeit erbringt der Anbieter die vertraglichen Leistungen unverändert weiter, unterstützt den Wechsel nach Treu und Glauben, stellt die erforderlichen Informationen bereit, arbeitet – soweit erforderlich – mit dem neuen Anbieter zusammen und wahrt ein hohes Maß an Sicherheit. Ist der Wechsel innerhalb von 30 Kalendertagen technisch nicht durchführbar, teilt der Anbieter dies dem Kunden innerhalb von 14 Werktagen nach Zugang des Wechselverlangens mit, begründet dies und nennt einen alternativen Übergangszeitraum von höchstens sieben Monaten. Der Kunde kann den Übergangszeitraum einmal um einen von ihm für angemessen gehaltenen Zeitraum verlängern.</w:t>
      </w:r>
    </w:p>
    <w:p>
      <w:pPr>
        <w:pStyle w:val="BodyText"/>
      </w:pPr>
      <w:r>
        <w:t xml:space="preserve">(4)</w:t>
      </w:r>
      <w:r>
        <w:t xml:space="preserve"> </w:t>
      </w:r>
      <w:r>
        <w:rPr>
          <w:bCs/>
          <w:b/>
        </w:rPr>
        <w:t xml:space="preserve">Datenabrufzeitraum.</w:t>
      </w:r>
      <w:r>
        <w:t xml:space="preserve"> </w:t>
      </w:r>
      <w:r>
        <w:t xml:space="preserve">Nach Ablauf des Übergangszeitraums kann der Kunde seine Daten noch mindestens 30 Kalendertage lesen und exportieren.</w:t>
      </w:r>
    </w:p>
    <w:p>
      <w:pPr>
        <w:pStyle w:val="BodyText"/>
      </w:pPr>
      <w:r>
        <w:t xml:space="preserve">(5)</w:t>
      </w:r>
      <w:r>
        <w:t xml:space="preserve"> </w:t>
      </w:r>
      <w:r>
        <w:rPr>
          <w:bCs/>
          <w:b/>
        </w:rPr>
        <w:t xml:space="preserve">Vertragsende.</w:t>
      </w:r>
      <w:r>
        <w:t xml:space="preserve"> </w:t>
      </w:r>
      <w:r>
        <w:t xml:space="preserve">Der Vertrag endet mit dem erfolgreichen Abschluss des Wechselvorgangs; der Anbieter bestätigt dies in Textform. Verlangt der Kunde nur die Löschung (Abs. 2 Nr. 3), endet der Vertrag mit Ablauf der Frist nach Abs. 2. Danach gilt § 18.</w:t>
      </w:r>
    </w:p>
    <w:p>
      <w:pPr>
        <w:pStyle w:val="BodyText"/>
      </w:pPr>
      <w:r>
        <w:t xml:space="preserve">(6)</w:t>
      </w:r>
      <w:r>
        <w:t xml:space="preserve"> </w:t>
      </w:r>
      <w:r>
        <w:rPr>
          <w:bCs/>
          <w:b/>
        </w:rPr>
        <w:t xml:space="preserve">Kosten.</w:t>
      </w:r>
      <w:r>
        <w:t xml:space="preserve"> </w:t>
      </w:r>
      <w:r>
        <w:t xml:space="preserve">Der Anbieter erhebt für den Wechsel, den Datenexport und die Unterstützung nach Abs. 3 keine Entgelte. Leistungen, die über die gesetzlich vorgeschriebene Unterstützung hinausgehen (z. B. die Umwandlung der Daten in das Format eines bestimmten Zielsystems), erbringt der Anbieter nur auf Grundlage einer gesonderten Vereinbarung und nur, soweit dies nach Art. 29 Data Act zulässig ist.</w:t>
      </w:r>
    </w:p>
    <w:p>
      <w:pPr>
        <w:pStyle w:val="BodyText"/>
      </w:pPr>
      <w:r>
        <w:t xml:space="preserve">(7)</w:t>
      </w:r>
      <w:r>
        <w:t xml:space="preserve"> </w:t>
      </w:r>
      <w:r>
        <w:rPr>
          <w:bCs/>
          <w:b/>
        </w:rPr>
        <w:t xml:space="preserve">Informationen.</w:t>
      </w:r>
      <w:r>
        <w:t xml:space="preserve"> </w:t>
      </w:r>
      <w:r>
        <w:t xml:space="preserve">Der Anbieter stellt unter [Website-URL/datenwechsel] Informationen über das Wechselverfahren, die verfügbaren Methoden und Formate, bekannte Einschränkungen und technische Grenzen, die Standorte der IT-Infrastruktur (ausschließlich Deutschland) sowie die Maßnahmen gegen unrechtmäßigen staatlichen Zugriff aus Drittstaaten bereit.</w:t>
      </w:r>
    </w:p>
    <w:p>
      <w:pPr>
        <w:pStyle w:val="BlockText"/>
      </w:pPr>
      <w:r>
        <w:rPr>
          <w:bCs/>
          <w:b/>
        </w:rPr>
        <w:t xml:space="preserve">Prüfhinweis:</w:t>
      </w:r>
      <w:r>
        <w:t xml:space="preserve"> </w:t>
      </w:r>
      <w:r>
        <w:t xml:space="preserve">Die Plattform ist ein Datenverarbeitungsdienst im Sinne des Art. 2 Nr. 8 Data Act; die Bundesnetzagentur ordnet SaaS ausdrücklich ein. Pflichtinhalte nach Art. 25 Abs. 2: Wechselrecht und Unterstützung (lit. a), Übergangszeitraum 30 Tage mit Verlängerung (lit. a i. V. m. Abs. 4 und 5), Kündigung nach Abschluss (lit. c), höchstens zwei Monate Frist (lit. d), abschließende Aufzählung exportierbarer Daten (lit. e) und ausgenommener Daten (lit. f), Abrufzeitraum mindestens 30 Tage (lit. g), vollständige Löschung (lit. h), Wechselentgelte (lit. i). Art. 29: Wechselentgelte ab 12.01.2027 unzulässig; bis dahin höchstens kostendeckend. Informationspflichten: Art. 26 und Art. 28. Aufsichtsbehörde ist die Bundesnetzagentur (Data-Act-Durchführungsgesetz, in Kraft seit 30.05.2026).</w:t>
      </w:r>
    </w:p>
    <w:bookmarkEnd w:id="37"/>
    <w:bookmarkStart w:id="38" w:name="X658ec39ffa9c68c1197e8d57cfd9fce45749e2e"/>
    <w:p>
      <w:pPr>
        <w:pStyle w:val="Heading2"/>
      </w:pPr>
      <w:r>
        <w:t xml:space="preserve">§ 18 Vertragsende, Abrufzeitraum und Löschung</w:t>
      </w:r>
    </w:p>
    <w:p>
      <w:pPr>
        <w:pStyle w:val="FirstParagraph"/>
      </w:pPr>
      <w:r>
        <w:t xml:space="preserve">(1) Nach Vertragsende kann der Admin die Daten noch 30 Kalendertage lesen und exportieren (Abrufzeitraum); der Mandant hat in dieser Zeit den Status „Gekündigt“ (§ 16 Abs. 6). Im Fall des § 17 tritt der Datenabrufzeitraum nach § 17 Abs. 4 an die Stelle dieses Abrufzeitraums.</w:t>
      </w:r>
    </w:p>
    <w:p>
      <w:pPr>
        <w:pStyle w:val="BodyText"/>
      </w:pPr>
      <w:r>
        <w:t xml:space="preserve">(2) Nach Ablauf des Abrufzeitraums löscht der Anbieter alle Kundendaten einschließlich der Dateien innerhalb von [30] Tagen vollständig. Er löscht dazu den Mandanten in der Lizenzgeber-Konsole; die Plattform verlangt zur Bestätigung den Firmencode und entfernt Lieferungen, Dateien, Nutzer, Fahrzeuge, Mitteilungen, das Protokoll des Mandanten, Sitzungen, Push-Abonnements sowie die Firmen- und Lizenzdaten. Im Protokoll des Anbieters bleibt ein Eintrag mit Firmencode, Firmenname und Anzahl der gelöschten Nutzer und Dateien. Datensicherungen werden im regulären Sicherungszyklus überschrieben, spätestens [30] Tage nach der Löschung im Produktivsystem. Der Anbieter bestätigt die Löschung auf Verlangen in Textform.</w:t>
      </w:r>
    </w:p>
    <w:p>
      <w:pPr>
        <w:pStyle w:val="BodyText"/>
      </w:pPr>
      <w:r>
        <w:t xml:space="preserve">(3) Von der Löschung ausgenommen sind Daten, die der Anbieter als Verantwortlicher aufgrund eigener gesetzlicher Pflichten aufbewahren muss, insbesondere Vertrags- und Abrechnungsdaten. Diese bewahrt der Anbieter außerhalb der Plattform auf (z. B. in seiner Buchhaltung). Auftragsdaten gehören nicht dazu.</w:t>
      </w:r>
    </w:p>
    <w:p>
      <w:pPr>
        <w:pStyle w:val="BodyText"/>
      </w:pPr>
      <w:r>
        <w:t xml:space="preserve">(4) Es obliegt dem Kunden, seine Daten vor Ablauf des Abrufzeitraums zu exportieren.</w:t>
      </w:r>
    </w:p>
    <w:bookmarkEnd w:id="38"/>
    <w:bookmarkStart w:id="39" w:name="X0223217dc2158e49f221d5d6c1e25327cc18078"/>
    <w:p>
      <w:pPr>
        <w:pStyle w:val="Heading2"/>
      </w:pPr>
      <w:r>
        <w:t xml:space="preserve">§ 19 Mängelrechte</w:t>
      </w:r>
    </w:p>
    <w:p>
      <w:pPr>
        <w:pStyle w:val="FirstParagraph"/>
      </w:pPr>
      <w:r>
        <w:t xml:space="preserve">(1) Für die Bereitstellung der Plattform gelten die Vorschriften des Mietrechts (§§ 535 ff. BGB) nach Maßgabe der folgenden Absätze. Der Anbieter erhält die Plattform während der Vertragslaufzeit in einem zum vertragsgemäßen Gebrauch geeigneten Zustand.</w:t>
      </w:r>
    </w:p>
    <w:p>
      <w:pPr>
        <w:pStyle w:val="BodyText"/>
      </w:pPr>
      <w:r>
        <w:t xml:space="preserve">(2) Die verschuldensunabhängige Haftung des Anbieters für Mängel, die bereits bei Vertragsschluss vorhanden waren (§ 536a Abs. 1 Alt. 1 BGB), ist ausgeschlossen.</w:t>
      </w:r>
    </w:p>
    <w:p>
      <w:pPr>
        <w:pStyle w:val="BodyText"/>
      </w:pPr>
      <w:r>
        <w:t xml:space="preserve">(3) Der Kunde zeigt Mängel unverzüglich in Textform mit einer nachvollziehbaren Beschreibung an (§ 536c BGB).</w:t>
      </w:r>
    </w:p>
    <w:p>
      <w:pPr>
        <w:pStyle w:val="BodyText"/>
      </w:pPr>
      <w:r>
        <w:t xml:space="preserve">(4) Der Anbieter beseitigt Mängel innerhalb angemessener Frist unter Berücksichtigung der Reaktionszeiten des SLA. Er kann einen Mangel auch durch eine zumutbare Umgehungslösung beheben.</w:t>
      </w:r>
    </w:p>
    <w:p>
      <w:pPr>
        <w:pStyle w:val="BodyText"/>
      </w:pPr>
      <w:r>
        <w:t xml:space="preserve">(5) Das Recht des Kunden zur Minderung bleibt unberührt. Gutschriften nach dem SLA werden auf Minderungs- und Schadensersatzansprüche angerechnet. Der Kunde kann die Minderung durch Abzug von laufenden Zahlungen nur geltend machen, wenn der Minderungsanspruch unbestritten oder rechtskräftig festgestellt ist; im Übrigen kann er zu viel gezahlte Beträge zurückfordern.</w:t>
      </w:r>
    </w:p>
    <w:p>
      <w:pPr>
        <w:pStyle w:val="BodyText"/>
      </w:pPr>
      <w:r>
        <w:t xml:space="preserve">(6) Eine Kündigung wegen Nichtgewährung des Gebrauchs nach § 543 Abs. 2 Satz 1 Nr. 1 BGB ist erst zulässig, wenn der Anbieter ausreichend Gelegenheit zur Mängelbeseitigung hatte und diese fehlgeschlagen ist.</w:t>
      </w:r>
    </w:p>
    <w:p>
      <w:pPr>
        <w:pStyle w:val="BodyText"/>
      </w:pPr>
      <w:r>
        <w:t xml:space="preserve">(7) Ein Mangel liegt nicht vor bei unerheblichen Abweichungen sowie bei Beeinträchtigungen, die auf Endgeräte, Netze oder Software des Kunden oder Dritter (z. B. Browser, Push-Dienste, App-Stores, Mobilfunk) oder auf eine nicht bestimmungsgemäße Nutzung zurückgehen.</w:t>
      </w:r>
    </w:p>
    <w:p>
      <w:pPr>
        <w:pStyle w:val="BodyText"/>
      </w:pPr>
      <w:r>
        <w:t xml:space="preserve">(8) Für werkvertragliche Leistungen (z. B. Erstellung der White-Label-App, individuelle Anpassungen) verjähren Mängelansprüche in zwölf Monaten ab Abnahme. Dies gilt nicht für Schadensersatzansprüche nach § 20 Abs. 1 und bei Arglist.</w:t>
      </w:r>
    </w:p>
    <w:p>
      <w:pPr>
        <w:pStyle w:val="BodyText"/>
      </w:pPr>
      <w:r>
        <w:t xml:space="preserve">(9) Schadensersatz und Ersatz vergeblicher Aufwendungen schuldet der Anbieter nur nach § 20.</w:t>
      </w:r>
    </w:p>
    <w:p>
      <w:pPr>
        <w:pStyle w:val="BlockText"/>
      </w:pPr>
      <w:r>
        <w:rPr>
          <w:bCs/>
          <w:b/>
        </w:rPr>
        <w:t xml:space="preserve">Prüfhinweis:</w:t>
      </w:r>
      <w:r>
        <w:t xml:space="preserve"> </w:t>
      </w:r>
      <w:r>
        <w:t xml:space="preserve">Der BGH ordnet die Bereitstellung von Software über das Internet als Mietvertrag ein (BGH, Urt. v. 15.11.2006 – XII ZR 120/04). Zu prüfen sind die AGB-Festigkeit von Abs. 2 und Abs. 5 im B2B-Verkehr sowie die Anrechnung der Gutschriften.</w:t>
      </w:r>
    </w:p>
    <w:bookmarkEnd w:id="39"/>
    <w:bookmarkStart w:id="40" w:name="X68bb041d321e33c314a9625303d0604faa70987"/>
    <w:p>
      <w:pPr>
        <w:pStyle w:val="Heading2"/>
      </w:pPr>
      <w:r>
        <w:t xml:space="preserve">§ 20 Haftung</w:t>
      </w:r>
    </w:p>
    <w:p>
      <w:pPr>
        <w:pStyle w:val="FirstParagraph"/>
      </w:pPr>
      <w:r>
        <w:t xml:space="preserve">(1) Der Anbieter haftet unbeschränkt</w:t>
      </w:r>
    </w:p>
    <w:p>
      <w:pPr>
        <w:numPr>
          <w:ilvl w:val="0"/>
          <w:numId w:val="1009"/>
        </w:numPr>
        <w:pStyle w:val="Compact"/>
      </w:pPr>
      <w:r>
        <w:t xml:space="preserve">bei Vorsatz und grober Fahrlässigkeit,</w:t>
      </w:r>
    </w:p>
    <w:p>
      <w:pPr>
        <w:numPr>
          <w:ilvl w:val="0"/>
          <w:numId w:val="1009"/>
        </w:numPr>
        <w:pStyle w:val="Compact"/>
      </w:pPr>
      <w:r>
        <w:t xml:space="preserve">bei Verletzung des Lebens, des Körpers oder der Gesundheit,</w:t>
      </w:r>
    </w:p>
    <w:p>
      <w:pPr>
        <w:numPr>
          <w:ilvl w:val="0"/>
          <w:numId w:val="1009"/>
        </w:numPr>
        <w:pStyle w:val="Compact"/>
      </w:pPr>
      <w:r>
        <w:t xml:space="preserve">nach dem Produkthaftungsgesetz,</w:t>
      </w:r>
    </w:p>
    <w:p>
      <w:pPr>
        <w:numPr>
          <w:ilvl w:val="0"/>
          <w:numId w:val="1009"/>
        </w:numPr>
        <w:pStyle w:val="Compact"/>
      </w:pPr>
      <w:r>
        <w:t xml:space="preserve">im Umfang einer ausdrücklich als solche bezeichneten Garantie,</w:t>
      </w:r>
    </w:p>
    <w:p>
      <w:pPr>
        <w:numPr>
          <w:ilvl w:val="0"/>
          <w:numId w:val="1009"/>
        </w:numPr>
        <w:pStyle w:val="Compact"/>
      </w:pPr>
      <w:r>
        <w:t xml:space="preserve">bei arglistig verschwiegenen Mängeln.</w:t>
      </w:r>
    </w:p>
    <w:p>
      <w:pPr>
        <w:pStyle w:val="FirstParagraph"/>
      </w:pPr>
      <w:r>
        <w:t xml:space="preserve">(2) Bei einfacher Fahrlässigkeit haftet der Anbieter nur bei Verletzung einer wesentlichen Vertragspflicht. Wesentliche Vertragspflichten sind Pflichten, deren Erfüllung die ordnungsgemäße Durchführung des Vertrags überhaupt erst ermöglicht und auf deren Einhaltung der Kunde regelmäßig vertrauen darf, insbesondere die Bereitstellung der Plattform im Wesentlichen, die Einhaltung der technischen und organisatorischen Maßnahmen und die Datensicherung nach der Leistungsbeschreibung. In diesem Fall ist die Haftung auf den bei Vertragsschluss vorhersehbaren, vertragstypischen Schaden begrenzt.</w:t>
      </w:r>
    </w:p>
    <w:p>
      <w:pPr>
        <w:pStyle w:val="BodyText"/>
      </w:pPr>
      <w:r>
        <w:t xml:space="preserve">(3) In den Fällen des Abs. 2 ist die Haftung je Schadensfall auf [den Betrag der für die vorangegangenen zwölf Monate geschuldeten Vergütung, mindestens jedoch 10.000 €] und für alle Schadensfälle eines Vertragsjahres insgesamt auf [25.000 €] begrenzt.</w:t>
      </w:r>
    </w:p>
    <w:p>
      <w:pPr>
        <w:pStyle w:val="BodyText"/>
      </w:pPr>
      <w:r>
        <w:t xml:space="preserve">(4) Für den Verlust von Daten haftet der Anbieter im Fall des Abs. 2 nur in Höhe des Aufwands, der für die Wiederherstellung aus der letzten nach der Leistungsbeschreibung geschuldeten Datensicherung erforderlich ist, es sei denn, der Anbieter hat die Datensicherung pflichtwidrig unterlassen.</w:t>
      </w:r>
    </w:p>
    <w:p>
      <w:pPr>
        <w:pStyle w:val="BodyText"/>
      </w:pPr>
      <w:r>
        <w:t xml:space="preserve">(5) Die Haftungsbeschränkungen gelten auch zugunsten der Organe, Mitarbeiter und Erfüllungsgehilfen des Anbieters.</w:t>
      </w:r>
    </w:p>
    <w:p>
      <w:pPr>
        <w:pStyle w:val="BodyText"/>
      </w:pPr>
      <w:r>
        <w:t xml:space="preserve">(6) Die Haftung gegenüber betroffenen Personen nach Art. 82 DSGVO bleibt unberührt. Im Verhältnis der Parteien gelten Art. 82 Abs. 4 und 5 DSGVO und der AVV.</w:t>
      </w:r>
    </w:p>
    <w:p>
      <w:pPr>
        <w:pStyle w:val="BodyText"/>
      </w:pPr>
      <w:r>
        <w:t xml:space="preserve">(7) Schadensersatzansprüche nach Abs. 2 verjähren in einem Jahr ab dem gesetzlichen Verjährungsbeginn. Für Ansprüche nach Abs. 1 gelten die gesetzlichen Fristen.</w:t>
      </w:r>
    </w:p>
    <w:p>
      <w:pPr>
        <w:pStyle w:val="BodyText"/>
      </w:pPr>
      <w:r>
        <w:t xml:space="preserve">(8) Ein Mitverschulden des Kunden, insbesondere die Nichtbeachtung der Pflichten aus § 9, ist zu berücksichtigen (§ 254 BGB).</w:t>
      </w:r>
    </w:p>
    <w:p>
      <w:pPr>
        <w:pStyle w:val="BlockText"/>
      </w:pPr>
      <w:r>
        <w:rPr>
          <w:bCs/>
          <w:b/>
        </w:rPr>
        <w:t xml:space="preserve">Prüfhinweis:</w:t>
      </w:r>
      <w:r>
        <w:t xml:space="preserve"> </w:t>
      </w:r>
      <w:r>
        <w:t xml:space="preserve">Im unternehmerischen Verkehr ist die Klausel nur an § 307 BGB zu messen; § 309 Nr. 7 BGB wirkt über § 307 indiziell. Die Haftungshöchstsumme muss den vertragstypischen, vorhersehbaren Schaden abdecken (BGH, Urt. v. 17.10.2013 – I ZR 226/12); der Begriff „Kardinalpflicht“ ist zu erläutern, wie in Abs. 2 geschehen. Die Beträge sind mit der Deckungssumme der IT-Haftpflichtversicherung abzustimmen. Zur neuen Produkthaftung: Die Richtlinie (EU) 2024/2853 erfasst Software als Produkt und ist bis 09.12.2026 umzusetzen. Der Bundestag hat das Gesetz zur Modernisierung des Produkthaftungsrechts am 08.10.2026 beschlossen (BT-Drs. 21/4297, 21/8429), der zweite Durchgang im Bundesrat stand am 16.10.2026 aus (BR-Drs. 584/26). Gegenüber Geschädigten kann die Haftung nicht vertraglich ausgeschlossen werden. Sachschäden an ausschließlich beruflich genutzten Sachen und der Verlust beruflich genutzter Daten sind nach der Richtlinie nicht ersatzfähig. Relevant bleiben Personenschäden, etwa bei Unfällen.</w:t>
      </w:r>
    </w:p>
    <w:bookmarkEnd w:id="40"/>
    <w:bookmarkStart w:id="41" w:name="Xc4d2bd2910d4932802ab2d1ebf0e8c207bcda9a"/>
    <w:p>
      <w:pPr>
        <w:pStyle w:val="Heading2"/>
      </w:pPr>
      <w:r>
        <w:t xml:space="preserve">§ 21 Schutzrechte Dritter, Freistellung</w:t>
      </w:r>
    </w:p>
    <w:p>
      <w:pPr>
        <w:pStyle w:val="FirstParagraph"/>
      </w:pPr>
      <w:r>
        <w:t xml:space="preserve">(1) Der Anbieter stellt den Kunden von Ansprüchen Dritter frei, die darauf gestützt werden, dass die vertragsgemäße Nutzung der Plattform in Deutschland Schutzrechte Dritter verletzt. Voraussetzung ist, dass der Kunde den Anbieter unverzüglich informiert, keine Ansprüche anerkennt und dem Anbieter die Verteidigung überlässt. Der Anbieter kann nach seiner Wahl die Plattform so ändern, dass sie die Schutzrechte nicht mehr verletzt, oder ein Nutzungsrecht beschaffen. § 20 gilt für weitergehende Ansprüche.</w:t>
      </w:r>
    </w:p>
    <w:p>
      <w:pPr>
        <w:pStyle w:val="BodyText"/>
      </w:pPr>
      <w:r>
        <w:t xml:space="preserve">(2) Der Kunde stellt den Anbieter von Ansprüchen Dritter frei, die aus einer vom Kunden zu vertretenden rechtswidrigen Nutzung der Plattform durch ihn oder seine Nutzer entstehen; § 8 Abs. 4 Satz 2 und 3 gilt entsprechend.</w:t>
      </w:r>
    </w:p>
    <w:bookmarkEnd w:id="41"/>
    <w:bookmarkStart w:id="42" w:name="X5c5e642d58d59a06ff385ee3e43f27dbc276ae5"/>
    <w:p>
      <w:pPr>
        <w:pStyle w:val="Heading2"/>
      </w:pPr>
      <w:r>
        <w:t xml:space="preserve">§ 22 Datenschutz</w:t>
      </w:r>
    </w:p>
    <w:p>
      <w:pPr>
        <w:pStyle w:val="FirstParagraph"/>
      </w:pPr>
      <w:r>
        <w:t xml:space="preserve">(1) Soweit der Anbieter im Auftrag des Kunden personenbezogene Daten verarbeitet, handelt er als Auftragsverarbeiter nach Art. 28 DSGVO auf Grundlage des AVV. Der AVV wird mit diesen AGB in elektronischer Form geschlossen (Art. 28 Abs. 9 DSGVO).</w:t>
      </w:r>
    </w:p>
    <w:p>
      <w:pPr>
        <w:pStyle w:val="BodyText"/>
      </w:pPr>
      <w:r>
        <w:t xml:space="preserve">(2) Der Anbieter hat keine Einsicht in Auftragsdaten. Ein Support-Zugriff auf den Mandanten erfolgt nur, wenn der Admin ihn freigibt; die Freigabe gilt 24 Stunden, ist jederzeit widerruflich und wird im für den Kunden einsehbaren Protokoll dokumentiert. Die Plattform bietet derzeit keinen Support-Modus; auch mit Freigabe zeigt die Lizenzgeber-Konsole keine Auftragsdaten. Ein Einmalpasswort für einen ausgesperrten Admin erzeugt der Anbieter nur auf Anforderung des Kunden; die Plattform schaltet dabei die Zwei-Faktor-Anmeldung des Admins aus, und der Vorgang steht im Protokoll des Kunden (Einzelheiten: AVV Anlage 4).</w:t>
      </w:r>
    </w:p>
    <w:p>
      <w:pPr>
        <w:pStyle w:val="BodyText"/>
      </w:pPr>
      <w:r>
        <w:t xml:space="preserve">(3) Für Daten zur Vertragsanbahnung, zum Kundenkonto und zur Abrechnung ist der Anbieter Verantwortlicher. Einzelheiten enthält die Datenschutzerklärung unter [Website-URL/datenschutz].</w:t>
      </w:r>
    </w:p>
    <w:bookmarkEnd w:id="42"/>
    <w:bookmarkStart w:id="43" w:name="X837f5bb44bc91b4730d2a30b6fcbe8c0a08e859"/>
    <w:p>
      <w:pPr>
        <w:pStyle w:val="Heading2"/>
      </w:pPr>
      <w:r>
        <w:t xml:space="preserve">§ 23 Vertraulichkeit</w:t>
      </w:r>
    </w:p>
    <w:p>
      <w:pPr>
        <w:pStyle w:val="FirstParagraph"/>
      </w:pPr>
      <w:r>
        <w:t xml:space="preserve">(1) Die Parteien behandeln alle ihnen im Rahmen des Vertrags bekannt werdenden vertraulichen Informationen der anderen Partei, insbesondere Geschäftsgeheimnisse im Sinne des Geschäftsgeheimnisgesetzes, Kundendaten, Preise und Sicherheitsinformationen, vertraulich und verwenden sie nur zur Durchführung des Vertrags.</w:t>
      </w:r>
    </w:p>
    <w:p>
      <w:pPr>
        <w:pStyle w:val="BodyText"/>
      </w:pPr>
      <w:r>
        <w:t xml:space="preserve">(2) Die Pflicht gilt nicht für Informationen, die öffentlich bekannt sind oder ohne Verstoß gegen diese Pflicht werden, die der empfangenden Partei bereits bekannt waren oder die aufgrund gesetzlicher Pflicht oder behördlicher oder gerichtlicher Anordnung offengelegt werden müssen; im letzten Fall informiert die offenlegende Partei die andere Partei, soweit zulässig, vorab.</w:t>
      </w:r>
    </w:p>
    <w:p>
      <w:pPr>
        <w:pStyle w:val="BodyText"/>
      </w:pPr>
      <w:r>
        <w:t xml:space="preserve">(3) Die Vertraulichkeitspflicht besteht für [drei] Jahre nach Vertragsende fort, für Geschäftsgeheimnisse so lange, wie sie Geschäftsgeheimnisse sind.</w:t>
      </w:r>
    </w:p>
    <w:bookmarkEnd w:id="43"/>
    <w:bookmarkStart w:id="44" w:name="Xa97502b97fedb7d02d43af6091c3e3d3d21afb8"/>
    <w:p>
      <w:pPr>
        <w:pStyle w:val="Heading2"/>
      </w:pPr>
      <w:r>
        <w:t xml:space="preserve">§ 24 Informationssicherheit, Sicherheitsvorfälle, NIS2</w:t>
      </w:r>
    </w:p>
    <w:p>
      <w:pPr>
        <w:pStyle w:val="FirstParagraph"/>
      </w:pPr>
      <w:r>
        <w:t xml:space="preserve">(1) Der Anbieter trifft die technischen und organisatorischen Maßnahmen nach Anlage 2 des AVV und betreibt die Plattform in einem nach ISO/IEC 27001 zertifizierten Rechenzentrum in Deutschland.</w:t>
      </w:r>
    </w:p>
    <w:p>
      <w:pPr>
        <w:pStyle w:val="BodyText"/>
      </w:pPr>
      <w:r>
        <w:t xml:space="preserve">(2) Der Anbieter informiert den Kunden unverzüglich, spätestens innerhalb von [24] Stunden nach Kenntnis, über Sicherheitsvorfälle, die die Daten oder die Verfügbarkeit des Mandanten erheblich beeinträchtigen. Meldungen von Verletzungen des Schutzes personenbezogener Daten richten sich nach dem AVV.</w:t>
      </w:r>
    </w:p>
    <w:p>
      <w:pPr>
        <w:pStyle w:val="BodyText"/>
      </w:pPr>
      <w:r>
        <w:t xml:space="preserve">(3) Ist der Kunde eine wichtige oder besonders wichtige Einrichtung im Sinne des BSI-Gesetzes, unterstützt der Anbieter ihn in angemessenem Umfang bei der Erfüllung seiner Pflichten zur Sicherheit in der Lieferkette, insbesondere durch Auskünfte zu Sicherheitsmaßnahmen, Nachweise (z. B. Zertifikate des Rechenzentrums) und die Beantwortung eines Sicherheitsfragebogens einmal je Vertragsjahr ohne zusätzliche Vergütung. Darüber hinausgehenden Aufwand vergütet der Kunde nach Aufwand.</w:t>
      </w:r>
    </w:p>
    <w:p>
      <w:pPr>
        <w:pStyle w:val="BodyText"/>
      </w:pPr>
      <w:r>
        <w:t xml:space="preserve">(4) Hinweise auf Sicherheitslücken nimmt der Anbieter unter [Sicherheits-E-Mail] entgegen (security.txt unter [Website-URL]/.well-known/security.txt).</w:t>
      </w:r>
    </w:p>
    <w:p>
      <w:pPr>
        <w:pStyle w:val="BodyText"/>
      </w:pPr>
      <w:r>
        <w:t xml:space="preserve">(5) Sicherheitstests des Kunden (z. B. Penetrationstests) sind nur nach vorheriger Abstimmung in Textform zulässig.</w:t>
      </w:r>
    </w:p>
    <w:p>
      <w:pPr>
        <w:pStyle w:val="BlockText"/>
      </w:pPr>
      <w:r>
        <w:rPr>
          <w:bCs/>
          <w:b/>
        </w:rPr>
        <w:t xml:space="preserve">Prüfhinweis:</w:t>
      </w:r>
      <w:r>
        <w:t xml:space="preserve"> </w:t>
      </w:r>
      <w:r>
        <w:t xml:space="preserve">Das NIS2UmsuCG gilt seit 06.12.2025 ohne Übergangsfristen. Erfasst sind Einrichtungen der Anlagen 1 und 2 des BSIG ab 50 Beschäftigten oder mehr als 10 Mio. € Jahresumsatz und Jahresbilanzsumme. Anbieter von Cloud-Computing-Diensten unterliegen nach der Systematik der NIS2-Richtlinie den Größenschwellen; ein kleiner Anbieter ist danach nicht erfasst (Einordnung als „Cloud-Computing-Dienst“ prüfen, BSI-Betroffenheitsprüfung durchführen). Speditionen und Frachtführer sind in den Anlagen nicht genannt; Kurierdienste als Anbieter von Postdienstleistungen (Anlage 2) können erfasst sein und verlangen Lieferkettenklauseln (§ 30 BSIG).</w:t>
      </w:r>
    </w:p>
    <w:bookmarkEnd w:id="44"/>
    <w:bookmarkStart w:id="45" w:name="Xa991bb08f74c5b1ad2b2d1b41fcac888260e4fe"/>
    <w:p>
      <w:pPr>
        <w:pStyle w:val="Heading2"/>
      </w:pPr>
      <w:r>
        <w:t xml:space="preserve">§ 25 Referenznennung</w:t>
      </w:r>
    </w:p>
    <w:p>
      <w:pPr>
        <w:pStyle w:val="FirstParagraph"/>
      </w:pPr>
      <w:r>
        <w:t xml:space="preserve">(1) Der Anbieter darf den Kunden mit Firma und Logo als Referenzkunden auf seiner Website, in Präsentationen und Vertriebsunterlagen nennen. Inhalte der Kundendaten und Vertragskonditionen werden dabei nicht offengelegt.</w:t>
      </w:r>
    </w:p>
    <w:p>
      <w:pPr>
        <w:pStyle w:val="BodyText"/>
      </w:pPr>
      <w:r>
        <w:t xml:space="preserve">(2) Der Kunde kann der Referenznennung jederzeit ohne Angabe von Gründen in Textform [oder über die Einstellungen der Plattform – derzeit nicht vorhanden] widersprechen. Der Anbieter entfernt die Nennung dann innerhalb von [30] Tagen aus Online-Medien und verwendet sie in neuen Unterlagen nicht mehr.</w:t>
      </w:r>
    </w:p>
    <w:p>
      <w:pPr>
        <w:pStyle w:val="BodyText"/>
      </w:pPr>
      <w:r>
        <w:t xml:space="preserve">(3) Fallstudien, Zitate und Abbildungen von Mitarbeitern des Kunden verwendet der Anbieter nur mit gesonderter Zustimmung.</w:t>
      </w:r>
    </w:p>
    <w:bookmarkEnd w:id="45"/>
    <w:bookmarkStart w:id="46" w:name="Xbdbd5bf0bfb695661f8d2a1196fc7261472467c"/>
    <w:p>
      <w:pPr>
        <w:pStyle w:val="Heading2"/>
      </w:pPr>
      <w:r>
        <w:t xml:space="preserve">§ 26 Höhere Gewalt</w:t>
      </w:r>
    </w:p>
    <w:p>
      <w:pPr>
        <w:pStyle w:val="FirstParagraph"/>
      </w:pPr>
      <w:r>
        <w:t xml:space="preserve">Keine Partei haftet für die Nichterfüllung von Pflichten, soweit diese auf Umständen beruht, die außerhalb ihres zumutbaren Einflussbereichs liegen, insbesondere Naturkatastrophen, Pandemien, Krieg, Terror, behördliche Anordnungen, flächendeckende Ausfälle von Strom- oder Telekommunikationsnetzen oder Arbeitskampfmaßnahmen in Drittbetrieben. Die betroffene Partei informiert die andere unverzüglich. Dauert die Behinderung länger als [30] Tage, kann jede Partei den Vertrag außerordentlich kündigen.</w:t>
      </w:r>
    </w:p>
    <w:bookmarkEnd w:id="46"/>
    <w:bookmarkStart w:id="47" w:name="X86ef1d80f14a78bfb28b81816f23ca1175de68a"/>
    <w:p>
      <w:pPr>
        <w:pStyle w:val="Heading2"/>
      </w:pPr>
      <w:r>
        <w:t xml:space="preserve">§ 27 Änderungen dieser AGB</w:t>
      </w:r>
    </w:p>
    <w:p>
      <w:pPr>
        <w:pStyle w:val="FirstParagraph"/>
      </w:pPr>
      <w:r>
        <w:t xml:space="preserve">(1) Der Anbieter kann diese AGB mit Wirkung für die Zukunft ändern, wenn hierfür ein triftiger Grund besteht, insbesondere eine Änderung der Rechtslage oder Rechtsprechung, neue Funktionen oder Sicherheitsanforderungen, und der Kunde dadurch nicht unangemessen benachteiligt wird. Leistungsumfang und Preise werden nicht nach dieser Bestimmung geändert; für Preise gilt § 15.</w:t>
      </w:r>
    </w:p>
    <w:p>
      <w:pPr>
        <w:pStyle w:val="BodyText"/>
      </w:pPr>
      <w:r>
        <w:t xml:space="preserve">(2) Der Anbieter teilt dem Kunden Änderungen mindestens [6] Wochen vor ihrem Wirksamwerden in Textform mit und hebt die Änderungen hervor. Widerspricht der Kunde nicht innerhalb dieser Frist in Textform, gelten die Änderungen als angenommen. Der Anbieter weist in der Mitteilung auf die Frist und die Folgen eines unterlassenen Widerspruchs hin. Widerspricht der Kunde, gilt der Vertrag zu den bisherigen Bedingungen fort; jede Partei kann ihn dann außerordentlich zum Zeitpunkt des geplanten Wirksamwerdens kündigen.</w:t>
      </w:r>
    </w:p>
    <w:p>
      <w:pPr>
        <w:pStyle w:val="BlockText"/>
      </w:pPr>
      <w:r>
        <w:rPr>
          <w:bCs/>
          <w:b/>
        </w:rPr>
        <w:t xml:space="preserve">Prüfhinweis:</w:t>
      </w:r>
      <w:r>
        <w:t xml:space="preserve"> </w:t>
      </w:r>
      <w:r>
        <w:t xml:space="preserve">Der BGH hat Zustimmungsfiktionsklauseln gegenüber Verbrauchern für unwirksam erklärt, soweit sie ohne Beschränkung auf bestimmte Inhalte gelten (BGH, Urt. v. 27.04.2021 – XI ZR 26/20). Die Übertragbarkeit auf B2B ist offen; die Klausel ist daher auf Änderungen außerhalb der Hauptleistungspflichten beschränkt.</w:t>
      </w:r>
    </w:p>
    <w:bookmarkEnd w:id="47"/>
    <w:bookmarkStart w:id="48" w:name="Xb0d068814b72e81b508bb0f147279ec90450790"/>
    <w:p>
      <w:pPr>
        <w:pStyle w:val="Heading2"/>
      </w:pPr>
      <w:r>
        <w:t xml:space="preserve">§ 28 Schlussbestimmungen</w:t>
      </w:r>
    </w:p>
    <w:p>
      <w:pPr>
        <w:pStyle w:val="FirstParagraph"/>
      </w:pPr>
      <w:r>
        <w:t xml:space="preserve">(1) Es gilt das Recht der Bundesrepublik Deutschland unter Ausschluss des UN-Kaufrechts (CISG).</w:t>
      </w:r>
    </w:p>
    <w:p>
      <w:pPr>
        <w:pStyle w:val="BodyText"/>
      </w:pPr>
      <w:r>
        <w:t xml:space="preserve">(2) Ist der Kunde Kaufmann, juristische Person des öffentlichen Rechts oder öffentlich-rechtliches Sondervermögen, ist ausschließlicher Gerichtsstand für alle Streitigkeiten aus diesem Vertrag [Sitz des Anbieters/Ort des Gerichtsstands]. Der Anbieter ist berechtigt, den Kunden auch an dessen allgemeinem Gerichtsstand zu verklagen.</w:t>
      </w:r>
    </w:p>
    <w:p>
      <w:pPr>
        <w:pStyle w:val="BodyText"/>
      </w:pPr>
      <w:r>
        <w:t xml:space="preserve">(3) Erklärungen nach diesem Vertrag bedürfen der Textform, soweit nicht ausdrücklich etwas anderes bestimmt ist.</w:t>
      </w:r>
    </w:p>
    <w:p>
      <w:pPr>
        <w:pStyle w:val="BodyText"/>
      </w:pPr>
      <w:r>
        <w:t xml:space="preserve">(4) Der Kunde kann Rechte aus diesem Vertrag nur mit Zustimmung des Anbieters abtreten. § 354a HGB bleibt unberührt.</w:t>
      </w:r>
    </w:p>
    <w:p>
      <w:pPr>
        <w:pStyle w:val="BodyText"/>
      </w:pPr>
      <w:r>
        <w:t xml:space="preserve">(5) Sollte eine Bestimmung dieses Vertrags unwirksam sein oder werden, bleibt die Wirksamkeit der übrigen Bestimmungen unberührt. Anstelle der unwirksamen Bestimmung gelten die gesetzlichen Vorschriften.</w:t>
      </w:r>
    </w:p>
    <w:p>
      <w:pPr>
        <w:pStyle w:val="BodyText"/>
      </w:pPr>
      <w:r>
        <w:t xml:space="preserve">(6) Maßgeblich ist die deutsche Fassung dieser AGB. Übersetzungen dienen nur der Information.</w:t>
      </w:r>
    </w:p>
    <w:p>
      <w:pPr>
        <w:pStyle w:val="BodyText"/>
      </w:pPr>
      <w:r>
        <w:t xml:space="preserve">(7) Der Anbieter ist nicht bereit und nicht verpflichtet, an Streitbeilegungsverfahren vor einer Verbraucherschlichtungsstelle teilzunehmen; der Vertrag richtet sich ausschließlich an Unternehmer.</w:t>
      </w:r>
    </w:p>
    <w:p>
      <w:r>
        <w:pict>
          <v:rect style="width:0;height:1.5pt" o:hralign="center" o:hrstd="t" o:hr="t"/>
        </w:pict>
      </w:r>
    </w:p>
    <w:bookmarkEnd w:id="48"/>
    <w:bookmarkStart w:id="51" w:name="X14314dd42c28f058a4458f71317a708502d4bb7"/>
    <w:p>
      <w:pPr>
        <w:pStyle w:val="Heading2"/>
      </w:pPr>
      <w:r>
        <w:t xml:space="preserve">Anlage A – Exportierbare und nicht exportierbare Daten</w:t>
      </w:r>
    </w:p>
    <w:p>
      <w:pPr>
        <w:pStyle w:val="FirstParagraph"/>
      </w:pPr>
      <w:r>
        <w:t xml:space="preserve">Abschließende Aufzählung nach Art. 25 Abs. 2 lit. e und f Data Act.</w:t>
      </w:r>
    </w:p>
    <w:bookmarkStart w:id="49" w:name="Xaf86627edef8338fb3894c5fe5dce9ce7728c17"/>
    <w:p>
      <w:pPr>
        <w:pStyle w:val="Heading3"/>
      </w:pPr>
      <w:r>
        <w:t xml:space="preserve">A.1 Exportierbare Daten und digitale Vermögenswerte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Kategorie</w:t>
            </w:r>
          </w:p>
        </w:tc>
        <w:tc>
          <w:tcPr/>
          <w:p>
            <w:pPr>
              <w:pStyle w:val="Compact"/>
              <w:jc w:val="left"/>
            </w:pPr>
            <w:r>
              <w:t xml:space="preserve">Inhalt</w:t>
            </w:r>
          </w:p>
        </w:tc>
        <w:tc>
          <w:tcPr/>
          <w:p>
            <w:pPr>
              <w:pStyle w:val="Compact"/>
              <w:jc w:val="left"/>
            </w:pPr>
            <w:r>
              <w:t xml:space="preserve">Format</w:t>
            </w:r>
          </w:p>
        </w:tc>
      </w:tr>
      <w:tr>
        <w:tc>
          <w:tcPr/>
          <w:p>
            <w:pPr>
              <w:pStyle w:val="Compact"/>
              <w:jc w:val="left"/>
            </w:pPr>
            <w:r>
              <w:t xml:space="preserve">Mandant</w:t>
            </w:r>
          </w:p>
        </w:tc>
        <w:tc>
          <w:tcPr/>
          <w:p>
            <w:pPr>
              <w:pStyle w:val="Compact"/>
              <w:jc w:val="left"/>
            </w:pPr>
            <w:r>
              <w:t xml:space="preserve">Firmenname, rechtlicher Name, Anschrift, Kontakt, Firmencode, Tarif- und Lizenzangaben, belegter Speicher, gesendete Kündigungs- und Tarifwünsche, Buchungsnummern-Präfix, Einstellungen (z. B. Fotopflicht, Unterschrift, Ankunftserfassung, Palettentausch, Fahrsperre, Standort beim Statuswechsel, Auswertungen je Fahrer, Aufbewahrung in Jahren), Ende einer Support-Freigabe, ob ein API-Schlüssel besteht (mit den letzten 4 Zeichen)</w:t>
            </w:r>
          </w:p>
        </w:tc>
        <w:tc>
          <w:tcPr/>
          <w:p>
            <w:pPr>
              <w:pStyle w:val="Compact"/>
              <w:jc w:val="left"/>
            </w:pPr>
            <w:r>
              <w:t xml:space="preserve">JSON</w:t>
            </w:r>
          </w:p>
        </w:tc>
      </w:tr>
      <w:tr>
        <w:tc>
          <w:tcPr/>
          <w:p>
            <w:pPr>
              <w:pStyle w:val="Compact"/>
              <w:jc w:val="left"/>
            </w:pPr>
            <w:r>
              <w:t xml:space="preserve">Branding</w:t>
            </w:r>
          </w:p>
        </w:tc>
        <w:tc>
          <w:tcPr/>
          <w:p>
            <w:pPr>
              <w:pStyle w:val="Compact"/>
              <w:jc w:val="left"/>
            </w:pPr>
            <w:r>
              <w:t xml:space="preserve">Logo, App-Symbol, Markenfarbe, App-Name, eigene Domains</w:t>
            </w:r>
          </w:p>
        </w:tc>
        <w:tc>
          <w:tcPr/>
          <w:p>
            <w:pPr>
              <w:pStyle w:val="Compact"/>
              <w:jc w:val="left"/>
            </w:pPr>
            <w:r>
              <w:t xml:space="preserve">JSON, gespeicherte Datei (PNG)</w:t>
            </w:r>
          </w:p>
        </w:tc>
      </w:tr>
      <w:tr>
        <w:tc>
          <w:tcPr/>
          <w:p>
            <w:pPr>
              <w:pStyle w:val="Compact"/>
              <w:jc w:val="left"/>
            </w:pPr>
            <w:r>
              <w:t xml:space="preserve">Nutzer</w:t>
            </w:r>
          </w:p>
        </w:tc>
        <w:tc>
          <w:tcPr/>
          <w:p>
            <w:pPr>
              <w:pStyle w:val="Compact"/>
              <w:jc w:val="left"/>
            </w:pPr>
            <w:r>
              <w:t xml:space="preserve">Name, Rolle, E-Mail bzw. Handynummer, Personalnummer, Sprache, Status, Führerscheinklasse, Notiz, zugeordnetes Fahrzeug, letzte Anmeldung, Zustimmung zum Standort, ob die Zwei-Faktor-Anmeldung eingeschaltet ist; gelöschte Personen als „Gelöschter Nutzer“</w:t>
            </w:r>
          </w:p>
        </w:tc>
        <w:tc>
          <w:tcPr/>
          <w:p>
            <w:pPr>
              <w:pStyle w:val="Compact"/>
              <w:jc w:val="left"/>
            </w:pPr>
            <w:r>
              <w:t xml:space="preserve">JSON</w:t>
            </w:r>
          </w:p>
        </w:tc>
      </w:tr>
      <w:tr>
        <w:tc>
          <w:tcPr/>
          <w:p>
            <w:pPr>
              <w:pStyle w:val="Compact"/>
              <w:jc w:val="left"/>
            </w:pPr>
            <w:r>
              <w:t xml:space="preserve">Fahrzeuge</w:t>
            </w:r>
          </w:p>
        </w:tc>
        <w:tc>
          <w:tcPr/>
          <w:p>
            <w:pPr>
              <w:pStyle w:val="Compact"/>
              <w:jc w:val="left"/>
            </w:pPr>
            <w:r>
              <w:t xml:space="preserve">Kennzeichen, Art, Nutzlast, Stellplätze, Ausstattung, HU-/SP-Termine, Status, Notizen</w:t>
            </w:r>
          </w:p>
        </w:tc>
        <w:tc>
          <w:tcPr/>
          <w:p>
            <w:pPr>
              <w:pStyle w:val="Compact"/>
              <w:jc w:val="left"/>
            </w:pPr>
            <w:r>
              <w:t xml:space="preserve">JSON</w:t>
            </w:r>
          </w:p>
        </w:tc>
      </w:tr>
      <w:tr>
        <w:tc>
          <w:tcPr/>
          <w:p>
            <w:pPr>
              <w:pStyle w:val="Compact"/>
              <w:jc w:val="left"/>
            </w:pPr>
            <w:r>
              <w:t xml:space="preserve">Lieferungen</w:t>
            </w:r>
          </w:p>
        </w:tc>
        <w:tc>
          <w:tcPr/>
          <w:p>
            <w:pPr>
              <w:pStyle w:val="Compact"/>
              <w:jc w:val="left"/>
            </w:pPr>
            <w:r>
              <w:t xml:space="preserve">Buchungsnummer, Auftraggeber, Referenz, Lade- und Entladestellen mit Adressen, Zeitfenstern und Ansprechpartnern, Ware, Paletten, Gewicht, Gefahrgut, Temperatur, Hinweise, interne Notiz, Zuweisung, Status, Zustell- bzw. Stornozeitpunkt</w:t>
            </w:r>
          </w:p>
        </w:tc>
        <w:tc>
          <w:tcPr/>
          <w:p>
            <w:pPr>
              <w:pStyle w:val="Compact"/>
              <w:jc w:val="left"/>
            </w:pPr>
            <w:r>
              <w:t xml:space="preserve">JSON; Lieferliste als CSV (alle Lieferungen, neueste zuerst)</w:t>
            </w:r>
          </w:p>
        </w:tc>
      </w:tr>
      <w:tr>
        <w:tc>
          <w:tcPr/>
          <w:p>
            <w:pPr>
              <w:pStyle w:val="Compact"/>
              <w:jc w:val="left"/>
            </w:pPr>
            <w:r>
              <w:t xml:space="preserve">Verlauf</w:t>
            </w:r>
          </w:p>
        </w:tc>
        <w:tc>
          <w:tcPr/>
          <w:p>
            <w:pPr>
              <w:pStyle w:val="Compact"/>
              <w:jc w:val="left"/>
            </w:pPr>
            <w:r>
              <w:t xml:space="preserve">Ereignisse mit Zeitpunkt des Tippens, – falls abweichend – Eingangszeit beim Server, handelnder Person und – falls erfasst und jünger als 90 Tage – Standort; Notizen; Problemmeldungen; Palettentausch; Empfängerangaben</w:t>
            </w:r>
          </w:p>
        </w:tc>
        <w:tc>
          <w:tcPr/>
          <w:p>
            <w:pPr>
              <w:pStyle w:val="Compact"/>
              <w:jc w:val="left"/>
            </w:pPr>
            <w:r>
              <w:t xml:space="preserve">JSON</w:t>
            </w:r>
          </w:p>
        </w:tc>
      </w:tr>
      <w:tr>
        <w:tc>
          <w:tcPr/>
          <w:p>
            <w:pPr>
              <w:pStyle w:val="Compact"/>
              <w:jc w:val="left"/>
            </w:pPr>
            <w:r>
              <w:t xml:space="preserve">Dokumente</w:t>
            </w:r>
          </w:p>
        </w:tc>
        <w:tc>
          <w:tcPr/>
          <w:p>
            <w:pPr>
              <w:pStyle w:val="Compact"/>
              <w:jc w:val="left"/>
            </w:pPr>
            <w:r>
              <w:t xml:space="preserve">Lieferschein-Fotos, PDF-Dokumente, Unterschriften, Fotos zu Problemmeldungen, jeweils als gespeicherte Datei (Fotos als JPEG, Unterschriften als PNG, PDF unverändert) mit Dateiliste</w:t>
            </w:r>
          </w:p>
        </w:tc>
        <w:tc>
          <w:tcPr/>
          <w:p>
            <w:pPr>
              <w:pStyle w:val="Compact"/>
              <w:jc w:val="left"/>
            </w:pPr>
            <w:r>
              <w:t xml:space="preserve">Dateien im ZIP-Archiv, Liste in JSON</w:t>
            </w:r>
          </w:p>
        </w:tc>
      </w:tr>
      <w:tr>
        <w:tc>
          <w:tcPr/>
          <w:p>
            <w:pPr>
              <w:pStyle w:val="Compact"/>
              <w:jc w:val="left"/>
            </w:pPr>
            <w:r>
              <w:t xml:space="preserve">Berichte</w:t>
            </w:r>
          </w:p>
        </w:tc>
        <w:tc>
          <w:tcPr/>
          <w:p>
            <w:pPr>
              <w:pStyle w:val="Compact"/>
              <w:jc w:val="left"/>
            </w:pPr>
            <w:r>
              <w:t xml:space="preserve">Auswertungen je Monat: Zugestellt, Pünktlichkeit, Standzeiten, Palettensaldo, je Auftraggeber, je Lade- und Entladestelle und – falls eingeschaltet – je Fahrer</w:t>
            </w:r>
          </w:p>
        </w:tc>
        <w:tc>
          <w:tcPr/>
          <w:p>
            <w:pPr>
              <w:pStyle w:val="Compact"/>
              <w:jc w:val="left"/>
            </w:pPr>
            <w:r>
              <w:t xml:space="preserve">CSV (Download auf der Berichtsseite, wählbar sind die letzten 24 Monate)</w:t>
            </w:r>
          </w:p>
        </w:tc>
      </w:tr>
      <w:tr>
        <w:tc>
          <w:tcPr/>
          <w:p>
            <w:pPr>
              <w:pStyle w:val="Compact"/>
              <w:jc w:val="left"/>
            </w:pPr>
            <w:r>
              <w:t xml:space="preserve">Protokoll</w:t>
            </w:r>
          </w:p>
        </w:tc>
        <w:tc>
          <w:tcPr/>
          <w:p>
            <w:pPr>
              <w:pStyle w:val="Compact"/>
              <w:jc w:val="left"/>
            </w:pPr>
            <w:r>
              <w:t xml:space="preserve">den Mandanten betreffende Einträge des Audit-Logs (3 Jahre), einschließlich Anmeldungen, Fehlversuchen, Exporten und Freigaben des Support-Zugriffs, mit IP-Adressen der letzten 90 Tage</w:t>
            </w:r>
          </w:p>
        </w:tc>
        <w:tc>
          <w:tcPr/>
          <w:p>
            <w:pPr>
              <w:pStyle w:val="Compact"/>
              <w:jc w:val="left"/>
            </w:pPr>
            <w:r>
              <w:t xml:space="preserve">JSON</w:t>
            </w:r>
          </w:p>
        </w:tc>
      </w:tr>
      <w:tr>
        <w:tc>
          <w:tcPr/>
          <w:p>
            <w:pPr>
              <w:pStyle w:val="Compact"/>
              <w:jc w:val="left"/>
            </w:pPr>
            <w:r>
              <w:t xml:space="preserve">Metadaten</w:t>
            </w:r>
          </w:p>
        </w:tc>
        <w:tc>
          <w:tcPr/>
          <w:p>
            <w:pPr>
              <w:pStyle w:val="Compact"/>
              <w:jc w:val="left"/>
            </w:pPr>
            <w:r>
              <w:t xml:space="preserve">Erstellungs- und Änderungszeitpunkte, Bezüge zwischen Datensätzen (IDs), Zeitpunkt des Exports</w:t>
            </w:r>
          </w:p>
        </w:tc>
        <w:tc>
          <w:tcPr/>
          <w:p>
            <w:pPr>
              <w:pStyle w:val="Compact"/>
              <w:jc w:val="left"/>
            </w:pPr>
            <w:r>
              <w:t xml:space="preserve">JSON</w:t>
            </w:r>
          </w:p>
        </w:tc>
      </w:tr>
    </w:tbl>
    <w:p>
      <w:pPr>
        <w:pStyle w:val="BodyText"/>
      </w:pPr>
      <w:r>
        <w:t xml:space="preserve">Der Abliefernachweis ist keine gespeicherte Datei; die Plattform erzeugt ihn bei Bedarf als Druckansicht aus den exportierten Lieferdaten.</w:t>
      </w:r>
    </w:p>
    <w:bookmarkEnd w:id="49"/>
    <w:bookmarkStart w:id="50" w:name="a2-vom-export-ausgenommene-daten"/>
    <w:p>
      <w:pPr>
        <w:pStyle w:val="Heading3"/>
      </w:pPr>
      <w:r>
        <w:t xml:space="preserve">A.2 Vom Export ausgenommene Daten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Kategorie</w:t>
            </w:r>
          </w:p>
        </w:tc>
        <w:tc>
          <w:tcPr/>
          <w:p>
            <w:pPr>
              <w:pStyle w:val="Compact"/>
              <w:jc w:val="left"/>
            </w:pPr>
            <w:r>
              <w:t xml:space="preserve">Grund</w:t>
            </w:r>
          </w:p>
        </w:tc>
      </w:tr>
      <w:tr>
        <w:tc>
          <w:tcPr/>
          <w:p>
            <w:pPr>
              <w:pStyle w:val="Compact"/>
              <w:jc w:val="left"/>
            </w:pPr>
            <w:r>
              <w:t xml:space="preserve">Passwort- und PIN-Hashes, Zähler für Fehlversuche, Sitzungs-Tokens, API-Schlüssel und ihr Hash, Schlüssel der Zwei-Faktor-Anmeldung, Einladungs-Token, Schlüssel der Push-Abonnements</w:t>
            </w:r>
          </w:p>
        </w:tc>
        <w:tc>
          <w:tcPr/>
          <w:p>
            <w:pPr>
              <w:pStyle w:val="Compact"/>
              <w:jc w:val="left"/>
            </w:pPr>
            <w:r>
              <w:t xml:space="preserve">Sicherheit; für einen Wechsel nicht erforderlich, Zugänge werden beim Zielanbieter neu vergeben</w:t>
            </w:r>
          </w:p>
        </w:tc>
      </w:tr>
      <w:tr>
        <w:tc>
          <w:tcPr/>
          <w:p>
            <w:pPr>
              <w:pStyle w:val="Compact"/>
              <w:jc w:val="left"/>
            </w:pPr>
            <w:r>
              <w:t xml:space="preserve">Kennungen gegen doppeltes Senden (mit dem Ergebnis der Aktion, 7 Tage)</w:t>
            </w:r>
          </w:p>
        </w:tc>
        <w:tc>
          <w:tcPr/>
          <w:p>
            <w:pPr>
              <w:pStyle w:val="Compact"/>
              <w:jc w:val="left"/>
            </w:pPr>
            <w:r>
              <w:t xml:space="preserve">technische Hilfsdaten; die Ergebnisse stehen in den exportierten Daten</w:t>
            </w:r>
          </w:p>
        </w:tc>
      </w:tr>
      <w:tr>
        <w:tc>
          <w:tcPr/>
          <w:p>
            <w:pPr>
              <w:pStyle w:val="Compact"/>
              <w:jc w:val="left"/>
            </w:pPr>
            <w:r>
              <w:t xml:space="preserve">Lizenz-Historie, interne Notiz des Anbieters zur Lizenz, Merker für Speicherwarnungen</w:t>
            </w:r>
          </w:p>
        </w:tc>
        <w:tc>
          <w:tcPr/>
          <w:p>
            <w:pPr>
              <w:pStyle w:val="Compact"/>
              <w:jc w:val="left"/>
            </w:pPr>
            <w:r>
              <w:t xml:space="preserve">Vertrags- und Abrechnungsdaten des Anbieters (§ 18 Abs. 3)</w:t>
            </w:r>
          </w:p>
        </w:tc>
      </w:tr>
      <w:tr>
        <w:tc>
          <w:tcPr/>
          <w:p>
            <w:pPr>
              <w:pStyle w:val="Compact"/>
              <w:jc w:val="left"/>
            </w:pPr>
            <w:r>
              <w:t xml:space="preserve">In-App-Mitteilungen</w:t>
            </w:r>
          </w:p>
        </w:tc>
        <w:tc>
          <w:tcPr/>
          <w:p>
            <w:pPr>
              <w:pStyle w:val="Compact"/>
              <w:jc w:val="left"/>
            </w:pPr>
            <w:r>
              <w:t xml:space="preserve">Kopien von Status- und Hinweistexten, die nach 90 Tagen ohnehin gelöscht werden; die Inhalte stehen im Verlauf der Lieferungen</w:t>
            </w:r>
          </w:p>
        </w:tc>
      </w:tr>
      <w:tr>
        <w:tc>
          <w:tcPr/>
          <w:p>
            <w:pPr>
              <w:pStyle w:val="Compact"/>
              <w:jc w:val="left"/>
            </w:pPr>
            <w:r>
              <w:t xml:space="preserve">interne Sicherheits- und Betriebsprotokolle des Anbieters, die nicht den Mandanten betreffen</w:t>
            </w:r>
          </w:p>
        </w:tc>
        <w:tc>
          <w:tcPr/>
          <w:p>
            <w:pPr>
              <w:pStyle w:val="Compact"/>
              <w:jc w:val="left"/>
            </w:pPr>
            <w:r>
              <w:t xml:space="preserve">Sicherheit und Schutz anderer Kunden</w:t>
            </w:r>
          </w:p>
        </w:tc>
      </w:tr>
      <w:tr>
        <w:tc>
          <w:tcPr/>
          <w:p>
            <w:pPr>
              <w:pStyle w:val="Compact"/>
              <w:jc w:val="left"/>
            </w:pPr>
            <w:r>
              <w:t xml:space="preserve">Quellcode, Vorlagen, Übersetzungen und Gestaltungselemente der Plattform</w:t>
            </w:r>
          </w:p>
        </w:tc>
        <w:tc>
          <w:tcPr/>
          <w:p>
            <w:pPr>
              <w:pStyle w:val="Compact"/>
              <w:jc w:val="left"/>
            </w:pPr>
            <w:r>
              <w:t xml:space="preserve">Geschäftsgeheimnisse und Rechte des Anbieters</w:t>
            </w:r>
          </w:p>
        </w:tc>
      </w:tr>
    </w:tbl>
    <w:p>
      <w:pPr>
        <w:pStyle w:val="BodyText"/>
      </w:pPr>
      <w:r>
        <w:t xml:space="preserve">Die Ausnahmen beeinträchtigen den Wechsel nicht.</w:t>
      </w:r>
    </w:p>
    <w:bookmarkEnd w:id="50"/>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2026-10-17T05:37:38Z</dcterms:created>
  <dcterms:modified xsi:type="dcterms:W3CDTF">2026-10-17T05:37:38Z</dcterms:modified>
</cp:coreProperties>
</file>

<file path=docProps/custom.xml><?xml version="1.0" encoding="utf-8"?>
<Properties xmlns="http://schemas.openxmlformats.org/officeDocument/2006/custom-properties" xmlns:vt="http://schemas.openxmlformats.org/officeDocument/2006/docPropsVTypes"/>
</file>