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atenschutzerklärung"/>
    <w:p>
      <w:pPr>
        <w:pStyle w:val="Heading1"/>
      </w:pPr>
      <w:r>
        <w:t xml:space="preserve">Datenschutzerklärung</w:t>
      </w:r>
    </w:p>
    <w:p>
      <w:pPr>
        <w:pStyle w:val="FirstParagraph"/>
      </w:pPr>
      <w:r>
        <w:rPr>
          <w:bCs/>
          <w:b/>
        </w:rPr>
        <w:t xml:space="preserve">für die Website [Website-URL] und die Plattform LADEKLAR</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Mit „Prüfhinweis“ gekennzeichnete Anmerkungen sind vor Veröffentlichung zu entfernen. Recherchestand: 16.10.2026.</w:t>
      </w:r>
    </w:p>
    <w:p>
      <w:pPr>
        <w:pStyle w:val="FirstParagraph"/>
      </w:pPr>
      <w:r>
        <w:t xml:space="preserve">Stand: [Datum]</w:t>
      </w:r>
    </w:p>
    <w:p>
      <w:r>
        <w:pict>
          <v:rect style="width:0;height:1.5pt" o:hralign="center" o:hrstd="t" o:hr="t"/>
        </w:pict>
      </w:r>
    </w:p>
    <w:bookmarkStart w:id="20" w:name="X8de49ff73c8f4a7eb00d1b8dab109221eb7dd1c"/>
    <w:p>
      <w:pPr>
        <w:pStyle w:val="Heading2"/>
      </w:pPr>
      <w:r>
        <w:t xml:space="preserve">1. Verantwortlicher</w:t>
      </w:r>
    </w:p>
    <w:p>
      <w:pPr>
        <w:pStyle w:val="FirstParagraph"/>
      </w:pPr>
      <w:r>
        <w:t xml:space="preserve">[Firma] [Rechtsform]</w:t>
      </w:r>
      <w:r>
        <w:t xml:space="preserve"> </w:t>
      </w:r>
      <w:r>
        <w:t xml:space="preserve">[Anschrift]</w:t>
      </w:r>
      <w:r>
        <w:t xml:space="preserve"> </w:t>
      </w:r>
      <w:r>
        <w:t xml:space="preserve">vertreten durch [Vertretungsberechtigte Person]</w:t>
      </w:r>
      <w:r>
        <w:t xml:space="preserve"> </w:t>
      </w:r>
      <w:r>
        <w:t xml:space="preserve">E-Mail: [E-Mail] · Telefon: [Telefon]</w:t>
      </w:r>
    </w:p>
    <w:p>
      <w:pPr>
        <w:pStyle w:val="BodyText"/>
      </w:pPr>
      <w:r>
        <w:t xml:space="preserve">(im Folgenden „wir“)</w:t>
      </w:r>
    </w:p>
    <w:bookmarkEnd w:id="20"/>
    <w:bookmarkStart w:id="21" w:name="X556cc2372a170b76d1d4b3dcffb1f6890b4af0c"/>
    <w:p>
      <w:pPr>
        <w:pStyle w:val="Heading2"/>
      </w:pPr>
      <w:r>
        <w:t xml:space="preserve">2. Datenschutzkontakt</w:t>
      </w:r>
    </w:p>
    <w:p>
      <w:pPr>
        <w:pStyle w:val="FirstParagraph"/>
      </w:pPr>
      <w:r>
        <w:t xml:space="preserve">Für alle Fragen zum Datenschutz erreichen Sie uns unter [Datenschutzkontakt], E-Mail [Datenschutz-E-Mail].</w:t>
      </w:r>
    </w:p>
    <w:p>
      <w:pPr>
        <w:pStyle w:val="BodyText"/>
      </w:pPr>
      <w:r>
        <w:t xml:space="preserve">[Falls benannt: Unser Datenschutzbeauftragter ist [Name/Firma], [Anschrift], [E-Mail].]</w:t>
      </w:r>
    </w:p>
    <w:bookmarkEnd w:id="21"/>
    <w:bookmarkStart w:id="22" w:name="Xb3e74d4b999fb7f1fae329860988697f7f99174"/>
    <w:p>
      <w:pPr>
        <w:pStyle w:val="Heading2"/>
      </w:pPr>
      <w:r>
        <w:t xml:space="preserve">3. Geltungsbereich und Rollen</w:t>
      </w:r>
    </w:p>
    <w:p>
      <w:pPr>
        <w:pStyle w:val="FirstParagraph"/>
      </w:pPr>
      <w:r>
        <w:t xml:space="preserve">(1) Diese Datenschutzerklärung gilt für</w:t>
      </w:r>
    </w:p>
    <w:p>
      <w:pPr>
        <w:numPr>
          <w:ilvl w:val="0"/>
          <w:numId w:val="1001"/>
        </w:numPr>
        <w:pStyle w:val="Compact"/>
      </w:pPr>
      <w:r>
        <w:t xml:space="preserve">unsere Website [Website-URL] einschließlich Kontaktformular, Demo-Anfrage und Online-Demo,</w:t>
      </w:r>
    </w:p>
    <w:p>
      <w:pPr>
        <w:numPr>
          <w:ilvl w:val="0"/>
          <w:numId w:val="1001"/>
        </w:numPr>
        <w:pStyle w:val="Compact"/>
      </w:pPr>
      <w:r>
        <w:t xml:space="preserve">die Registrierung und das Kundenkonto für LADEKLAR,</w:t>
      </w:r>
    </w:p>
    <w:p>
      <w:pPr>
        <w:numPr>
          <w:ilvl w:val="0"/>
          <w:numId w:val="1001"/>
        </w:numPr>
        <w:pStyle w:val="Compact"/>
      </w:pPr>
      <w:r>
        <w:t xml:space="preserve">die Vertragsabwicklung und Abrechnung,</w:t>
      </w:r>
    </w:p>
    <w:p>
      <w:pPr>
        <w:numPr>
          <w:ilvl w:val="0"/>
          <w:numId w:val="1001"/>
        </w:numPr>
        <w:pStyle w:val="Compact"/>
      </w:pPr>
      <w:r>
        <w:t xml:space="preserve">die Daten, die wir beim Betrieb der Plattform als Verantwortlicher verarbeiten (z. B. Sicherheitsprotokolle).</w:t>
      </w:r>
    </w:p>
    <w:p>
      <w:pPr>
        <w:pStyle w:val="FirstParagraph"/>
      </w:pPr>
      <w:r>
        <w:t xml:space="preserve">(2)</w:t>
      </w:r>
      <w:r>
        <w:t xml:space="preserve"> </w:t>
      </w:r>
      <w:r>
        <w:rPr>
          <w:bCs/>
          <w:b/>
        </w:rPr>
        <w:t xml:space="preserve">Wichtig:</w:t>
      </w:r>
      <w:r>
        <w:t xml:space="preserve"> </w:t>
      </w:r>
      <w:r>
        <w:t xml:space="preserve">LADEKLAR wird von Transportunternehmen („Kunden“) genutzt, um Lieferungen zu planen und zu dokumentieren. Für die Daten, die Kunden und ihre Nutzer in der Plattform verarbeiten – insbesondere Auftragsdaten, Fahrerdaten, Lieferscheine, Fotos, Unterschriften, Standortangaben und das Protokoll der Anmeldungen im Bereich des Kunden – ist</w:t>
      </w:r>
      <w:r>
        <w:t xml:space="preserve"> </w:t>
      </w:r>
      <w:r>
        <w:rPr>
          <w:bCs/>
          <w:b/>
        </w:rPr>
        <w:t xml:space="preserve">das jeweilige Unternehmen Verantwortlicher</w:t>
      </w:r>
      <w:r>
        <w:t xml:space="preserve">. Wir verarbeiten diese Daten nur in dessen Auftrag (Art. 28 DSGVO). Unsere Lizenzgeber-Konsole zeigt keine Auftragsdaten. Wenn Sie als Fahrer, Disponent, Empfänger oder Ansprechpartner betroffen sind, wenden Sie sich bitte an das Unternehmen, für das Sie tätig sind bzw. das die Lieferung durchführt. Dessen Datenschutzhinweise erhalten Sie dort.</w:t>
      </w:r>
    </w:p>
    <w:p>
      <w:pPr>
        <w:pStyle w:val="BodyText"/>
      </w:pPr>
      <w:r>
        <w:t xml:space="preserve">(3) Die App kann unter dem Namen und Logo des jeweiligen Unternehmens erscheinen (White-Label). Auch dann ist für die Daten in der App das Unternehmen verantwortlich.</w:t>
      </w:r>
    </w:p>
    <w:bookmarkEnd w:id="22"/>
    <w:bookmarkStart w:id="23" w:name="Xcbcc53724cc17cf62379895b0db3899dad20f2f"/>
    <w:p>
      <w:pPr>
        <w:pStyle w:val="Heading2"/>
      </w:pPr>
      <w:r>
        <w:t xml:space="preserve">4. Aufruf der Website und der Plattform (Server-Protokolle)</w:t>
      </w:r>
    </w:p>
    <w:p>
      <w:pPr>
        <w:pStyle w:val="FirstParagraph"/>
      </w:pPr>
      <w:r>
        <w:t xml:space="preserve">(1) Beim Aufruf unserer Website und der Plattform verarbeitet unser Server technisch notwendige Daten, die Ihr Browser übermittelt: IP-Adresse, Datum und Uhrzeit, aufgerufene Adresse, übertragene Datenmenge, Statuscode, Referrer-URL, Browser und Betriebssystem. Die Anwendung LADEKLAR selbst schreibt je Anfrage nur Zeitpunkt, Methode, aufgerufenen Pfad, Statuscode und Bearbeitungsdauer in ihr Protokoll, keine IP-Adresse. [Der vorgeschaltete Webserver [Name, z. B. Caddy] protokolliert zusätzlich IP-Adresse, Browser und Referrer.]</w:t>
      </w:r>
    </w:p>
    <w:p>
      <w:pPr>
        <w:pStyle w:val="BlockText"/>
      </w:pPr>
      <w:r>
        <w:rPr>
          <w:bCs/>
          <w:b/>
        </w:rPr>
        <w:t xml:space="preserve">Prüfhinweis (Technik):</w:t>
      </w:r>
      <w:r>
        <w:t xml:space="preserve"> </w:t>
      </w:r>
      <w:r>
        <w:t xml:space="preserve">Zugriffsprotokolle mit IP-Adresse entstehen nur im vorgeschalteten Webserver bzw. beim Hosting-Anbieter, nicht in der Anwendung (</w:t>
      </w:r>
      <w:r>
        <w:rPr>
          <w:rStyle w:val="VerbatimChar"/>
        </w:rPr>
        <w:t xml:space="preserve">server/index.js</w:t>
      </w:r>
      <w:r>
        <w:t xml:space="preserve">, Ausgabe</w:t>
      </w:r>
      <w:r>
        <w:t xml:space="preserve"> </w:t>
      </w:r>
      <w:r>
        <w:rPr>
          <w:rStyle w:val="VerbatimChar"/>
        </w:rPr>
        <w:t xml:space="preserve">log(Methode, Pfad, Status, Dauer)</w:t>
      </w:r>
      <w:r>
        <w:t xml:space="preserve">). Deren Inhalt und Löschfrist in Abs. 1 und 4 mit der Server-Konfiguration abgleichen. Der Pfad kann Kennungen enthalten (z. B. Firmencode in</w:t>
      </w:r>
      <w:r>
        <w:t xml:space="preserve"> </w:t>
      </w:r>
      <w:r>
        <w:rPr>
          <w:rStyle w:val="VerbatimChar"/>
        </w:rPr>
        <w:t xml:space="preserve">/t/KAYA</w:t>
      </w:r>
      <w:r>
        <w:t xml:space="preserve">, Datei-Kennungen).</w:t>
      </w:r>
    </w:p>
    <w:p>
      <w:pPr>
        <w:pStyle w:val="FirstParagraph"/>
      </w:pPr>
      <w:r>
        <w:t xml:space="preserve">(2) Zweck ist die Auslieferung der Inhalte, die Gewährleistung der Sicherheit und Stabilität sowie die Abwehr und Aufklärung von Angriffen.</w:t>
      </w:r>
    </w:p>
    <w:p>
      <w:pPr>
        <w:pStyle w:val="BodyText"/>
      </w:pPr>
      <w:r>
        <w:t xml:space="preserve">(3) Rechtsgrundlage ist Art. 6 Abs. 1 lit. f DSGVO. Unser berechtigtes Interesse liegt in den genannten Zwecken.</w:t>
      </w:r>
    </w:p>
    <w:p>
      <w:pPr>
        <w:pStyle w:val="BodyText"/>
      </w:pPr>
      <w:r>
        <w:t xml:space="preserve">(4) Die Protokolle werden nach [7] Tagen gelöscht, sofern sie nicht zur Aufklärung eines konkreten Sicherheitsvorfalls länger benötigt werden.</w:t>
      </w:r>
    </w:p>
    <w:p>
      <w:pPr>
        <w:pStyle w:val="BodyText"/>
      </w:pPr>
      <w:r>
        <w:t xml:space="preserve">(5) Hosting: Website und Plattform werden bei [Hosting-Anbieter], [Anschrift], in einem Rechenzentrum in Deutschland betrieben. Der Hosting-Anbieter verarbeitet die Daten in unserem Auftrag (Art. 28 DSGVO).</w:t>
      </w:r>
    </w:p>
    <w:p>
      <w:pPr>
        <w:pStyle w:val="BodyText"/>
      </w:pPr>
      <w:r>
        <w:t xml:space="preserve">(6) Alle Verbindungen sind mit TLS verschlüsselt.</w:t>
      </w:r>
    </w:p>
    <w:bookmarkEnd w:id="23"/>
    <w:bookmarkStart w:id="24" w:name="X9d12a1e39bb738b981cb348b1b5a34e6a9b783a"/>
    <w:p>
      <w:pPr>
        <w:pStyle w:val="Heading2"/>
      </w:pPr>
      <w:r>
        <w:t xml:space="preserve">5. Lokale Speicherung im Gerät, keine Tracking-Cookies</w:t>
      </w:r>
    </w:p>
    <w:p>
      <w:pPr>
        <w:pStyle w:val="FirstParagraph"/>
      </w:pPr>
      <w:r>
        <w:t xml:space="preserve">(1) Wir verwenden keine Cookies oder vergleichbaren Techniken zu Analyse-, Werbe- oder Trackingzwecken. Gespeichert werden nur Informationen, die für den von Ihnen ausdrücklich gewünschten Dienst unbedingt erforderlich sind: der Sitzungs-Cookie</w:t>
      </w:r>
      <w:r>
        <w:t xml:space="preserve"> </w:t>
      </w:r>
      <w:r>
        <w:rPr>
          <w:rStyle w:val="VerbatimChar"/>
        </w:rPr>
        <w:t xml:space="preserve">lk_sid</w:t>
      </w:r>
      <w:r>
        <w:t xml:space="preserve">, die gewählte Sprache, eine Kopie Ihrer Kontoangaben für den Start ohne Netz, in der Fahrer-App zusätzlich die zuletzt geladenen Touren, die Offline-Warteschlange (Schritte, Notizen, Fotos und Unterschriften, bis sie gesendet sind) und Ihre Entscheidungen zur Fahrsperre, Merker für Push und für eine Abmeldung ohne Netz, die Programmdateien der installierbaren App mit dem öffentlichen Logo des Unternehmens und – nach Ihrer Freigabe – das Push-Abonnement. Beim Abmelden löscht die App die Kontoangaben und Tourdaten auf dem Gerät. Rechtsgrundlage für die Speicherung im Gerät ist § 25 Abs. 2 Nr. 2 TDDDG, für die anschließende Verarbeitung Art. 6 Abs. 1 lit. b bzw. lit. f DSGVO.</w:t>
      </w:r>
    </w:p>
    <w:p>
      <w:pPr>
        <w:pStyle w:val="BodyText"/>
      </w:pPr>
      <w:r>
        <w:t xml:space="preserve">(2) Eine Übersicht mit Name, Zweck und Dauer jedes Eintrags finden Sie im „Hinweis zu lokal gespeicherten Informationen“ unter [Website-URL/speicherhinweis].</w:t>
      </w:r>
    </w:p>
    <w:p>
      <w:pPr>
        <w:pStyle w:val="BodyText"/>
      </w:pPr>
      <w:r>
        <w:t xml:space="preserve">(3) Ein Einwilligungsbanner ist deshalb nicht erforderlich. Für den Zugriff auf den Standort Ihres Geräts holt die App bei Bedarf gesondert eine Einwilligung ein (Ziffer 13).</w:t>
      </w:r>
    </w:p>
    <w:bookmarkEnd w:id="24"/>
    <w:bookmarkStart w:id="25" w:name="Xff462255002ef143b4158e08f40f065c3f2b3cd"/>
    <w:p>
      <w:pPr>
        <w:pStyle w:val="Heading2"/>
      </w:pPr>
      <w:r>
        <w:t xml:space="preserve">6. Keine Analyse-Tools, keine externen Inhalte</w:t>
      </w:r>
    </w:p>
    <w:p>
      <w:pPr>
        <w:pStyle w:val="FirstParagraph"/>
      </w:pPr>
      <w:r>
        <w:t xml:space="preserve">(1) Wir setzen keine Webanalyse, keine Werbenetzwerke, keine Social-Media-Plugins und keine eingebetteten Videos oder Karten ein.</w:t>
      </w:r>
    </w:p>
    <w:p>
      <w:pPr>
        <w:pStyle w:val="BodyText"/>
      </w:pPr>
      <w:r>
        <w:t xml:space="preserve">(2) Schriften werden von unserem eigenen Server geladen. Es findet keine Verbindung zu Google Fonts oder anderen externen Schriftdiensten statt. Dadurch wird Ihre IP-Adresse beim Seitenaufruf nicht an Dritte übermittelt.</w:t>
      </w:r>
    </w:p>
    <w:p>
      <w:pPr>
        <w:pStyle w:val="BodyText"/>
      </w:pPr>
      <w:r>
        <w:t xml:space="preserve">(3) Die Schaltfläche „Navi“ in der Fahrer-App öffnet erst nach Ihrem Tippen einen Kartendienst mit der Zieladresse: auf iPhone und iPad Apple Karten, auf allen anderen Geräten Google Maps. Im Verlauf einer Lieferung öffnet der Link „Standort“ Google Maps mit den gespeicherten Koordinaten, ebenfalls erst nach einem Klick. Für die Verarbeitung dort ist der jeweilige Anbieter verantwortlich.</w:t>
      </w:r>
    </w:p>
    <w:p>
      <w:pPr>
        <w:pStyle w:val="BlockText"/>
      </w:pPr>
      <w:r>
        <w:rPr>
          <w:bCs/>
          <w:b/>
        </w:rPr>
        <w:t xml:space="preserve">Prüfhinweis:</w:t>
      </w:r>
      <w:r>
        <w:t xml:space="preserve"> </w:t>
      </w:r>
      <w:r>
        <w:t xml:space="preserve">Das LG München I hat mit Urteil vom 20.01.2022 (3 O 17493/20) die dynamische Einbindung von Google Fonts ohne Einwilligung wegen der Übermittlung der IP-Adresse an Google für rechtswidrig gehalten und 100 € Schadensersatz nach Art. 82 DSGVO zugesprochen. Die lokale Einbindung vermeidet dieses Risiko. Die spätere massenhafte Abmahnwelle hat dasselbe Gericht als rechtsmissbräuchlich eingeordnet; an der Wertung zur Übermittlung ändert das nichts.</w:t>
      </w:r>
    </w:p>
    <w:bookmarkEnd w:id="25"/>
    <w:bookmarkStart w:id="26" w:name="X761c7467b75a3978fcbd3329802ac78c5ac03db"/>
    <w:p>
      <w:pPr>
        <w:pStyle w:val="Heading2"/>
      </w:pPr>
      <w:r>
        <w:t xml:space="preserve">7. Kontakt per E-Mail, Telefon und Kontaktformular</w:t>
      </w:r>
    </w:p>
    <w:p>
      <w:pPr>
        <w:pStyle w:val="FirstParagraph"/>
      </w:pPr>
      <w:r>
        <w:t xml:space="preserve">(1) Wenn Sie uns kontaktieren, verarbeiten wir Ihre Angaben (Name, Unternehmen, E-Mail, Telefon, Nachricht) zur Bearbeitung Ihrer Anfrage.</w:t>
      </w:r>
    </w:p>
    <w:p>
      <w:pPr>
        <w:pStyle w:val="BodyText"/>
      </w:pPr>
      <w:r>
        <w:t xml:space="preserve">(2) Rechtsgrundlage ist Art. 6 Abs. 1 lit. b DSGVO, soweit Ihre Anfrage auf einen Vertragsschluss gerichtet ist, im Übrigen Art. 6 Abs. 1 lit. f DSGVO (Interesse an der Beantwortung von Anfragen).</w:t>
      </w:r>
    </w:p>
    <w:p>
      <w:pPr>
        <w:pStyle w:val="BodyText"/>
      </w:pPr>
      <w:r>
        <w:t xml:space="preserve">(3) Pflichtfelder sind als solche gekennzeichnet. Ohne diese Angaben können wir die Anfrage nicht bearbeiten.</w:t>
      </w:r>
    </w:p>
    <w:p>
      <w:pPr>
        <w:pStyle w:val="BodyText"/>
      </w:pPr>
      <w:r>
        <w:t xml:space="preserve">(4) Wir löschen die Daten [sechs] Monate nach dem letzten Kontakt, wenn kein Vertrag zustande kommt, und bewahren geschäftliche Korrespondenz länger auf, soweit gesetzliche Aufbewahrungspflichten bestehen (Ziffer 17).</w:t>
      </w:r>
    </w:p>
    <w:bookmarkEnd w:id="26"/>
    <w:bookmarkStart w:id="27" w:name="X9d94d62e9e1b25195ffbb5926ce8b0d8d348124"/>
    <w:p>
      <w:pPr>
        <w:pStyle w:val="Heading2"/>
      </w:pPr>
      <w:r>
        <w:t xml:space="preserve">8. Demo-Anfrage und Online-Demo</w:t>
      </w:r>
    </w:p>
    <w:p>
      <w:pPr>
        <w:pStyle w:val="FirstParagraph"/>
      </w:pPr>
      <w:r>
        <w:t xml:space="preserve">(1) Für eine persönliche Vorführung verarbeiten wir Ihre Angaben aus dem Formular „Demo anfragen“ (Name, Unternehmen, E-Mail, Telefon, Flottengröße, Wunschtermin) zur Terminvereinbarung und Durchführung. Rechtsgrundlage ist Art. 6 Abs. 1 lit. b DSGVO.</w:t>
      </w:r>
    </w:p>
    <w:p>
      <w:pPr>
        <w:pStyle w:val="BodyText"/>
      </w:pPr>
      <w:r>
        <w:t xml:space="preserve">(2) Die Online-Demo läuft mit erfundenen Beispieldaten vollständig in Ihrem Browser; sie sendet nichts an unseren Server. Der Demo-Zustand wird im lokalen Speicher Ihres Browsers abgelegt, bis Sie „Demo zurücksetzen“ wählen oder die Browserdaten löschen; ist er älter als 12 Stunden, baut die Demo beim nächsten Öffnen frische Beispieldaten auf. Die Funktion „Mit zweitem Gerät verbinden“ steht nur zur Verfügung, wenn die Demo in einer Umgebung mit gemeinsamer Datenablage läuft [derzeit nur die als Claude-Artefakt veröffentlichte Demo]. Dann werden die Demodaten unter einem sechsstelligen Raumcode in dieser Ablage gespeichert; eine automatische Löschung nach Zeit gibt es nicht. Bitte geben Sie in der Demo keine echten personenbezogenen Daten ein.</w:t>
      </w:r>
    </w:p>
    <w:p>
      <w:pPr>
        <w:pStyle w:val="BlockText"/>
      </w:pPr>
      <w:r>
        <w:rPr>
          <w:bCs/>
          <w:b/>
        </w:rPr>
        <w:t xml:space="preserve">Prüfhinweis (Technik):</w:t>
      </w:r>
      <w:r>
        <w:t xml:space="preserve"> </w:t>
      </w:r>
      <w:r>
        <w:t xml:space="preserve">Funktionsweise der Live-Synchronisation der Online-Demo (Server-Relay, Speicherdauer) bestätigen. Stand 17.10.2026: Die Synchronisation (</w:t>
      </w:r>
      <w:r>
        <w:rPr>
          <w:rStyle w:val="VerbatimChar"/>
        </w:rPr>
        <w:t xml:space="preserve">web/js/demo-sync.js</w:t>
      </w:r>
      <w:r>
        <w:t xml:space="preserve">) nutzt die Datenablage der Umgebung, in der die Demo veröffentlicht ist (</w:t>
      </w:r>
      <w:r>
        <w:rPr>
          <w:rStyle w:val="VerbatimChar"/>
        </w:rPr>
        <w:t xml:space="preserve">window.claude.use('db')</w:t>
      </w:r>
      <w:r>
        <w:t xml:space="preserve">), nicht den LADEKLAR-Server. Ohne diese Ablage bleibt die Demo lokal. Betreiber, Speicherort und Löschung dieser Ablage vor Veröffentlichung klären und hier angeben; ein Server-Relay mit Löschung nach [24] Stunden gibt es nicht.</w:t>
      </w:r>
    </w:p>
    <w:bookmarkEnd w:id="27"/>
    <w:bookmarkStart w:id="28" w:name="X53a6901317f8973c66f83e1c843f8e2f1812a63"/>
    <w:p>
      <w:pPr>
        <w:pStyle w:val="Heading2"/>
      </w:pPr>
      <w:r>
        <w:t xml:space="preserve">9. Registrierung und Kundenkonto</w:t>
      </w:r>
    </w:p>
    <w:p>
      <w:pPr>
        <w:pStyle w:val="FirstParagraph"/>
      </w:pPr>
      <w:r>
        <w:t xml:space="preserve">(1) Bei der Registrierung für die Testphase und beim Kundenkonto verarbeiten wir Firma, Anschrift, Name des Ansprechpartners, E-Mail-Adresse, Telefonnummer, gewählten Tarif, Firmencode und die Zugangsdaten des ersten Admins (Passwort nur als Hash).</w:t>
      </w:r>
    </w:p>
    <w:p>
      <w:pPr>
        <w:pStyle w:val="BodyText"/>
      </w:pPr>
      <w:r>
        <w:t xml:space="preserve">(2) Zweck ist die Einrichtung und Verwaltung des Kundenkontos, die Kommunikation zum Vertrag und die Prüfung der Unternehmereigenschaft. Rechtsgrundlage ist Art. 6 Abs. 1 lit. b DSGVO.</w:t>
      </w:r>
    </w:p>
    <w:p>
      <w:pPr>
        <w:pStyle w:val="BodyText"/>
      </w:pPr>
      <w:r>
        <w:t xml:space="preserve">(3) Die Daten werden für die Dauer des Vertrags gespeichert und anschließend gelöscht, soweit keine Aufbewahrungspflichten bestehen. Das Startpasswort des ersten Admins zeigt die Plattform einmalig an; bei der ersten Anmeldung muss der Admin ein eigenes Passwort mit mindestens 10 Zeichen vergeben, vorher lehnt die Plattform alle anderen Aktionen ab.</w:t>
      </w:r>
    </w:p>
    <w:bookmarkEnd w:id="28"/>
    <w:bookmarkStart w:id="29" w:name="X7abc9f4bd4b4e088b1e2e87b09164a3dca7fe45"/>
    <w:p>
      <w:pPr>
        <w:pStyle w:val="Heading2"/>
      </w:pPr>
      <w:r>
        <w:t xml:space="preserve">10. Vertragsabwicklung, Abrechnung und Zahlung</w:t>
      </w:r>
    </w:p>
    <w:p>
      <w:pPr>
        <w:pStyle w:val="FirstParagraph"/>
      </w:pPr>
      <w:r>
        <w:t xml:space="preserve">(1) Für die Abrechnung verarbeiten wir Vertrags- und Rechnungsdaten (Tarif, Laufzeit, Rechnungsadresse, USt-IdNr., Rechnungen, Zahlungseingänge), die Lizenz-Historie je Kunde (Status, Tarif, Zahlweise, Zusatzfahrer, Store-App und Laufzeitende mit Zeitpunkt jeder Änderung), Kündigungs- und Tarifwünsche, die der Admin in der Plattform sendet (mit Zeitpunkt, Grund bzw. Notiz), sowie aggregierte Nutzungskennzahlen je Kunde (Anzahl Fahrer, Büro-Zugänge und Fahrzeuge, Lieferungen im Monat und insgesamt, Zeitpunkt der letzten Änderung einer Lieferung, belegter Speicher). Die Kennzahlen enthalten keine Namen und keine Inhalte von Lieferungen.</w:t>
      </w:r>
    </w:p>
    <w:p>
      <w:pPr>
        <w:pStyle w:val="BodyText"/>
      </w:pPr>
      <w:r>
        <w:t xml:space="preserve">(2) Rechtsgrundlagen sind Art. 6 Abs. 1 lit. b DSGVO (Vertragserfüllung) und Art. 6 Abs. 1 lit. c DSGVO in Verbindung mit den handels- und steuerrechtlichen Aufbewahrungspflichten.</w:t>
      </w:r>
    </w:p>
    <w:p>
      <w:pPr>
        <w:pStyle w:val="BodyText"/>
      </w:pPr>
      <w:r>
        <w:t xml:space="preserve">(3) Zahlungen erfolgen per Überweisung oder – falls vereinbart – per SEPA-Lastschrift über [Zahlungsdienstleister], [Anschrift]. Dabei werden Kontoinhaber, IBAN, Mandatsreferenz und Zahlungsbeträge verarbeitet. [Der Zahlungsdienstleister handelt als eigener Verantwortlicher bzw. als Auftragsverarbeiter – zu prüfen.] Rechtsgrundlage ist Art. 6 Abs. 1 lit. b DSGVO.</w:t>
      </w:r>
    </w:p>
    <w:p>
      <w:pPr>
        <w:pStyle w:val="BodyText"/>
      </w:pPr>
      <w:r>
        <w:t xml:space="preserve">(4) Rechnungen und Buchungsbelege bewahren wir acht Jahre auf (§ 147 Abs. 3 AO, § 257 Abs. 4 HGB), Handels- und Geschäftsbriefe sechs Jahre.</w:t>
      </w:r>
    </w:p>
    <w:bookmarkEnd w:id="29"/>
    <w:bookmarkStart w:id="30" w:name="Xddf20f743a83e3e6571ed3d870ff59cd7d1264f"/>
    <w:p>
      <w:pPr>
        <w:pStyle w:val="Heading2"/>
      </w:pPr>
      <w:r>
        <w:t xml:space="preserve">11. Daten, die wir beim Betrieb der Plattform als Verantwortlicher verarbeiten</w:t>
      </w:r>
    </w:p>
    <w:p>
      <w:pPr>
        <w:pStyle w:val="FirstParagraph"/>
      </w:pPr>
      <w:r>
        <w:t xml:space="preserve">(1)</w:t>
      </w:r>
      <w:r>
        <w:t xml:space="preserve"> </w:t>
      </w:r>
      <w:r>
        <w:rPr>
          <w:bCs/>
          <w:b/>
        </w:rPr>
        <w:t xml:space="preserve">Sicherheitsprotokolle:</w:t>
      </w:r>
      <w:r>
        <w:t xml:space="preserve"> </w:t>
      </w:r>
      <w:r>
        <w:t xml:space="preserve">Die Plattform protokolliert jede Anmeldung und jede fehlgeschlagene Anmeldung mit Zeitpunkt, Zugang, Rolle, Grund und IP-Adresse; bei einer unbekannten E-Mail-Adresse oder Handynummer speichert sie die eingegebene Kennung. Anmeldungen der Nutzer eines Kunden stehen im Protokoll dieses Kunden; das verarbeiten wir in seinem Auftrag. Anmeldungen am Lizenzgeber-Zugang, Anmeldeversuche mit einer E-Mail-Adresse, zu der es keinen Zugang gibt, und unsere eigenen Aktionen in der Lizenzgeber-Konsole (z. B. Kunde anlegen, Lizenz ändern, Kunde löschen) speichern wir in einem Protokoll ohne Kundenbezug, um Angriffe zu erkennen und abzuwehren und unsere Vorgänge nachzuweisen. Rechtsgrundlage ist Art. 6 Abs. 1 lit. f DSGVO. Nach 5 Fehlversuchen sperrt die Plattform den Zugang für 15 Minuten, nach 10 für eine Stunde, danach jeweils für 24 Stunden; je IP-Adresse sind höchstens 20 Anmeldeversuche je Minute möglich. IP-Adressen und eingegebene Kennungen entfernt die Plattform nach 90 Tagen automatisch, die Protokolleinträge selbst nach drei Jahren. Betreiben wir die Plattform hinter einem Reverse Proxy, übernimmt sie die IP-Adresse aus der Kopfzeile, die dieser Proxy anhängt.</w:t>
      </w:r>
    </w:p>
    <w:p>
      <w:pPr>
        <w:pStyle w:val="BodyText"/>
      </w:pPr>
      <w:r>
        <w:t xml:space="preserve">(1a)</w:t>
      </w:r>
      <w:r>
        <w:t xml:space="preserve"> </w:t>
      </w:r>
      <w:r>
        <w:rPr>
          <w:bCs/>
          <w:b/>
        </w:rPr>
        <w:t xml:space="preserve">Zwei-Faktor-Anmeldung:</w:t>
      </w:r>
      <w:r>
        <w:t xml:space="preserve"> </w:t>
      </w:r>
      <w:r>
        <w:t xml:space="preserve">Lizenzgeber, Admins und Disponenten können zusätzlich zum Passwort einen 6-stelligen Code aus einer Authenticator-App verlangen lassen (freiwillig). Die Plattform speichert dafür den geheimen Schlüssel, den zuletzt verwendeten Zeitschritt und den Zeitpunkt des Einschaltens; beim Ausschalten löscht sie diese Angaben. Die Authenticator-App selbst wählen Sie; sie läuft auf Ihrem Gerät, wir erhalten von ihr keine Daten. Für Zugänge unserer Kunden geschieht das in deren Auftrag.</w:t>
      </w:r>
    </w:p>
    <w:p>
      <w:pPr>
        <w:pStyle w:val="BodyText"/>
      </w:pPr>
      <w:r>
        <w:t xml:space="preserve">(2)</w:t>
      </w:r>
      <w:r>
        <w:t xml:space="preserve"> </w:t>
      </w:r>
      <w:r>
        <w:rPr>
          <w:bCs/>
          <w:b/>
        </w:rPr>
        <w:t xml:space="preserve">Support-Anfragen</w:t>
      </w:r>
      <w:r>
        <w:t xml:space="preserve"> </w:t>
      </w:r>
      <w:r>
        <w:t xml:space="preserve">von Admins und Disponenten unserer Kunden (Name, E-Mail, Inhalt der Anfrage) verarbeiten wir zur Bearbeitung auf Grundlage von Art. 6 Abs. 1 lit. b DSGVO und löschen sie [zwei] Jahre nach Abschluss des Vorgangs.</w:t>
      </w:r>
    </w:p>
    <w:p>
      <w:pPr>
        <w:pStyle w:val="BodyText"/>
      </w:pPr>
      <w:r>
        <w:t xml:space="preserve">(3)</w:t>
      </w:r>
      <w:r>
        <w:t xml:space="preserve"> </w:t>
      </w:r>
      <w:r>
        <w:rPr>
          <w:bCs/>
          <w:b/>
        </w:rPr>
        <w:t xml:space="preserve">Support-Zugriff:</w:t>
      </w:r>
      <w:r>
        <w:t xml:space="preserve"> </w:t>
      </w:r>
      <w:r>
        <w:t xml:space="preserve">Ein Admin des Kunden kann in der Plattform einen Support-Zugriff für 24 Stunden freigeben und vorzeitig beenden; Freigabe und Ende stehen im Protokoll des Kunden. Die Plattform hat derzeit keinen Support-Modus: Auch mit Freigabe zeigt die Lizenzgeber-Konsole keine Auftragsdaten. Hat sich ein Admin ausgesperrt, können wir auf seine Bitte ein neues Startpasswort erzeugen; die Plattform schaltet dann seine Zwei-Faktor-Anmeldung aus, beendet alle Sitzungen und Push-Abonnements dieses Admins, verlangt bei der nächsten Anmeldung ein eigenes Passwort und vermerkt den Vorgang im Protokoll des Kunden. Wir übermitteln das Startpasswort nur an den Kunden und melden uns damit nicht selbst an. Diese Verarbeitung erfolgt im Auftrag des Kunden.</w:t>
      </w:r>
    </w:p>
    <w:bookmarkEnd w:id="30"/>
    <w:bookmarkStart w:id="31" w:name="X296c3f131ac25d8b2773765040a7c7581a71bc9"/>
    <w:p>
      <w:pPr>
        <w:pStyle w:val="Heading2"/>
      </w:pPr>
      <w:r>
        <w:t xml:space="preserve">12. Push-Benachrichtigungen</w:t>
      </w:r>
    </w:p>
    <w:p>
      <w:pPr>
        <w:pStyle w:val="FirstParagraph"/>
      </w:pPr>
      <w:r>
        <w:t xml:space="preserve">(1) Wenn Sie in der App Benachrichtigungen erlauben, erstellt Ihr Browser ein Push-Abonnement. Wir speichern die Endpunkt-Adresse und den öffentlichen Schlüssel dieses Abonnements, um Ihnen Benachrichtigungen zu senden. Wir nehmen nur Abonnements der Push-Dienste nach Abs. 2 an und speichern höchstens 10 je Person; beim elften fällt das älteste weg.</w:t>
      </w:r>
    </w:p>
    <w:p>
      <w:pPr>
        <w:pStyle w:val="BodyText"/>
      </w:pPr>
      <w:r>
        <w:t xml:space="preserve">(2) Die Zustellung erfolgt über den Push-Dienst, den Ihr Browser bzw. Betriebssystem vorgibt: Google (Chrome und andere Chromium-Browser, Android), Apple (Safari, iOS), Mozilla (Firefox) oder Microsoft (Edge). Die Nachrichteninhalte werden Ende-zu-Ende verschlüsselt; der Push-Dienst erhält die Endpunkt-Adresse, technische Metadaten und die IP-Adressen, nicht aber den Inhalt. Diese Dienste können Daten in den USA verarbeiten. Grundlage ist der Angemessenheitsbeschluss der EU-Kommission zum EU-US Data Privacy Framework (Art. 45 DSGVO), soweit das jeweilige Unternehmen zertifiziert ist, im Übrigen Standardvertragsklauseln (Art. 46 Abs. 2 lit. c DSGVO).</w:t>
      </w:r>
    </w:p>
    <w:p>
      <w:pPr>
        <w:pStyle w:val="BodyText"/>
      </w:pPr>
      <w:r>
        <w:t xml:space="preserve">(3) Die Benachrichtigungen dienen der Information über Lieferungen im Auftrag Ihres Unternehmens. Verantwortlich ist insoweit Ihr Unternehmen; wir handeln als Auftragsverarbeiter.</w:t>
      </w:r>
    </w:p>
    <w:p>
      <w:pPr>
        <w:pStyle w:val="BodyText"/>
      </w:pPr>
      <w:r>
        <w:t xml:space="preserve">(4) Sie können Benachrichtigungen jederzeit mit dem Schalter in der App (Fahrer-App: „Mehr“; Büro: „Mein Konto“) oder in den Einstellungen Ihres Browsers bzw. Geräts abschalten oder sich in der App abmelden. Schalter und Abmelden löschen das Abonnement im Browser und auf unserem Server; ohne Netz holt die App das beim nächsten Kontakt nach. Schalten Sie Benachrichtigungen nur im Browser ab, löscht unser Server das Abonnement, sobald der Push-Dienst es als ungültig meldet. Ändern Sie Ihr Passwort oder bekommen Sie einen neuen PIN bzw. ein neues Passwort, löschen wir alle Ihre Abonnements; auf dem Gerät, auf dem Sie angemeldet sind, richtet die App das Abonnement beim nächsten Start ohne erneute Frage wieder ein, wenn Benachrichtigungen erlaubt sind und Sie den Schalter nicht ausgeschaltet haben. Wird Ihr Zugang gesperrt oder gelöscht, löschen wir auch Ihre Abonnements.</w:t>
      </w:r>
    </w:p>
    <w:bookmarkEnd w:id="31"/>
    <w:bookmarkStart w:id="32" w:name="X2d3303ff6fd131b99e9aba0658ab4ba9c989a2e"/>
    <w:p>
      <w:pPr>
        <w:pStyle w:val="Heading2"/>
      </w:pPr>
      <w:r>
        <w:t xml:space="preserve">13. Standortabfrage in der Fahrer-App</w:t>
      </w:r>
    </w:p>
    <w:p>
      <w:pPr>
        <w:pStyle w:val="FirstParagraph"/>
      </w:pPr>
      <w:r>
        <w:t xml:space="preserve">(1) Die Fahrer-App ortet nicht fortlaufend. Es gibt zwei Funktionen, die Ihr Unternehmen getrennt einschaltet:</w:t>
      </w:r>
    </w:p>
    <w:p>
      <w:pPr>
        <w:numPr>
          <w:ilvl w:val="0"/>
          <w:numId w:val="1002"/>
        </w:numPr>
        <w:pStyle w:val="Compact"/>
      </w:pPr>
      <w:r>
        <w:rPr>
          <w:bCs/>
          <w:b/>
        </w:rPr>
        <w:t xml:space="preserve">Standort beim Statuswechsel</w:t>
      </w:r>
      <w:r>
        <w:t xml:space="preserve"> </w:t>
      </w:r>
      <w:r>
        <w:t xml:space="preserve">(Voreinstellung: aus): Die App fragt den Standort nur beim Tippen auf einen Statusschritt (z. B. „Aufgeladen“) oder beim Melden eines Problems ab und sendet ihn mit dieser Meldung. Unser Server speichert ihn nur, wenn die Funktion eingeschaltet ist und Sie zugestimmt haben, und löscht ihn nach 90 Tagen.</w:t>
      </w:r>
    </w:p>
    <w:p>
      <w:pPr>
        <w:numPr>
          <w:ilvl w:val="0"/>
          <w:numId w:val="1002"/>
        </w:numPr>
        <w:pStyle w:val="Compact"/>
      </w:pPr>
      <w:r>
        <w:rPr>
          <w:bCs/>
          <w:b/>
        </w:rPr>
        <w:t xml:space="preserve">Fahrsperre</w:t>
      </w:r>
      <w:r>
        <w:t xml:space="preserve"> </w:t>
      </w:r>
      <w:r>
        <w:t xml:space="preserve">(Voreinstellung: an): Die App liest die Geschwindigkeit aus dem Standort Ihres Geräts und verdeckt die Knöpfe während der Fahrt. Das geschieht nur im Gerät; die App speichert und sendet den Standort dafür nicht.</w:t>
      </w:r>
    </w:p>
    <w:p>
      <w:pPr>
        <w:pStyle w:val="FirstParagraph"/>
      </w:pPr>
      <w:r>
        <w:t xml:space="preserve">(2) Vor dem ersten Zugriff informiert die App Sie auf der Startseite: Für den Standort beim Statuswechsel fragt sie „Standort beim Status-Tipp teilen?“ mit „Ja, teilen“ oder „Nein, danke“; für die Fahrsperre erklärt sie, dass der Standort weder gespeichert noch gesendet wird, und bietet „Standort freigeben“ oder „Später“ an („Später“ blendet die Frage 7 Tage aus). Anschließend fragt Ihr Gerät die Berechtigung ab. Der Zugriff auf die Standortinformation Ihres Geräts erfolgt auf Grundlage Ihrer Einwilligung (§ 25 Abs. 1 TDDDG). Für die weitere Verarbeitung ist Ihr Unternehmen verantwortlich; Einzelheiten enthalten dessen Datenschutzhinweise für Fahrer.</w:t>
      </w:r>
    </w:p>
    <w:p>
      <w:pPr>
        <w:pStyle w:val="BodyText"/>
      </w:pPr>
      <w:r>
        <w:t xml:space="preserve">(3) Sie können die Einwilligung jederzeit widerrufen: die Zustimmung zum Speichern in der App unter „Mehr“ (Schalter „Standort beim Status-Tipp teilen“), die Standortberechtigung insgesamt in den Einstellungen Ihres Geräts bzw. Browsers. Die App funktioniert dann ohne Standort; die Fahrsperre ist dann aus.</w:t>
      </w:r>
    </w:p>
    <w:bookmarkEnd w:id="32"/>
    <w:bookmarkStart w:id="33" w:name="X73648d0ad076c1005504a7f45f6cf4c4c1ab822"/>
    <w:p>
      <w:pPr>
        <w:pStyle w:val="Heading2"/>
      </w:pPr>
      <w:r>
        <w:t xml:space="preserve">14. System-E-Mails</w:t>
      </w:r>
    </w:p>
    <w:p>
      <w:pPr>
        <w:pStyle w:val="FirstParagraph"/>
      </w:pPr>
      <w:r>
        <w:t xml:space="preserve">Die Plattform versendet derzeit keine E-Mails. Startpasswörter, PINs und Einladungslinks zeigt sie einmalig auf dem Bildschirm an; die Weitergabe übernimmt der Admin des Kunden bzw. bei der Einrichtung eines Kunden wir selbst, z. B. telefonisch oder über unser eigenes E-Mail-Programm. [Falls künftig ein Versanddienst eingesetzt wird: Einladungen und Hinweise zum Konto versenden wir über [E-Mail-Versanddienst], [Anschrift], mit Servern in [EU/Deutschland]. Der Dienst handelt als Auftragsverarbeiter. Rechtsgrundlage ist Art. 6 Abs. 1 lit. b DSGVO.]</w:t>
      </w:r>
    </w:p>
    <w:bookmarkEnd w:id="33"/>
    <w:bookmarkStart w:id="34" w:name="Xd837c939941656ba77a3dbe9ce12670c34baede"/>
    <w:p>
      <w:pPr>
        <w:pStyle w:val="Heading2"/>
      </w:pPr>
      <w:r>
        <w:t xml:space="preserve">15. Referenznennung</w:t>
      </w:r>
    </w:p>
    <w:p>
      <w:pPr>
        <w:pStyle w:val="FirstParagraph"/>
      </w:pPr>
      <w:r>
        <w:t xml:space="preserve">Mit Firma und Logo nennen wir Kunden als Referenz, soweit sie nicht widersprochen haben (§ 25 AGB). Ist der Kunde eine natürliche Person (z. B. Einzelunternehmer), ist Rechtsgrundlage Art. 6 Abs. 1 lit. f DSGVO; Sie können jederzeit widersprechen.</w:t>
      </w:r>
    </w:p>
    <w:bookmarkEnd w:id="34"/>
    <w:bookmarkStart w:id="35" w:name="X11b5ec78024a22300d4ce8d9477e4d8ded85bb8"/>
    <w:p>
      <w:pPr>
        <w:pStyle w:val="Heading2"/>
      </w:pPr>
      <w:r>
        <w:t xml:space="preserve">16. Store-Apps</w:t>
      </w:r>
    </w:p>
    <w:p>
      <w:pPr>
        <w:pStyle w:val="FirstParagraph"/>
      </w:pPr>
      <w:r>
        <w:t xml:space="preserve">Wird LADEKLAR als App über den Apple App Store oder Google Play bezogen, verarbeiten Apple bzw. Google beim Herunterladen Daten in eigener Verantwortung (z. B. Konto, Gerät, Zahlungsdaten). Hierauf haben wir keinen Einfluss. Es gelten die Datenschutzbestimmungen von Apple bzw. Google. Eine White-Label-App wird im Namen des jeweiligen Unternehmens veröffentlicht; dessen Datenschutzerklärung ist im Store verlinkt.</w:t>
      </w:r>
    </w:p>
    <w:bookmarkEnd w:id="35"/>
    <w:bookmarkStart w:id="36" w:name="X0c1f497104c470588a097a2cd6f783f6a1b1310"/>
    <w:p>
      <w:pPr>
        <w:pStyle w:val="Heading2"/>
      </w:pPr>
      <w:r>
        <w:t xml:space="preserve">17. Speicherdauer im Überblick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Daten</w:t>
            </w:r>
          </w:p>
        </w:tc>
        <w:tc>
          <w:tcPr/>
          <w:p>
            <w:pPr>
              <w:pStyle w:val="Compact"/>
              <w:jc w:val="left"/>
            </w:pPr>
            <w:r>
              <w:t xml:space="preserve">Speicherdauer</w:t>
            </w:r>
          </w:p>
        </w:tc>
      </w:tr>
      <w:tr>
        <w:tc>
          <w:tcPr/>
          <w:p>
            <w:pPr>
              <w:pStyle w:val="Compact"/>
              <w:jc w:val="left"/>
            </w:pPr>
            <w:r>
              <w:t xml:space="preserve">Zugriffsprotokolle des vorgeschalteten Webservers mit IP-Adresse</w:t>
            </w:r>
          </w:p>
        </w:tc>
        <w:tc>
          <w:tcPr/>
          <w:p>
            <w:pPr>
              <w:pStyle w:val="Compact"/>
              <w:jc w:val="left"/>
            </w:pPr>
            <w:r>
              <w:t xml:space="preserve">[7] Tage</w:t>
            </w:r>
          </w:p>
        </w:tc>
      </w:tr>
      <w:tr>
        <w:tc>
          <w:tcPr/>
          <w:p>
            <w:pPr>
              <w:pStyle w:val="Compact"/>
              <w:jc w:val="left"/>
            </w:pPr>
            <w:r>
              <w:t xml:space="preserve">IP-Adressen und eingegebene Kennungen in Anmeldeprotokollen</w:t>
            </w:r>
          </w:p>
        </w:tc>
        <w:tc>
          <w:tcPr/>
          <w:p>
            <w:pPr>
              <w:pStyle w:val="Compact"/>
              <w:jc w:val="left"/>
            </w:pPr>
            <w:r>
              <w:t xml:space="preserve">90 Tage</w:t>
            </w:r>
          </w:p>
        </w:tc>
      </w:tr>
      <w:tr>
        <w:tc>
          <w:tcPr/>
          <w:p>
            <w:pPr>
              <w:pStyle w:val="Compact"/>
              <w:jc w:val="left"/>
            </w:pPr>
            <w:r>
              <w:t xml:space="preserve">Schlüssel der Zwei-Faktor-Anmeldung</w:t>
            </w:r>
          </w:p>
        </w:tc>
        <w:tc>
          <w:tcPr/>
          <w:p>
            <w:pPr>
              <w:pStyle w:val="Compact"/>
              <w:jc w:val="left"/>
            </w:pPr>
            <w:r>
              <w:t xml:space="preserve">bis zum Ausschalten, zum Zurücksetzen des Passworts oder zum Löschen des Zugangs</w:t>
            </w:r>
          </w:p>
        </w:tc>
      </w:tr>
      <w:tr>
        <w:tc>
          <w:tcPr/>
          <w:p>
            <w:pPr>
              <w:pStyle w:val="Compact"/>
              <w:jc w:val="left"/>
            </w:pPr>
            <w:r>
              <w:t xml:space="preserve">Sicherheitsprotokolle ohne IP-Adresse</w:t>
            </w:r>
          </w:p>
        </w:tc>
        <w:tc>
          <w:tcPr/>
          <w:p>
            <w:pPr>
              <w:pStyle w:val="Compact"/>
              <w:jc w:val="left"/>
            </w:pPr>
            <w:r>
              <w:t xml:space="preserve">3 Jahre</w:t>
            </w:r>
          </w:p>
        </w:tc>
      </w:tr>
      <w:tr>
        <w:tc>
          <w:tcPr/>
          <w:p>
            <w:pPr>
              <w:pStyle w:val="Compact"/>
              <w:jc w:val="left"/>
            </w:pPr>
            <w:r>
              <w:t xml:space="preserve">Kontakt- und Demo-Anfragen ohne Vertragsschluss</w:t>
            </w:r>
          </w:p>
        </w:tc>
        <w:tc>
          <w:tcPr/>
          <w:p>
            <w:pPr>
              <w:pStyle w:val="Compact"/>
              <w:jc w:val="left"/>
            </w:pPr>
            <w:r>
              <w:t xml:space="preserve">[6] Monate nach letztem Kontakt</w:t>
            </w:r>
          </w:p>
        </w:tc>
      </w:tr>
      <w:tr>
        <w:tc>
          <w:tcPr/>
          <w:p>
            <w:pPr>
              <w:pStyle w:val="Compact"/>
              <w:jc w:val="left"/>
            </w:pPr>
            <w:r>
              <w:t xml:space="preserve">Kundenkonto</w:t>
            </w:r>
          </w:p>
        </w:tc>
        <w:tc>
          <w:tcPr/>
          <w:p>
            <w:pPr>
              <w:pStyle w:val="Compact"/>
              <w:jc w:val="left"/>
            </w:pPr>
            <w:r>
              <w:t xml:space="preserve">Vertragsdauer, danach Löschung soweit keine Aufbewahrungspflicht</w:t>
            </w:r>
          </w:p>
        </w:tc>
      </w:tr>
      <w:tr>
        <w:tc>
          <w:tcPr/>
          <w:p>
            <w:pPr>
              <w:pStyle w:val="Compact"/>
              <w:jc w:val="left"/>
            </w:pPr>
            <w:r>
              <w:t xml:space="preserve">Support-Vorgänge</w:t>
            </w:r>
          </w:p>
        </w:tc>
        <w:tc>
          <w:tcPr/>
          <w:p>
            <w:pPr>
              <w:pStyle w:val="Compact"/>
              <w:jc w:val="left"/>
            </w:pPr>
            <w:r>
              <w:t xml:space="preserve">[2] Jahre nach Abschluss</w:t>
            </w:r>
          </w:p>
        </w:tc>
      </w:tr>
      <w:tr>
        <w:tc>
          <w:tcPr/>
          <w:p>
            <w:pPr>
              <w:pStyle w:val="Compact"/>
              <w:jc w:val="left"/>
            </w:pPr>
            <w:r>
              <w:t xml:space="preserve">Rechnungen, Buchungsbelege</w:t>
            </w:r>
          </w:p>
        </w:tc>
        <w:tc>
          <w:tcPr/>
          <w:p>
            <w:pPr>
              <w:pStyle w:val="Compact"/>
              <w:jc w:val="left"/>
            </w:pPr>
            <w:r>
              <w:t xml:space="preserve">8 Jahre (§ 147 Abs. 3 AO, § 257 Abs. 4 HGB)</w:t>
            </w:r>
          </w:p>
        </w:tc>
      </w:tr>
      <w:tr>
        <w:tc>
          <w:tcPr/>
          <w:p>
            <w:pPr>
              <w:pStyle w:val="Compact"/>
              <w:jc w:val="left"/>
            </w:pPr>
            <w:r>
              <w:t xml:space="preserve">Handels- und Geschäftsbriefe</w:t>
            </w:r>
          </w:p>
        </w:tc>
        <w:tc>
          <w:tcPr/>
          <w:p>
            <w:pPr>
              <w:pStyle w:val="Compact"/>
              <w:jc w:val="left"/>
            </w:pPr>
            <w:r>
              <w:t xml:space="preserve">6 Jahre</w:t>
            </w:r>
          </w:p>
        </w:tc>
      </w:tr>
      <w:tr>
        <w:tc>
          <w:tcPr/>
          <w:p>
            <w:pPr>
              <w:pStyle w:val="Compact"/>
              <w:jc w:val="left"/>
            </w:pPr>
            <w:r>
              <w:t xml:space="preserve">Demodaten bei Geräte-Synchronisation</w:t>
            </w:r>
          </w:p>
        </w:tc>
        <w:tc>
          <w:tcPr/>
          <w:p>
            <w:pPr>
              <w:pStyle w:val="Compact"/>
              <w:jc w:val="left"/>
            </w:pPr>
            <w:r>
              <w:t xml:space="preserve">[keine automatische Löschung; siehe Ziffer 8]</w:t>
            </w:r>
          </w:p>
        </w:tc>
      </w:tr>
    </w:tbl>
    <w:p>
      <w:pPr>
        <w:pStyle w:val="BodyText"/>
      </w:pPr>
      <w:r>
        <w:t xml:space="preserve">Fristen für Aufbewahrungspflichten beginnen mit dem Ende des Kalenderjahres, in dem die Unterlage entstanden ist.</w:t>
      </w:r>
    </w:p>
    <w:bookmarkEnd w:id="36"/>
    <w:bookmarkStart w:id="37" w:name="Xa910eb9250d1d6339ca50bec9904ea0fa1cb6d5"/>
    <w:p>
      <w:pPr>
        <w:pStyle w:val="Heading2"/>
      </w:pPr>
      <w:r>
        <w:t xml:space="preserve">18. Empfänger</w:t>
      </w:r>
    </w:p>
    <w:p>
      <w:pPr>
        <w:pStyle w:val="FirstParagraph"/>
      </w:pPr>
      <w:r>
        <w:t xml:space="preserve">Empfänger Ihrer Daten sind unsere Auftragsverarbeiter (Hosting, Datensicherung [, E-Mail-Versand, falls eingesetzt]), die Push-Dienste nach Ziffer 12, [Zahlungsdienstleister], unsere Steuerberatung (Berufsgeheimnisträger) sowie Behörden, soweit wir gesetzlich dazu verpflichtet sind. Eine Weitergabe zu Werbezwecken findet nicht statt.</w:t>
      </w:r>
    </w:p>
    <w:bookmarkEnd w:id="37"/>
    <w:bookmarkStart w:id="38" w:name="X530b806de9040c9bc3ca7ca2e72bf7e105ca168"/>
    <w:p>
      <w:pPr>
        <w:pStyle w:val="Heading2"/>
      </w:pPr>
      <w:r>
        <w:t xml:space="preserve">19. Übermittlung in Drittländer</w:t>
      </w:r>
    </w:p>
    <w:p>
      <w:pPr>
        <w:pStyle w:val="FirstParagraph"/>
      </w:pPr>
      <w:r>
        <w:t xml:space="preserve">Eine Übermittlung in Länder außerhalb der EU bzw. des EWR findet nur im Zusammenhang mit Push-Benachrichtigungen statt (Ziffer 12). Alle übrigen Daten verarbeiten wir in Deutschland [bzw. in der EU].</w:t>
      </w:r>
    </w:p>
    <w:bookmarkEnd w:id="38"/>
    <w:bookmarkStart w:id="39" w:name="Xfcf2d42e65d7febbd4638e86ecb574c115a58d7"/>
    <w:p>
      <w:pPr>
        <w:pStyle w:val="Heading2"/>
      </w:pPr>
      <w:r>
        <w:t xml:space="preserve">20. Ihre Rechte</w:t>
      </w:r>
    </w:p>
    <w:p>
      <w:pPr>
        <w:pStyle w:val="FirstParagraph"/>
      </w:pPr>
      <w:r>
        <w:t xml:space="preserve">Sie haben nach Maßgabe der gesetzlichen Voraussetzungen das Recht auf</w:t>
      </w:r>
    </w:p>
    <w:p>
      <w:pPr>
        <w:numPr>
          <w:ilvl w:val="0"/>
          <w:numId w:val="1003"/>
        </w:numPr>
        <w:pStyle w:val="Compact"/>
      </w:pPr>
      <w:r>
        <w:t xml:space="preserve">Auskunft (Art. 15 DSGVO),</w:t>
      </w:r>
    </w:p>
    <w:p>
      <w:pPr>
        <w:numPr>
          <w:ilvl w:val="0"/>
          <w:numId w:val="1003"/>
        </w:numPr>
        <w:pStyle w:val="Compact"/>
      </w:pPr>
      <w:r>
        <w:t xml:space="preserve">Berichtigung (Art. 16 DSGVO),</w:t>
      </w:r>
    </w:p>
    <w:p>
      <w:pPr>
        <w:numPr>
          <w:ilvl w:val="0"/>
          <w:numId w:val="1003"/>
        </w:numPr>
        <w:pStyle w:val="Compact"/>
      </w:pPr>
      <w:r>
        <w:t xml:space="preserve">Löschung (Art. 17 DSGVO),</w:t>
      </w:r>
    </w:p>
    <w:p>
      <w:pPr>
        <w:numPr>
          <w:ilvl w:val="0"/>
          <w:numId w:val="1003"/>
        </w:numPr>
        <w:pStyle w:val="Compact"/>
      </w:pPr>
      <w:r>
        <w:t xml:space="preserve">Einschränkung der Verarbeitung (Art. 18 DSGVO),</w:t>
      </w:r>
    </w:p>
    <w:p>
      <w:pPr>
        <w:numPr>
          <w:ilvl w:val="0"/>
          <w:numId w:val="1003"/>
        </w:numPr>
        <w:pStyle w:val="Compact"/>
      </w:pPr>
      <w:r>
        <w:t xml:space="preserve">Datenübertragbarkeit (Art. 20 DSGVO),</w:t>
      </w:r>
    </w:p>
    <w:p>
      <w:pPr>
        <w:numPr>
          <w:ilvl w:val="0"/>
          <w:numId w:val="1003"/>
        </w:numPr>
        <w:pStyle w:val="Compact"/>
      </w:pPr>
      <w:r>
        <w:t xml:space="preserve">Widerruf einer Einwilligung mit Wirkung für die Zukunft (Art. 7 Abs. 3 DSGVO).</w:t>
      </w:r>
    </w:p>
    <w:p>
      <w:pPr>
        <w:pStyle w:val="FirstParagraph"/>
      </w:pPr>
      <w:r>
        <w:t xml:space="preserve">Wenden Sie sich dazu an [Datenschutz-E-Mail]. Betreffen Ihre Anliegen Daten in der Plattform, die ein Unternehmen verantwortet, leiten wir Ihre Anfrage an dieses Unternehmen weiter.</w:t>
      </w:r>
    </w:p>
    <w:bookmarkEnd w:id="39"/>
    <w:bookmarkStart w:id="40" w:name="X36beaf571ad8c0d615fbd1aa134c2ca8f288943"/>
    <w:p>
      <w:pPr>
        <w:pStyle w:val="Heading2"/>
      </w:pPr>
      <w:r>
        <w:t xml:space="preserve">21. Widerspruchsrecht</w:t>
      </w:r>
    </w:p>
    <w:p>
      <w:pPr>
        <w:pStyle w:val="FirstParagraph"/>
      </w:pPr>
      <w:r>
        <w:rPr>
          <w:bCs/>
          <w:b/>
        </w:rPr>
        <w:t xml:space="preserve">Soweit wir Ihre Daten auf Grundlage von Art. 6 Abs. 1 lit. f DSGVO verarbeiten, haben Sie das Recht, aus Gründen, die sich aus Ihrer besonderen Situation ergeben, jederzeit Widerspruch einzulegen (Art. 21 Abs. 1 DSGVO). Wir verarbeiten die Daten dann nicht mehr, es sei denn, wir können zwingende schutzwürdige Gründe nachweisen, die Ihre Interessen überwiegen, oder die Verarbeitung dient der Geltendmachung, Ausübung oder Verteidigung von Rechtsansprüchen.</w:t>
      </w:r>
    </w:p>
    <w:bookmarkEnd w:id="40"/>
    <w:bookmarkStart w:id="41" w:name="X7726663de24d91e7da27589b2279451e6f080c1"/>
    <w:p>
      <w:pPr>
        <w:pStyle w:val="Heading2"/>
      </w:pPr>
      <w:r>
        <w:t xml:space="preserve">22. Beschwerderecht</w:t>
      </w:r>
    </w:p>
    <w:p>
      <w:pPr>
        <w:pStyle w:val="FirstParagraph"/>
      </w:pPr>
      <w:r>
        <w:t xml:space="preserve">Sie haben das Recht, sich bei einer Datenschutz-Aufsichtsbehörde zu beschweren (Art. 77 DSGVO), insbesondere in dem Mitgliedstaat Ihres Aufenthaltsorts, Ihres Arbeitsplatzes oder des Orts des mutmaßlichen Verstoßes. Für uns zuständig ist [Name der Landesdatenschutzbehörde], [Anschrift], [Website].</w:t>
      </w:r>
    </w:p>
    <w:bookmarkEnd w:id="41"/>
    <w:bookmarkStart w:id="42" w:name="X60416ec4bc4c0f5893142fd532525be0d673abc"/>
    <w:p>
      <w:pPr>
        <w:pStyle w:val="Heading2"/>
      </w:pPr>
      <w:r>
        <w:t xml:space="preserve">23. Pflicht zur Bereitstellung, keine automatisierte Entscheidung</w:t>
      </w:r>
    </w:p>
    <w:p>
      <w:pPr>
        <w:pStyle w:val="FirstParagraph"/>
      </w:pPr>
      <w:r>
        <w:t xml:space="preserve">Die Bereitstellung Ihrer Daten ist weder gesetzlich noch vertraglich vorgeschrieben. Ohne die als Pflichtangaben gekennzeichneten Daten können wir Anfragen nicht bearbeiten und keinen Vertrag schließen. Eine automatisierte Entscheidungsfindung einschließlich Profiling nach Art. 22 DSGVO findet nicht statt.</w:t>
      </w:r>
    </w:p>
    <w:bookmarkEnd w:id="42"/>
    <w:bookmarkStart w:id="43" w:name="Xfb68e1b6f6c62981b57f12cab631c28a033217f"/>
    <w:p>
      <w:pPr>
        <w:pStyle w:val="Heading2"/>
      </w:pPr>
      <w:r>
        <w:t xml:space="preserve">24. Änderungen</w:t>
      </w:r>
    </w:p>
    <w:p>
      <w:pPr>
        <w:pStyle w:val="FirstParagraph"/>
      </w:pPr>
      <w:r>
        <w:t xml:space="preserve">Wir passen diese Datenschutzerklärung an, wenn sich unsere Verarbeitung oder die Rechtslage ändert. Es gilt die jeweils hier veröffentlichte Fassung.</w:t>
      </w:r>
    </w:p>
    <w:p>
      <w:pPr>
        <w:pStyle w:val="BodyText"/>
      </w:pPr>
      <w:r>
        <w:t xml:space="preserve">Stand: [Datum]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2026-10-17T05:37:42Z</dcterms:created>
  <dcterms:modified xsi:type="dcterms:W3CDTF">2026-10-17T05:37:42Z</dcterms:modified>
</cp:coreProperties>
</file>

<file path=docProps/custom.xml><?xml version="1.0" encoding="utf-8"?>
<Properties xmlns="http://schemas.openxmlformats.org/officeDocument/2006/custom-properties" xmlns:vt="http://schemas.openxmlformats.org/officeDocument/2006/docPropsVTypes"/>
</file>