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D1A40">
      <w:pPr>
        <w:widowControl/>
        <w:spacing w:after="140"/>
        <w:jc w:val="center"/>
      </w:pPr>
      <w:r>
        <w:rPr>
          <w:rFonts w:ascii="Times New Roman" w:hAnsi="Times New Roman" w:eastAsia="Times New Roman"/>
          <w:b/>
          <w:sz w:val="30"/>
        </w:rPr>
        <w:t>Reliable Evaluation of Semantic-Coherence Failures in Generated Text: Human Annotation, Computational Recovery, and LLM-Judge Sensitivity</w:t>
      </w:r>
    </w:p>
    <w:p>
      <w:pPr>
        <w:spacing w:before="40" w:after="80"/>
        <w:jc w:val="center"/>
      </w:pPr>
      <w:r>
        <w:rPr>
          <w:rFonts w:ascii="Times New Roman" w:hAnsi="Times New Roman"/>
          <w:b/>
          <w:sz w:val="21"/>
        </w:rPr>
        <w:t>Fatma S. Gadelrab¹ · Ahmed M. Abdelmoniem² · Ikram Ullah³ · Wesam El-Sayed⁴ · Mahdi Duris⁵ · Wirdatul Khasanah⁶</w:t>
      </w:r>
    </w:p>
    <w:p>
      <w:pPr>
        <w:spacing w:before="40" w:after="80"/>
        <w:jc w:val="center"/>
      </w:pPr>
      <w:r>
        <w:rPr>
          <w:rFonts w:ascii="Times New Roman" w:hAnsi="Times New Roman"/>
          <w:b w:val="0"/>
          <w:color w:val="4B5563"/>
          <w:sz w:val="18"/>
        </w:rPr>
        <w:t>¹ Faculty of Computers and Artificial Intelligence, Matrouh University, Matrouh, Egypt</w:t>
      </w:r>
    </w:p>
    <w:p>
      <w:pPr>
        <w:spacing w:before="40" w:after="80"/>
        <w:jc w:val="center"/>
      </w:pPr>
      <w:r>
        <w:rPr>
          <w:rFonts w:ascii="Times New Roman" w:hAnsi="Times New Roman"/>
          <w:b w:val="0"/>
          <w:color w:val="4B5563"/>
          <w:sz w:val="18"/>
        </w:rPr>
        <w:t>² School of Electronic Engineering and Computer Science, Queen Mary University of London, London, United Kingdom</w:t>
      </w:r>
    </w:p>
    <w:p>
      <w:pPr>
        <w:jc w:val="center"/>
      </w:pPr>
      <w:r>
        <w:t>³ Department of English Linguistics and Literature, Riphah International University, Pakistan</w:t>
      </w:r>
    </w:p>
    <w:p>
      <w:pPr>
        <w:jc w:val="center"/>
      </w:pPr>
      <w:r>
        <w:t>⁴ Department of English, Faculty of Al-Alsun, Minia University, Minia, Egypt</w:t>
      </w:r>
    </w:p>
    <w:p>
      <w:pPr>
        <w:jc w:val="center"/>
      </w:pPr>
      <w:r>
        <w:t>⁵ University of Tabuk, Tabuk, Saudi Arabia</w:t>
      </w:r>
    </w:p>
    <w:p>
      <w:pPr>
        <w:jc w:val="center"/>
      </w:pPr>
      <w:r>
        <w:t>⁶ English Literature, Universitas Negeri Surabaya (UNESA), Indonesia</w:t>
      </w:r>
    </w:p>
    <w:p w14:paraId="1C91F3CF">
      <w:pPr>
        <w:pStyle w:val="2"/>
        <w:keepNext/>
        <w:keepLines/>
      </w:pPr>
      <w:r>
        <w:rPr>
          <w:color w:val="000000"/>
        </w:rPr>
        <w:t>Abstract</w:t>
      </w:r>
    </w:p>
    <w:p w14:paraId="4E3F0CB7">
      <w:pPr>
        <w:widowControl/>
        <w:spacing w:after="80"/>
      </w:pPr>
      <w:r>
        <w:t>Reliable assessment of semantic-coherence failures in generated text requires a defensible human reference and stable automated judgments. We analyse three rule-linked annotation fields—linguistic mechanism, authorised-evidence-relative grounding involvement, and task-relative ordinal severity—in a deliberately elicited, task-balanced corpus of 720 outputs from 120 prompt clusters and six generation checkpoints. Three trained annotators produced 2,160 locked pre-resolution ratings. Krippendorff’s α was .703 for fine-grained labels, .731 for collapsed families, .723 for grounding boundaries, and .784 for full-sample ordinal severity; it decreased to .528 for severity within the majority-failure subset. Four workflow-adjudicated operational targets were assessed using prompt-grouped evaluation; T2–T4 were GOLD-defined conditional diagnosis tasks rather than end-to-end detection tasks. Under reference Condition C, ModernBERT achieved macro-F1 scores of .655/.777/.791/.637 across T1–T4. Post-hoc prompt-and-generator blocking reduced these to .591/.671/.682/.573, compared with five-repeat size-matched means of .630/.749/.781/.644. Archived constrained next-token forced-choice rubric perturbations and completed FP16 judge audits showed substantial decision-protocol sensitivity and uneven category recovery: Mistral recovered only 3 of 178 grounding-involved T2 cases, while Qwen assigned no T4 case to the intermediate severity category. Case-paired tests further showed that reassigning answer codes or reordering options changed judgments without changing the cases or reference labels. These findings support a staged, within-corpus audit of a predefined operational annotation procedure, conditional label recoverability, and answer-format stability. Pooled agreement does not validate each sparse fine label, and the workflow-adjudicated reference is not an independent criterion. The results do not establish external transportability, causal mechanisms, or model-family rankings.</w:t>
      </w:r>
      <w:r>
        <w:t xml:space="preserve"> A subsequent raw-case verification reproduced all 60 exploratory GEE adjusted odds ratios and coefficient p-values to floating-point precision and reproduced all 60 class-standardised, Prompt_ID-cluster bootstrap intervals using 2,500 replicates; this checks computational reproducibility, not inferential validity or judge invariance.</w:t>
      </w:r>
    </w:p>
    <w:p>
      <w:r>
        <w:rPr>
          <w:b/>
        </w:rPr>
        <w:t xml:space="preserve">Post-hoc robustness finding. </w:t>
      </w:r>
      <w:r>
        <w:t>Two follow-up checks support the protocol-dependence interpretation without changing the frozen research questions or original M0–M4 estimates. The sparse-event audit identified three Qwen–T1–E2/rot1 GEE specifications based on the same 15 changed decisions, none of which had a nominal Wald OR interval excluding unity. A separate standardized T1 binary judge run on 720 GOLD-linked cases returned macro-F1 of 0.7497 for Qwen and 0.4843 for Mistral. These descriptive, template-dependent observations do not establish a controlled model-family comparison. A subsequent archived-input audit resolved the T1 input-serialization discrepancy: 2,880/2,880 SHA-256 reconstructions matched, and a single newline in the final rubric instructions was sufficient to reproduce the cross-protocol input-hash differences. This provenance finding does not causally explain prediction changes.</w:t>
      </w:r>
    </w:p>
    <w:p w14:paraId="58D799B3">
      <w:pPr>
        <w:widowControl/>
        <w:spacing w:after="80"/>
      </w:pPr>
      <w:r>
        <w:t>Keywords: semantic coherence; information-quality assessment; generated-text evaluation; small language models; human annotation; LLM-as-a-judge.</w:t>
      </w:r>
    </w:p>
    <w:p w14:paraId="14F1A0C0">
      <w:pPr>
        <w:spacing w:after="20"/>
      </w:pPr>
    </w:p>
    <w:p w14:paraId="2BCADBCF">
      <w:pPr>
        <w:pStyle w:val="2"/>
        <w:keepNext/>
        <w:keepLines/>
      </w:pPr>
      <w:r>
        <w:rPr>
          <w:color w:val="000000"/>
        </w:rPr>
        <w:t>1. Introduction</w:t>
      </w:r>
    </w:p>
    <w:p w14:paraId="6C419EBD">
      <w:pPr>
        <w:pStyle w:val="3"/>
        <w:keepNext/>
        <w:keepLines/>
      </w:pPr>
      <w:r>
        <w:rPr>
          <w:color w:val="000000"/>
        </w:rPr>
        <w:t>1.1 Problem and motivation</w:t>
      </w:r>
    </w:p>
    <w:p w14:paraId="58BA4C7A">
      <w:pPr>
        <w:widowControl/>
        <w:spacing w:after="80"/>
      </w:pPr>
      <w:r>
        <w:t>Fluent generated text can still drift from the active question, break causal or inferential continuity, destabilise reference, shift term sense, contradict visible context, or add unsupported content. These failures matter across generation systems. We examine them in a diagnostically balanced corpus of outputs from six purposively selected small language model checkpoints; the study does not compare model-size classes.</w:t>
      </w:r>
      <w:r>
        <w:rPr>
          <w:rFonts w:hint="default"/>
          <w:lang w:val="en-US"/>
        </w:rPr>
      </w:r>
      <w:r/>
    </w:p>
    <w:p w14:paraId="79CBB1F1">
      <w:pPr>
        <w:widowControl/>
        <w:spacing w:after="80"/>
      </w:pPr>
      <w:r>
        <w:t>Evaluation must therefore ask not only whether a response is acceptable overall, but which relation failed, whether grounding evidence is implicated, and how strongly the failure impairs the requested task. Broad quality scores remain useful, yet they do not by themselves localise these mechanisms. Recent work has emphasised fine-grained and multi-protocol evaluator design (Gao et al., 2025; Li &amp; Sun, 2026), prompt and sampling sensitivity (Huang et al., 2026), and human-in-the-loop validation in information-processing settings (Tsaneva et al., 2025). Together, these strands make both the human reference layer and the evaluator protocol part of the measurement problem.</w:t>
      </w:r>
    </w:p>
    <w:p w14:paraId="61E2D3B7">
      <w:pPr>
        <w:widowControl/>
        <w:spacing w:after="80"/>
      </w:pPr>
      <w:r>
        <w:t>We therefore approach semantic-coherence evaluation through a linked measurement and computational-recovery workflow: document how reproducibly trained linguists apply the predefined codebook, assess recovery of the separately adjudicated operational reference under specified evidence and split conditions, and audit how stable automated decisions remain under selected evaluation-protocol changes. This is an overview of the analytical workflow, not a separate set of research questions. The original research questions and the later exploratory audits are distinguished in Section 1.4; linguistic analysis supplies the diagnostic definitions used throughout (Opitz et al., 2025).</w:t>
      </w:r>
    </w:p>
    <w:p w14:paraId="5422706F">
      <w:pPr>
        <w:pStyle w:val="3"/>
        <w:keepNext/>
        <w:keepLines/>
      </w:pPr>
      <w:r>
        <w:rPr>
          <w:color w:val="000000"/>
        </w:rPr>
        <w:t>1.2 Conceptual definition and scope</w:t>
      </w:r>
    </w:p>
    <w:p w14:paraId="767E53B8">
      <w:pPr>
        <w:widowControl/>
        <w:spacing w:after="80"/>
      </w:pPr>
      <w:r>
        <w:t>A semantic coherence failure is operationally defined as an observable disruption in a discourse-level or task-relative relation: topic/Question Under Discussion (QUD) trajectory, causal or inferential continuity, response-goal alignment, rhetorical organisation, local-to-global integration, discourse reference, or term-sense stability. Grounding is coded on a separate axis as semantic-only, hallucination-only relative to an authorised visible anchor, overlap, or no failure. Functional severity is rated on a separate 0–3 axis. These are operational measurement axes, not a claim that all labels form one uniform semantic ontology. Their separation is analytical and operational; it does not imply statistical independence or orthogonal latent constructs.</w:t>
      </w:r>
    </w:p>
    <w:p w14:paraId="44A3DA48">
      <w:pPr>
        <w:widowControl/>
      </w:pPr>
      <w:r>
        <w:t>Throughout this article, “semantic coherence” is therefore used as an operational umbrella that includes discourse coherence proper, semantic consistency, discourse-reference continuity, and task-relative pragmatic alignment. It is not intended to collapse these traditions into one narrow theoretical construct; rather, the codebook localises which observable relation fails while grounding and functional impact are recorded separately.</w:t>
      </w:r>
    </w:p>
    <w:p>
      <w:pPr/>
      <w:r>
        <w:t>Construct scope and response-level granularity (CS01/CS13). The umbrella groups distinct linguistic objects: rhetorical and QUD/discourse relations (SCF-01/04/05), the requested communicative operation (SCF-03), causal explanation (SCF-02), reference and term-sense continuity (SCF-06/07), propositional consistency (OVR), and support relative to visible authorised evidence (HREF). Primary codes represent the predominant adjudicated response-level diagnosis, not an independent theory-validated discourse unit, relation graph, coreference chain, or latent general semantic competence. Optional evidence spans support auditability but do not independently validate localisation. A format-only infelicity is not automatically a discourse failure; the historical instruction-following rubric and the non-binding later clarification are distinguished in Supplementary Section S2.</w:t>
      </w:r>
    </w:p>
    <w:p w14:paraId="6E5E5CA8">
      <w:pPr>
        <w:widowControl/>
        <w:spacing w:after="80"/>
      </w:pPr>
      <w:r>
        <w:t>Semantic mechanism and grounding status are therefore related but distinct. Hallucination research targets unsupported or fabricated content and source inconsistency (Huang et al., 2025; Ji et al., 2023; Niu et al., 2024), whereas semantic incoherence can occur without fabrication and unsupported content can remain internally coherent. The framework preserves both dimensions rather than collapsing them.</w:t>
      </w:r>
    </w:p>
    <w:p>
      <w:pPr/>
      <w:r>
        <w:t>Source-evidence distinctions (CS05/CS14). Evidence directly contradicting a claim, evidence that fails to entail a new claim, an assertion presented as supported despite source silence, and a claim whose truth cannot be determined from the visible materials are different relations. The study does not search outside the authorised prompt/source context and cannot classify open-world factual truth from absence in a short passage. Any HREF and grounding interpretation is authorised-evidence-relative and governed by the original locked rubric, not a retrospectively imposed entailment classifier.</w:t>
      </w:r>
    </w:p>
    <w:p w14:paraId="5FFD959B">
      <w:pPr>
        <w:pStyle w:val="4"/>
        <w:keepNext/>
        <w:keepLines/>
      </w:pPr>
      <w:r>
        <w:rPr>
          <w:i w:val="0"/>
          <w:color w:val="000000"/>
        </w:rPr>
        <w:t>1.2.1 Information-quality interpretation of the three-axis framework</w:t>
      </w:r>
    </w:p>
    <w:p w14:paraId="76602DA1">
      <w:pPr>
        <w:widowControl/>
      </w:pPr>
      <w:r>
        <w:rPr>
          <w:i w:val="0"/>
        </w:rPr>
        <w:t>The study treats information quality as a bounded, task-relative measurement construct rather than as a synonym for semantic coherence or as an exhaustive quality ontology. Classic information-quality work distinguishes intrinsic, contextual, representational, and accessibility dimensions and emphasises fitness for use as a core organising principle (Lee et al., 2002; Wang &amp; Strong, 1996). Within that broader tradition, the present framework targets only semantic and task-relative properties of generated content.</w:t>
      </w:r>
    </w:p>
    <w:p w14:paraId="7B8421F7">
      <w:pPr>
        <w:widowControl/>
      </w:pPr>
      <w:r>
        <w:rPr>
          <w:i w:val="0"/>
        </w:rPr>
        <w:t>The linguistic-mechanism axis diagnoses the relation that fails and is most closely connected to semantic integrity, consistency, and task relevance. The grounding-status axis captures whether authorised evidence is implicated and therefore bears on support, verifiability, and source-relative accuracy. Functional severity is not a failure type; it records the task-relative consequence of the failure and is interpreted as a fitness-for-use impact dimension. Accessibility and access security, timeliness, interface or presentation aesthetics, user-perceived reputation or believability, and broader usability or hedonic quality are outside the present construct and are not claimed to be measured.</w:t>
      </w:r>
    </w:p>
    <w:p w14:paraId="5E928F11">
      <w:pPr>
        <w:jc w:val="center"/>
      </w:pPr>
      <w:r>
        <w:drawing>
          <wp:inline distT="0" distB="0" distL="114300" distR="114300">
            <wp:extent cx="5806440" cy="2380615"/>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806440" cy="2381150"/>
                    </a:xfrm>
                    <a:prstGeom prst="rect">
                      <a:avLst/>
                    </a:prstGeom>
                  </pic:spPr>
                </pic:pic>
              </a:graphicData>
            </a:graphic>
          </wp:inline>
        </w:drawing>
      </w:r>
    </w:p>
    <w:p w14:paraId="195A087F">
      <w:pPr>
        <w:jc w:val="center"/>
      </w:pPr>
      <w:r>
        <w:t>Figure 1. Three rule-coupled operational annotation fields and the within-corpus measurement-audit sequence (not independent latent dimensions).</w:t>
      </w:r>
    </w:p>
    <w:p>
      <w:pPr/>
      <w:r>
        <w:t>Figure 1 separates the three annotation axes (what is measured) from the within-corpus evaluation sequence (how the measurements are assessed). Agreement is estimated from the locked, pre-resolution A1–A3 decisions; the senior-adjudicated FINAL GOLD v1.0 is a distinct downstream reference. M0–M4 recover the four operational targets under their specified conditions. The later E1/E2 tests perturb answer-code mappings and visible option order for judge decisions, and the exploratory association analysis asks whether pre-resolution human disagreement covaries with case-level judge changes. Neither the sequential arrows nor the robustness tests establish causal mechanisms or external transportability.</w:t>
      </w:r>
    </w:p>
    <w:p>
      <w:pPr>
        <w:jc w:val="both"/>
      </w:pPr>
      <w:r>
        <w:rPr>
          <w:rFonts w:ascii="Times New Roman" w:hAnsi="Times New Roman"/>
          <w:b/>
          <w:sz w:val="20"/>
        </w:rPr>
        <w:t>Rule-induced dependence.</w:t>
      </w:r>
      <w:r>
        <w:rPr>
          <w:rFonts w:ascii="Times New Roman" w:hAnsi="Times New Roman"/>
          <w:sz w:val="20"/>
        </w:rPr>
        <w:t xml:space="preserve"> The three fields are reported separately for different operational purposes; they are neither statistically independent measurements nor validated orthogonal latent constructs. The locked manual constrains admissible combinations: NONE entails no_failure and severity 0, while HREF as primary label entails hallucination_only; overlap may record a dominant semantic mechanism alongside evidence-related failure. In the frozen reference, Core-SCF versus OVR also co-varies strongly with grounding boundary (Cramér’s V = .728 among 460 T3-eligible cases). Accordingly, distinct columns and field-specific agreement coefficients should not be read as discriminant construct validation (Supplementary Table S6 and the construct-evidence map in Table S20).</w:t>
      </w:r>
    </w:p>
    <w:p w14:paraId="6C9E5435">
      <w:pPr>
        <w:pStyle w:val="3"/>
        <w:keepNext/>
        <w:keepLines/>
      </w:pPr>
      <w:r>
        <w:rPr>
          <w:color w:val="000000"/>
        </w:rPr>
        <w:t>1.3 Research problem and research gap</w:t>
      </w:r>
    </w:p>
    <w:p w14:paraId="6A5C29DE">
      <w:pPr>
        <w:widowControl/>
        <w:spacing w:after="80"/>
      </w:pPr>
      <w:r>
        <w:t>Prior work already establishes fine-grained error annotation and automatic assessment: FRANK identifies factual-error types in summaries (Pagnoni et al., 2021); SNaC annotates and localises narrative-coherence failures (Goyal et al., 2022); MISMATCH models 13 mismatch categories across seven NLP tasks (Murugesan et al., 2023); Gaps or Hallucinations? joins an expert-informed legal taxonomy, annotated data and detection (Hou et al., 2024); and QASemConsistency decomposes attributable generated text into fine-grained QA propositions and evaluates human and automatic inconsistency localisation (Cattan et al., 2026). InFoBench addresses verifiable instruction constraints (Qin et al., 2024). Likewise, answer-code symbol effects are documented independently by Yang et al. (2025). The unresolved question addressed here is narrower than an absence of taxonomies, detectors, human evaluation or prompt sensitivity: how do frozen pre-adjudication human uncertainty, recoverability of a separately adjudicated operational reference, and post-hoc decision-interface perturbations jointly constrain the interpretation of an evaluation result when studied on aligned cases with disclosed target eligibility, evidence access and grouped split controls? This integration is a within-corpus measurement audit, not proof that no earlier work combined any subset of these elements.</w:t>
      </w:r>
    </w:p>
    <w:p w14:paraId="4408F84D">
      <w:pPr>
        <w:widowControl/>
      </w:pPr>
      <w:r>
        <w:t>The contribution is organised around three complementary and auditable strands of evidence: (i) the reliability and disagreement structure of locked pre-adjudication human ratings and their relationship to the adjudicated operational reference; (ii) within-corpus recoverability of adjudicated semantic, grounding, and severity distinctions under explicitly GOLD-conditioned eligibility, evidence-access conditions, and split controls; and (iii) post-hoc evidence on the sensitivity of constrained LLM-judge decisions to answer-code remapping and visible option-order perturbations. These strands synthesise the four original research questions and subsequently conducted exploratory validity analyses; they do not constitute three additional research questions. The study does not introduce a new taxonomy, universal information-quality index, or independently validated deployment intervention. Its contribution to information science is an auditable account of the reliability, recoverability, and protocol sensitivity of operational semantic-quality judgments, rather than a claim of intrinsic superiority for any model architecture.</w:t>
      </w:r>
    </w:p>
    <w:p w14:paraId="43152B97">
      <w:pPr>
        <w:keepNext/>
        <w:spacing w:before="100" w:after="40"/>
        <w:jc w:val="left"/>
      </w:pPr>
      <w:r>
        <w:rPr>
          <w:rFonts w:ascii="Times New Roman" w:hAnsi="Times New Roman"/>
          <w:sz w:val="17"/>
        </w:rPr>
        <w:t>Table 1. Research-gap positioning and study response.</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512"/>
        <w:gridCol w:w="2232"/>
        <w:gridCol w:w="2664"/>
        <w:gridCol w:w="2952"/>
      </w:tblGrid>
      <w:tr w14:paraId="7FB23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512" w:type="dxa"/>
            <w:tcMar>
              <w:top w:w="65" w:type="dxa"/>
              <w:left w:w="55" w:type="dxa"/>
              <w:bottom w:w="65" w:type="dxa"/>
              <w:right w:w="55" w:type="dxa"/>
              <w:start w:w="68" w:type="dxa"/>
              <w:end w:w="68" w:type="dxa"/>
            </w:tcMar>
            <w:vAlign w:val="center"/>
            <w:shd w:val="clear" w:color="auto" w:fill="E8F0F8"/>
          </w:tcPr>
          <w:p w14:paraId="6934E7F0">
            <w:pPr>
              <w:spacing w:before="0" w:after="0" w:line="240" w:lineRule="auto"/>
              <w:jc w:val="center"/>
            </w:pPr>
            <w:r>
              <w:rPr>
                <w:rFonts w:ascii="Times New Roman" w:hAnsi="Times New Roman" w:eastAsia="Times New Roman" w:cs="Times New Roman"/>
                <w:b/>
                <w:color w:val="1E364D"/>
                <w:sz w:val="16"/>
              </w:rPr>
              <w:t>Gap</w:t>
            </w:r>
          </w:p>
        </w:tc>
        <w:tc>
          <w:tcPr>
            <w:tcW w:w="2232" w:type="dxa"/>
            <w:tcMar>
              <w:top w:w="65" w:type="dxa"/>
              <w:left w:w="55" w:type="dxa"/>
              <w:bottom w:w="65" w:type="dxa"/>
              <w:right w:w="55" w:type="dxa"/>
              <w:start w:w="68" w:type="dxa"/>
              <w:end w:w="68" w:type="dxa"/>
            </w:tcMar>
            <w:vAlign w:val="center"/>
            <w:shd w:val="clear" w:color="auto" w:fill="E8F0F8"/>
          </w:tcPr>
          <w:p w14:paraId="362C3007">
            <w:pPr>
              <w:spacing w:before="0" w:after="0" w:line="240" w:lineRule="auto"/>
              <w:jc w:val="center"/>
            </w:pPr>
            <w:r>
              <w:rPr>
                <w:rFonts w:ascii="Times New Roman" w:hAnsi="Times New Roman" w:eastAsia="Times New Roman" w:cs="Times New Roman"/>
                <w:b/>
                <w:color w:val="1E364D"/>
                <w:sz w:val="16"/>
              </w:rPr>
              <w:t>Why it matters</w:t>
            </w:r>
          </w:p>
        </w:tc>
        <w:tc>
          <w:tcPr>
            <w:tcW w:w="2664" w:type="dxa"/>
            <w:tcMar>
              <w:top w:w="65" w:type="dxa"/>
              <w:left w:w="55" w:type="dxa"/>
              <w:bottom w:w="65" w:type="dxa"/>
              <w:right w:w="55" w:type="dxa"/>
              <w:start w:w="68" w:type="dxa"/>
              <w:end w:w="68" w:type="dxa"/>
            </w:tcMar>
            <w:vAlign w:val="center"/>
            <w:shd w:val="clear" w:color="auto" w:fill="E8F0F8"/>
          </w:tcPr>
          <w:p w14:paraId="43E1F97F">
            <w:pPr>
              <w:spacing w:before="0" w:after="0" w:line="240" w:lineRule="auto"/>
              <w:jc w:val="center"/>
            </w:pPr>
            <w:r>
              <w:rPr>
                <w:rFonts w:ascii="Times New Roman" w:hAnsi="Times New Roman" w:eastAsia="Times New Roman" w:cs="Times New Roman"/>
                <w:b/>
                <w:color w:val="1E364D"/>
                <w:sz w:val="16"/>
              </w:rPr>
              <w:t>Representative precedents</w:t>
            </w:r>
          </w:p>
        </w:tc>
        <w:tc>
          <w:tcPr>
            <w:tcW w:w="2952" w:type="dxa"/>
            <w:tcMar>
              <w:top w:w="65" w:type="dxa"/>
              <w:left w:w="55" w:type="dxa"/>
              <w:bottom w:w="65" w:type="dxa"/>
              <w:right w:w="55" w:type="dxa"/>
              <w:start w:w="68" w:type="dxa"/>
              <w:end w:w="68" w:type="dxa"/>
            </w:tcMar>
            <w:vAlign w:val="center"/>
            <w:shd w:val="clear" w:color="auto" w:fill="E8F0F8"/>
          </w:tcPr>
          <w:p w14:paraId="4AA16453">
            <w:pPr>
              <w:spacing w:before="0" w:after="0" w:line="240" w:lineRule="auto"/>
              <w:jc w:val="center"/>
            </w:pPr>
            <w:r>
              <w:rPr>
                <w:rFonts w:ascii="Times New Roman" w:hAnsi="Times New Roman" w:eastAsia="Times New Roman" w:cs="Times New Roman"/>
                <w:b/>
                <w:color w:val="1E364D"/>
                <w:sz w:val="16"/>
              </w:rPr>
              <w:t>Present study response</w:t>
            </w:r>
          </w:p>
        </w:tc>
      </w:tr>
      <w:tr w14:paraId="6517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65" w:type="dxa"/>
              <w:left w:w="55" w:type="dxa"/>
              <w:bottom w:w="65" w:type="dxa"/>
              <w:right w:w="55" w:type="dxa"/>
              <w:start w:w="68" w:type="dxa"/>
              <w:end w:w="68" w:type="dxa"/>
            </w:tcMar>
            <w:vAlign w:val="center"/>
          </w:tcPr>
          <w:p w14:paraId="68F7BDCB">
            <w:pPr>
              <w:spacing w:before="0" w:after="0" w:line="240" w:lineRule="auto"/>
            </w:pPr>
            <w:r>
              <w:rPr>
                <w:rFonts w:ascii="Times New Roman" w:hAnsi="Times New Roman" w:eastAsia="Times New Roman" w:cs="Times New Roman"/>
                <w:b w:val="0"/>
                <w:sz w:val="16"/>
              </w:rPr>
              <w:t>Granularity</w:t>
            </w:r>
          </w:p>
        </w:tc>
        <w:tc>
          <w:tcPr>
            <w:tcW w:w="2232" w:type="dxa"/>
            <w:tcMar>
              <w:top w:w="65" w:type="dxa"/>
              <w:left w:w="55" w:type="dxa"/>
              <w:bottom w:w="65" w:type="dxa"/>
              <w:right w:w="55" w:type="dxa"/>
              <w:start w:w="68" w:type="dxa"/>
              <w:end w:w="68" w:type="dxa"/>
            </w:tcMar>
            <w:vAlign w:val="center"/>
          </w:tcPr>
          <w:p w14:paraId="34805217">
            <w:pPr>
              <w:spacing w:before="0" w:after="0" w:line="240" w:lineRule="auto"/>
            </w:pPr>
            <w:r>
              <w:rPr>
                <w:rFonts w:ascii="Times New Roman" w:hAnsi="Times New Roman" w:eastAsia="Times New Roman" w:cs="Times New Roman"/>
                <w:b w:val="0"/>
                <w:sz w:val="16"/>
              </w:rPr>
              <w:t>Single scores do not identify the linguistic relation that failed.</w:t>
            </w:r>
          </w:p>
        </w:tc>
        <w:tc>
          <w:tcPr>
            <w:tcW w:w="2664" w:type="dxa"/>
            <w:tcMar>
              <w:top w:w="65" w:type="dxa"/>
              <w:left w:w="55" w:type="dxa"/>
              <w:bottom w:w="65" w:type="dxa"/>
              <w:right w:w="55" w:type="dxa"/>
              <w:start w:w="68" w:type="dxa"/>
              <w:end w:w="68" w:type="dxa"/>
            </w:tcMar>
            <w:vAlign w:val="center"/>
          </w:tcPr>
          <w:p w14:paraId="56FDE841">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FRANK (Pagnoni et al., 2021); SNaC (Goyal et al., 2022); MISMATCH (Murugesan et al., 2023); Gaps or Hallucinations? (Hou et al., 2024); QASemConsistency (Cattan et al., 2026)</w:t>
            </w:r>
          </w:p>
        </w:tc>
        <w:tc>
          <w:tcPr>
            <w:tcW w:w="2952" w:type="dxa"/>
            <w:tcMar>
              <w:top w:w="65" w:type="dxa"/>
              <w:left w:w="55" w:type="dxa"/>
              <w:bottom w:w="65" w:type="dxa"/>
              <w:right w:w="55" w:type="dxa"/>
              <w:start w:w="68" w:type="dxa"/>
              <w:end w:w="68" w:type="dxa"/>
            </w:tcMar>
            <w:vAlign w:val="center"/>
          </w:tcPr>
          <w:p w14:paraId="573340F8">
            <w:pPr>
              <w:spacing w:before="0" w:after="0" w:line="240" w:lineRule="auto"/>
            </w:pPr>
            <w:r>
              <w:rPr>
                <w:rFonts w:ascii="Times New Roman" w:hAnsi="Times New Roman" w:eastAsia="Times New Roman" w:cs="Times New Roman"/>
                <w:b w:val="0"/>
                <w:sz w:val="16"/>
              </w:rPr>
              <w:t>Evidence-grounded fine labels, collapsed mechanism families, grounding boundaries, and severity.</w:t>
            </w:r>
          </w:p>
        </w:tc>
      </w:tr>
      <w:tr w14:paraId="1E2B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65" w:type="dxa"/>
              <w:left w:w="55" w:type="dxa"/>
              <w:bottom w:w="65" w:type="dxa"/>
              <w:right w:w="55" w:type="dxa"/>
              <w:start w:w="68" w:type="dxa"/>
              <w:end w:w="68" w:type="dxa"/>
            </w:tcMar>
            <w:vAlign w:val="center"/>
          </w:tcPr>
          <w:p w14:paraId="7B9F1BC1">
            <w:pPr>
              <w:spacing w:before="0" w:after="0" w:line="240" w:lineRule="auto"/>
            </w:pPr>
            <w:r>
              <w:rPr>
                <w:rFonts w:ascii="Times New Roman" w:hAnsi="Times New Roman" w:eastAsia="Times New Roman" w:cs="Times New Roman"/>
                <w:b w:val="0"/>
                <w:sz w:val="16"/>
              </w:rPr>
              <w:t>Human measurement reliability</w:t>
            </w:r>
          </w:p>
        </w:tc>
        <w:tc>
          <w:tcPr>
            <w:tcW w:w="2232" w:type="dxa"/>
            <w:tcMar>
              <w:top w:w="65" w:type="dxa"/>
              <w:left w:w="55" w:type="dxa"/>
              <w:bottom w:w="65" w:type="dxa"/>
              <w:right w:w="55" w:type="dxa"/>
              <w:start w:w="68" w:type="dxa"/>
              <w:end w:w="68" w:type="dxa"/>
            </w:tcMar>
            <w:vAlign w:val="center"/>
          </w:tcPr>
          <w:p w14:paraId="0C071BF9">
            <w:pPr>
              <w:spacing w:before="0" w:after="0" w:line="240" w:lineRule="auto"/>
            </w:pPr>
            <w:r>
              <w:rPr>
                <w:rFonts w:ascii="Times New Roman" w:hAnsi="Times New Roman" w:eastAsia="Times New Roman" w:cs="Times New Roman"/>
                <w:b w:val="0"/>
                <w:sz w:val="16"/>
              </w:rPr>
              <w:t>Computational targets are difficult to defend if the reference layer is unstable or only post-adjudication.</w:t>
            </w:r>
          </w:p>
        </w:tc>
        <w:tc>
          <w:tcPr>
            <w:tcW w:w="2664" w:type="dxa"/>
            <w:tcMar>
              <w:top w:w="65" w:type="dxa"/>
              <w:left w:w="55" w:type="dxa"/>
              <w:bottom w:w="65" w:type="dxa"/>
              <w:right w:w="55" w:type="dxa"/>
              <w:start w:w="68" w:type="dxa"/>
              <w:end w:w="68" w:type="dxa"/>
            </w:tcMar>
            <w:vAlign w:val="center"/>
          </w:tcPr>
          <w:p>
            <w:pPr>
              <w:spacing w:before="0" w:after="0"/>
            </w:pPr>
            <w:r>
              <w:rPr>
                <w:rFonts w:ascii="Times New Roman" w:hAnsi="Times New Roman"/>
                <w:sz w:val="16"/>
              </w:rPr>
              <w:t>SummEval (Fabbri et al., 2021); van der Lee et al. (2019); Elangovan et al. (2024); Klie et al. (2024)</w:t>
            </w:r>
          </w:p>
        </w:tc>
        <w:tc>
          <w:tcPr>
            <w:tcW w:w="2952" w:type="dxa"/>
            <w:tcMar>
              <w:top w:w="65" w:type="dxa"/>
              <w:left w:w="55" w:type="dxa"/>
              <w:bottom w:w="65" w:type="dxa"/>
              <w:right w:w="55" w:type="dxa"/>
              <w:start w:w="68" w:type="dxa"/>
              <w:end w:w="68" w:type="dxa"/>
            </w:tcMar>
            <w:vAlign w:val="center"/>
          </w:tcPr>
          <w:p w14:paraId="09A2E8DB">
            <w:pPr>
              <w:spacing w:before="0" w:after="0" w:line="240" w:lineRule="auto"/>
            </w:pPr>
            <w:r>
              <w:rPr>
                <w:rFonts w:ascii="Times New Roman" w:hAnsi="Times New Roman" w:eastAsia="Times New Roman" w:cs="Times New Roman"/>
                <w:b w:val="0"/>
                <w:sz w:val="16"/>
              </w:rPr>
              <w:t>Three independent annotators; locked pre-resolution IAA; confusion diagnostics; severity reliability.</w:t>
            </w:r>
          </w:p>
        </w:tc>
      </w:tr>
      <w:tr w14:paraId="145C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65" w:type="dxa"/>
              <w:left w:w="55" w:type="dxa"/>
              <w:bottom w:w="65" w:type="dxa"/>
              <w:right w:w="55" w:type="dxa"/>
              <w:start w:w="68" w:type="dxa"/>
              <w:end w:w="68" w:type="dxa"/>
            </w:tcMar>
            <w:vAlign w:val="center"/>
          </w:tcPr>
          <w:p w14:paraId="54FEBFF4">
            <w:pPr>
              <w:spacing w:before="0" w:after="0" w:line="240" w:lineRule="auto"/>
            </w:pPr>
            <w:r>
              <w:rPr>
                <w:rFonts w:ascii="Times New Roman" w:hAnsi="Times New Roman" w:eastAsia="Times New Roman" w:cs="Times New Roman"/>
                <w:b w:val="0"/>
                <w:sz w:val="16"/>
              </w:rPr>
              <w:t>Semantic vs grounding boundary</w:t>
            </w:r>
          </w:p>
        </w:tc>
        <w:tc>
          <w:tcPr>
            <w:tcW w:w="2232" w:type="dxa"/>
            <w:tcMar>
              <w:top w:w="65" w:type="dxa"/>
              <w:left w:w="55" w:type="dxa"/>
              <w:bottom w:w="65" w:type="dxa"/>
              <w:right w:w="55" w:type="dxa"/>
              <w:start w:w="68" w:type="dxa"/>
              <w:end w:w="68" w:type="dxa"/>
            </w:tcMar>
            <w:vAlign w:val="center"/>
          </w:tcPr>
          <w:p>
            <w:pPr>
              <w:spacing w:before="0" w:after="0"/>
            </w:pPr>
            <w:r>
              <w:rPr>
                <w:rFonts w:ascii="Times New Roman" w:hAnsi="Times New Roman"/>
                <w:sz w:val="16"/>
              </w:rPr>
              <w:t>Semantic/coherence failures and source-grounded factuality failures can overlap but should not be treated as identical.</w:t>
            </w:r>
          </w:p>
        </w:tc>
        <w:tc>
          <w:tcPr>
            <w:tcW w:w="2664" w:type="dxa"/>
            <w:tcMar>
              <w:top w:w="65" w:type="dxa"/>
              <w:left w:w="55" w:type="dxa"/>
              <w:bottom w:w="65" w:type="dxa"/>
              <w:right w:w="55" w:type="dxa"/>
              <w:start w:w="68" w:type="dxa"/>
              <w:end w:w="68" w:type="dxa"/>
            </w:tcMar>
            <w:vAlign w:val="center"/>
          </w:tcPr>
          <w:p w14:paraId="58DE819F">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FRANK (Pagnoni et al., 2021); TofuEval (Tang et al., 2024); RAGTruth (Niu et al., 2024)</w:t>
            </w:r>
          </w:p>
        </w:tc>
        <w:tc>
          <w:tcPr>
            <w:tcW w:w="2952" w:type="dxa"/>
            <w:tcMar>
              <w:top w:w="65" w:type="dxa"/>
              <w:left w:w="55" w:type="dxa"/>
              <w:bottom w:w="65" w:type="dxa"/>
              <w:right w:w="55" w:type="dxa"/>
              <w:start w:w="68" w:type="dxa"/>
              <w:end w:w="68" w:type="dxa"/>
            </w:tcMar>
            <w:vAlign w:val="center"/>
          </w:tcPr>
          <w:p w14:paraId="45F540FD">
            <w:pPr>
              <w:spacing w:before="0" w:after="0" w:line="240" w:lineRule="auto"/>
            </w:pPr>
            <w:r>
              <w:rPr>
                <w:rFonts w:ascii="Times New Roman" w:hAnsi="Times New Roman" w:eastAsia="Times New Roman" w:cs="Times New Roman"/>
                <w:b w:val="0"/>
                <w:sz w:val="16"/>
              </w:rPr>
              <w:t>Separate boundary-zone axis: semantic_only, hallucination_only, overlap, no_failure.</w:t>
            </w:r>
          </w:p>
        </w:tc>
      </w:tr>
      <w:tr w14:paraId="52B7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65" w:type="dxa"/>
              <w:left w:w="55" w:type="dxa"/>
              <w:bottom w:w="65" w:type="dxa"/>
              <w:right w:w="55" w:type="dxa"/>
              <w:start w:w="68" w:type="dxa"/>
              <w:end w:w="68" w:type="dxa"/>
            </w:tcMar>
            <w:vAlign w:val="center"/>
          </w:tcPr>
          <w:p w14:paraId="406E0171">
            <w:pPr>
              <w:spacing w:before="0" w:after="0" w:line="240" w:lineRule="auto"/>
            </w:pPr>
            <w:r>
              <w:rPr>
                <w:rFonts w:ascii="Times New Roman" w:hAnsi="Times New Roman" w:eastAsia="Times New Roman" w:cs="Times New Roman"/>
                <w:b w:val="0"/>
                <w:sz w:val="16"/>
              </w:rPr>
              <w:t>Computational recoverability</w:t>
            </w:r>
          </w:p>
        </w:tc>
        <w:tc>
          <w:tcPr>
            <w:tcW w:w="2232" w:type="dxa"/>
            <w:tcMar>
              <w:top w:w="65" w:type="dxa"/>
              <w:left w:w="55" w:type="dxa"/>
              <w:bottom w:w="65" w:type="dxa"/>
              <w:right w:w="55" w:type="dxa"/>
              <w:start w:w="68" w:type="dxa"/>
              <w:end w:w="68" w:type="dxa"/>
            </w:tcMar>
            <w:vAlign w:val="center"/>
          </w:tcPr>
          <w:p w14:paraId="525D3538">
            <w:pPr>
              <w:spacing w:before="0" w:after="0" w:line="240" w:lineRule="auto"/>
            </w:pPr>
            <w:r>
              <w:rPr>
                <w:rFonts w:ascii="Times New Roman" w:hAnsi="Times New Roman" w:eastAsia="Times New Roman" w:cs="Times New Roman"/>
                <w:b w:val="0"/>
                <w:sz w:val="16"/>
              </w:rPr>
              <w:t>A reliable codebook is not automatically an automatic evaluator.</w:t>
            </w:r>
          </w:p>
        </w:tc>
        <w:tc>
          <w:tcPr>
            <w:tcW w:w="2664" w:type="dxa"/>
            <w:tcMar>
              <w:top w:w="65" w:type="dxa"/>
              <w:left w:w="55" w:type="dxa"/>
              <w:bottom w:w="65" w:type="dxa"/>
              <w:right w:w="55" w:type="dxa"/>
              <w:start w:w="68" w:type="dxa"/>
              <w:end w:w="68" w:type="dxa"/>
            </w:tcMar>
            <w:vAlign w:val="center"/>
          </w:tcPr>
          <w:p w14:paraId="560D83A9">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MISMATCH (Murugesan et al., 2023); Gaps or Hallucinations? (Hou et al., 2024); QASemConsistency (Cattan et al., 2026); DiscoScore (Zhao et al., 2023); RAGTruth (Niu et al., 2024); JUDGE-BENCH (Bavaresco et al., 2025)</w:t>
            </w:r>
          </w:p>
        </w:tc>
        <w:tc>
          <w:tcPr>
            <w:tcW w:w="2952" w:type="dxa"/>
            <w:tcMar>
              <w:top w:w="65" w:type="dxa"/>
              <w:left w:w="55" w:type="dxa"/>
              <w:bottom w:w="65" w:type="dxa"/>
              <w:right w:w="55" w:type="dxa"/>
              <w:start w:w="68" w:type="dxa"/>
              <w:end w:w="68" w:type="dxa"/>
            </w:tcMar>
            <w:vAlign w:val="center"/>
          </w:tcPr>
          <w:p w14:paraId="5857C68B">
            <w:pPr>
              <w:spacing w:before="0" w:after="0" w:line="240" w:lineRule="auto"/>
            </w:pPr>
            <w:r>
              <w:rPr>
                <w:rFonts w:ascii="Times New Roman" w:hAnsi="Times New Roman" w:eastAsia="Times New Roman" w:cs="Times New Roman"/>
                <w:b w:val="0"/>
                <w:sz w:val="16"/>
              </w:rPr>
              <w:t>Hierarchical M0–M4 evaluation spanning majority, lexical, latent-semantic, contextual-encoder, and zero-shot LLM-judge comparators.</w:t>
            </w:r>
          </w:p>
        </w:tc>
      </w:tr>
      <w:tr w14:paraId="10DE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65" w:type="dxa"/>
              <w:left w:w="55" w:type="dxa"/>
              <w:bottom w:w="65" w:type="dxa"/>
              <w:right w:w="55" w:type="dxa"/>
              <w:start w:w="68" w:type="dxa"/>
              <w:end w:w="68" w:type="dxa"/>
            </w:tcMar>
            <w:vAlign w:val="center"/>
          </w:tcPr>
          <w:p w14:paraId="6ED54978">
            <w:pPr>
              <w:spacing w:before="0" w:after="0" w:line="240" w:lineRule="auto"/>
            </w:pPr>
            <w:r>
              <w:rPr>
                <w:rFonts w:ascii="Times New Roman" w:hAnsi="Times New Roman" w:eastAsia="Times New Roman" w:cs="Times New Roman"/>
                <w:b w:val="0"/>
                <w:sz w:val="16"/>
              </w:rPr>
              <w:t>Evidence dependence</w:t>
            </w:r>
          </w:p>
        </w:tc>
        <w:tc>
          <w:tcPr>
            <w:tcW w:w="2232" w:type="dxa"/>
            <w:tcMar>
              <w:top w:w="65" w:type="dxa"/>
              <w:left w:w="55" w:type="dxa"/>
              <w:bottom w:w="65" w:type="dxa"/>
              <w:right w:w="55" w:type="dxa"/>
              <w:start w:w="68" w:type="dxa"/>
              <w:end w:w="68" w:type="dxa"/>
            </w:tcMar>
            <w:vAlign w:val="center"/>
          </w:tcPr>
          <w:p w14:paraId="4E3551AD">
            <w:pPr>
              <w:spacing w:before="0" w:after="0" w:line="240" w:lineRule="auto"/>
            </w:pPr>
            <w:r>
              <w:rPr>
                <w:rFonts w:ascii="Times New Roman" w:hAnsi="Times New Roman" w:eastAsia="Times New Roman" w:cs="Times New Roman"/>
                <w:b w:val="0"/>
                <w:sz w:val="16"/>
              </w:rPr>
              <w:t>Some distinctions are inherently task- or source-relative.</w:t>
            </w:r>
          </w:p>
        </w:tc>
        <w:tc>
          <w:tcPr>
            <w:tcW w:w="2664" w:type="dxa"/>
            <w:tcMar>
              <w:top w:w="65" w:type="dxa"/>
              <w:left w:w="55" w:type="dxa"/>
              <w:bottom w:w="65" w:type="dxa"/>
              <w:right w:w="55" w:type="dxa"/>
              <w:start w:w="68" w:type="dxa"/>
              <w:end w:w="68" w:type="dxa"/>
            </w:tcMar>
            <w:vAlign w:val="center"/>
          </w:tcPr>
          <w:p>
            <w:pPr>
              <w:spacing w:before="0" w:after="0"/>
            </w:pPr>
            <w:r>
              <w:rPr>
                <w:rFonts w:ascii="Times New Roman" w:hAnsi="Times New Roman"/>
                <w:sz w:val="16"/>
              </w:rPr>
              <w:t>TRUE (Honovich et al., 2022); RAGTruth (Niu et al., 2024); TofuEval (Tang et al., 2024); QASemConsistency (Cattan et al., 2026)</w:t>
            </w:r>
          </w:p>
        </w:tc>
        <w:tc>
          <w:tcPr>
            <w:tcW w:w="2952" w:type="dxa"/>
            <w:tcMar>
              <w:top w:w="65" w:type="dxa"/>
              <w:left w:w="55" w:type="dxa"/>
              <w:bottom w:w="65" w:type="dxa"/>
              <w:right w:w="55" w:type="dxa"/>
              <w:start w:w="68" w:type="dxa"/>
              <w:end w:w="68" w:type="dxa"/>
            </w:tcMar>
            <w:vAlign w:val="center"/>
          </w:tcPr>
          <w:p w14:paraId="178F6C53">
            <w:pPr>
              <w:spacing w:before="0" w:after="0"/>
            </w:pPr>
            <w:r>
              <w:rPr>
                <w:rFonts w:ascii="Times New Roman" w:hAnsi="Times New Roman"/>
                <w:sz w:val="16"/>
              </w:rPr>
              <w:t>A/B/C evidence-condition comparisons, source-bearing task decomposition, stability seeds, and internal leave-one-task-type-out robustness.</w:t>
            </w:r>
          </w:p>
        </w:tc>
      </w:tr>
      <w:tr w14:paraId="21C3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Mar>
              <w:top w:w="65" w:type="dxa"/>
              <w:left w:w="55" w:type="dxa"/>
              <w:bottom w:w="65" w:type="dxa"/>
              <w:right w:w="55" w:type="dxa"/>
              <w:start w:w="68" w:type="dxa"/>
              <w:end w:w="68" w:type="dxa"/>
            </w:tcMar>
            <w:vAlign w:val="center"/>
          </w:tcPr>
          <w:p w14:paraId="20CE140E">
            <w:pPr>
              <w:spacing w:before="0" w:after="0" w:line="240" w:lineRule="auto"/>
            </w:pPr>
            <w:r>
              <w:rPr>
                <w:rFonts w:ascii="Times New Roman" w:hAnsi="Times New Roman" w:eastAsia="Times New Roman" w:cs="Times New Roman"/>
                <w:b w:val="0"/>
                <w:sz w:val="16"/>
              </w:rPr>
              <w:t>Evaluator granularity and shared difficulty</w:t>
            </w:r>
          </w:p>
        </w:tc>
        <w:tc>
          <w:tcPr>
            <w:tcW w:w="2232" w:type="dxa"/>
            <w:tcMar>
              <w:top w:w="65" w:type="dxa"/>
              <w:left w:w="55" w:type="dxa"/>
              <w:bottom w:w="65" w:type="dxa"/>
              <w:right w:w="55" w:type="dxa"/>
              <w:start w:w="68" w:type="dxa"/>
              <w:end w:w="68" w:type="dxa"/>
            </w:tcMar>
            <w:vAlign w:val="center"/>
          </w:tcPr>
          <w:p w14:paraId="671E9259">
            <w:pPr>
              <w:spacing w:before="0" w:after="0" w:line="240" w:lineRule="auto"/>
            </w:pPr>
            <w:r>
              <w:rPr>
                <w:rFonts w:ascii="Times New Roman" w:hAnsi="Times New Roman" w:eastAsia="Times New Roman" w:cs="Times New Roman"/>
                <w:b w:val="0"/>
                <w:sz w:val="16"/>
              </w:rPr>
              <w:t>A model that detects that something is wrong may still fail to diagnose mechanism, grounding, or severity; human disagreement may identify cases with greater observed evaluator error.</w:t>
            </w:r>
          </w:p>
        </w:tc>
        <w:tc>
          <w:tcPr>
            <w:tcW w:w="2664" w:type="dxa"/>
            <w:tcMar>
              <w:top w:w="65" w:type="dxa"/>
              <w:left w:w="55" w:type="dxa"/>
              <w:bottom w:w="65" w:type="dxa"/>
              <w:right w:w="55" w:type="dxa"/>
              <w:start w:w="68" w:type="dxa"/>
              <w:end w:w="68" w:type="dxa"/>
            </w:tcMar>
            <w:vAlign w:val="center"/>
          </w:tcPr>
          <w:p>
            <w:pPr>
              <w:spacing w:before="0" w:after="0"/>
            </w:pPr>
            <w:r>
              <w:rPr>
                <w:rFonts w:ascii="Times New Roman" w:hAnsi="Times New Roman"/>
                <w:sz w:val="16"/>
              </w:rPr>
              <w:t>FineGrainFact (Chan et al., 2023); DIASUMFACT (Zhu et al., 2023); Lim &amp; Lauw (2024); J. Lu et al. (2025); Bavaresco et al. (2025)</w:t>
            </w:r>
          </w:p>
        </w:tc>
        <w:tc>
          <w:tcPr>
            <w:tcW w:w="2952" w:type="dxa"/>
            <w:tcMar>
              <w:top w:w="65" w:type="dxa"/>
              <w:left w:w="55" w:type="dxa"/>
              <w:bottom w:w="65" w:type="dxa"/>
              <w:right w:w="55" w:type="dxa"/>
              <w:start w:w="68" w:type="dxa"/>
              <w:end w:w="68" w:type="dxa"/>
            </w:tcMar>
            <w:vAlign w:val="center"/>
          </w:tcPr>
          <w:p w14:paraId="263E5D83">
            <w:pPr>
              <w:spacing w:before="0" w:after="0" w:line="240" w:lineRule="auto"/>
            </w:pPr>
            <w:r>
              <w:rPr>
                <w:rFonts w:ascii="Times New Roman" w:hAnsi="Times New Roman" w:eastAsia="Times New Roman" w:cs="Times New Roman"/>
                <w:b w:val="0"/>
                <w:sz w:val="16"/>
              </w:rPr>
              <w:t>Paired M3–M4 analysis across hierarchical targets plus human-easy/hard error and predictive-entropy comparisons.</w:t>
            </w:r>
          </w:p>
        </w:tc>
      </w:tr>
    </w:tbl>
    <w:p w14:paraId="363FE551">
      <w:pPr>
        <w:widowControl/>
        <w:spacing w:before="40" w:after="80"/>
      </w:pPr>
      <w:r>
        <w:t>Note. Representative precedents are illustrative rather than exhaustive; Sections 2.1–2.6 provide the detailed literature positioning.</w:t>
      </w:r>
    </w:p>
    <w:p w14:paraId="7100AA2B">
      <w:pPr>
        <w:pStyle w:val="3"/>
        <w:keepNext/>
        <w:keepLines/>
      </w:pPr>
      <w:r>
        <w:rPr>
          <w:color w:val="000000"/>
        </w:rPr>
        <w:t>1.4 Aim and research questions</w:t>
      </w:r>
    </w:p>
    <w:p>
      <w:r>
        <w:rPr>
          <w:b/>
        </w:rPr>
        <w:t xml:space="preserve">Post-hoc scope of the robustness questions. </w:t>
      </w:r>
      <w:r>
        <w:t>The subsequent sparse-event GEE and standardized T1 GPU evaluations are post-freeze validity checks of RQ3–RQ4, not additional preregistered research questions. Their target is the robustness and interpretability of existing judge-based evaluations; they do not introduce a new dataset or replace the original outcome estimates.</w:t>
      </w:r>
    </w:p>
    <w:p w14:paraId="7D84421D">
      <w:pPr>
        <w:widowControl/>
      </w:pPr>
      <w:r>
        <w:t>The study evaluates whether a predefined human annotation framework for semantic-coherence failures and grounding status can be applied reproducibly and whether selected adjudicated distinctions are computationally recoverable under controlled evidence and split conditions. Four original research questions organise the human-measurement and computational-recovery analyses: RQ1 asks how reliably trained annotators apply mechanism, grounding, and severity distinctions; RQ2 asks which distinctions create the greatest disagreement; RQ3 asks how well lexical, contextual, and zero-shot judge methods recover the adjudicated targets; and RQ4 asks how evidence conditions, task transfer, and pre-adjudication human difficulty affect recovery. Later generator-shortcut, adjudication-subset, truncation, and M4 protocol-perturbation checks are explicitly post hoc validity analyses, not additional confirmatory research questions. In particular, a post-hoc exploratory extension of RQ4 asks: How stable are automated semantic-error judgments under answer-code remapping (E1) and visible option-order perturbation (E2), holding cases, reference labels, and the underlying rubric fixed? This extension is not presented as a prospectively specified confirmatory hypothesis.</w:t>
      </w:r>
    </w:p>
    <w:p>
      <w:pPr>
        <w:widowControl/>
      </w:pPr>
      <w:r>
        <w:t>The term predefined describes the study records and frozen analysis choices; no independently timestamped preregistration has been verified. The completed training-size controls and FP16 judge comparisons are explicitly post hoc.</w:t>
      </w:r>
    </w:p>
    <w:p w14:paraId="54B6583D">
      <w:pPr>
        <w:pStyle w:val="3"/>
        <w:keepNext/>
        <w:keepLines/>
      </w:pPr>
      <w:r>
        <w:rPr>
          <w:color w:val="000000"/>
        </w:rPr>
        <w:t>1.5 Contributions</w:t>
      </w:r>
    </w:p>
    <w:p>
      <w:r>
        <w:t>Bounded robustness contribution. As an extension to contribution (3), this revision reports (a) an event-support and leave-one-Prompt_ID-out audit of three sparse GEE terms and (b) case-aligned GOLD scoring of a new 720-case standardized T1 judge exercise. Both are labelled post hoc and distinguish reproducibility of computations from transportability, model-family effects, and historical protocol equivalence.</w:t>
      </w:r>
    </w:p>
    <w:p>
      <w:r>
        <w:t>Reproducibility qualification (not a new original contribution). The post-freeze replication of 60 GEE fits and 60 class-standardised cluster bootstrap intervals strengthens the evidentiary audit trail for the existing exploratory judge-instability analysis. It is a verification result, not an additional hypothesis, discovery, or change to the four original RQs.</w:t>
      </w:r>
    </w:p>
    <w:p w14:paraId="7FB7C875">
      <w:pPr>
        <w:widowControl/>
      </w:pPr>
      <w:r>
        <w:t>The paper makes three bounded empirical contributions, each accompanied by a falsifiable limitation. (1) Measurement provenance: independent pre-resolution A1–A3 judgments are preserved separately from the senior-adjudicated GOLD layer, allowing reliability and class-boundary uncertainty to be reported without treating adjudication as independent validation. (2) Conditional operational recoverability: M0–M4 outputs and M3 robustness, evidence and data-partition analyses test recovery of precisely defined GOLD targets; T2–T4 require GOLD eligibility and thus do not demonstrate end-to-end detection or generator-independent generalisation. (3) Exploratory protocol audit: completed post-hoc E1 answer-code and E2 option-order perturbations quantify within-case judge decision changes and their association with pre-resolution human disagreement; neither perturbation type nor LLM answer-symbol bias is claimed as newly discovered. The combined insight is that human-reference construction, eligibility and split rules, and judge interface design can yield different reliability statements about the same operational categories. The study does not introduce a novel taxonomy, classifier, psychometric factor model or deployment intervention, and its 15 codes have uneven empirical support.</w:t>
      </w:r>
    </w:p>
    <w:p w14:paraId="15FA9E6D">
      <w:pPr>
        <w:widowControl/>
        <w:rPr>
          <w:rFonts w:hint="default"/>
        </w:rPr>
      </w:pPr>
      <w:r>
        <w:rPr>
          <w:rFonts w:hint="default"/>
        </w:rPr>
        <w:t>The remainder of the paper is organised as follows. Section 2 positions the study relative to prior work on generated-text evaluation, semantic coherence, grounding, human annotation, and LLM-based evaluation. Section 3 presents the human measurement methodology and adjudicated reference construction, while Section 4 describes the computational recovery methodology, evaluation design, and validity controls. Sections 5 and 6 report the human and computational results, respectively. Section 7 discusses the findings and their implications for semantic-coherence and information-quality evaluation. Section 8 outlines the limitations and threats to validity, Section 9 identifies directions for future work, and Section 10 concludes the paper. Additional protocols, diagnostic analyses, and reproducibility details are provided in the Supplementary Materials.</w:t>
      </w:r>
    </w:p>
    <w:p w14:paraId="49362AA1">
      <w:pPr>
        <w:pStyle w:val="2"/>
        <w:keepNext/>
        <w:keepLines/>
      </w:pPr>
      <w:r>
        <w:rPr>
          <w:color w:val="000000"/>
        </w:rPr>
        <w:t>2. Related Work and Conceptual Positioning</w:t>
      </w:r>
    </w:p>
    <w:p w14:paraId="4F3EB8E0">
      <w:pPr>
        <w:pStyle w:val="3"/>
        <w:keepNext/>
        <w:keepLines/>
      </w:pPr>
      <w:r>
        <w:rPr>
          <w:color w:val="000000"/>
        </w:rPr>
        <w:t>2.1 Generated-text and NLG evaluation</w:t>
      </w:r>
    </w:p>
    <w:p w14:paraId="4FB0B3F2">
      <w:pPr>
        <w:widowControl/>
        <w:spacing w:after="80"/>
      </w:pPr>
      <w:r>
        <w:t>SLM research spans encoder–decoder, dense causal, recurrent, state-space, linear-attention, and hybrid designs (Abdin et al., 2024; Dong et al., 2024; Gu &amp; Dao, 2023; Z. Lu et al., 2025; Nguyen et al., 2025; Peng et al., 2023; Wang et al., 2025). Benchmarks such as GEM, HELM, and IFEval evaluate broad capabilities and generation quality (Gehrmann et al., 2021; Liang et al., 2023; Zhou et al., 2023), but system-level scores do not necessarily identify the discourse or semantic relation that failed.</w:t>
      </w:r>
    </w:p>
    <w:p w14:paraId="067BF107">
      <w:pPr>
        <w:widowControl/>
        <w:spacing w:after="80"/>
      </w:pPr>
      <w:r>
        <w:t>NLG evaluation increasingly uses learned metrics and LLM-based evaluators (Gao et al., 2025). G-Eval uses criterion-guided GPT-4 scoring (Liu et al., 2023), GPTScore uses conditional generation probabilities (Fu et al., 2024), and Prometheus 2 trains an open evaluator for custom criteria (Kim et al., 2024). Recent Information Processing &amp; Management studies further illustrate the relevance of fine-grained multi-protocol evaluation, prompt/sampling sensitivity, and human-in-the-loop validation (Huang et al., 2026; Li &amp; Sun, 2026; Tsaneva et al., 2025). Judge performance varies across properties, datasets, and protocols (Bavaresco et al., 2025), and direct audits document vulnerabilities including prompt-complexity sensitivity (Thakur et al., 2025). Forced-choice evaluation introduces an additional measurement concern: changing option symbols alone can alter LLM selections, indicating option-symbol or token-prior effects (Z. Yang et al., 2025). Prompt-template variation can also interact with the scoring method itself, so observed prompt sensitivity should not automatically be attributed to intrinsic semantic instability of the underlying model (Hua et al., 2025). Accordingly, the present rubric/code perturbations are a study-specific validity audit, and the present LLM judge is a downstream comparator rather than ground truth.</w:t>
      </w:r>
    </w:p>
    <w:p w14:paraId="6ED0769C">
      <w:pPr>
        <w:pStyle w:val="3"/>
        <w:keepNext/>
        <w:keepLines/>
      </w:pPr>
      <w:r>
        <w:rPr>
          <w:color w:val="000000"/>
        </w:rPr>
        <w:t>2.2 Semantic coherence, discourse, and task-relative meaning</w:t>
      </w:r>
    </w:p>
    <w:p w14:paraId="22EBDA84">
      <w:pPr>
        <w:widowControl/>
        <w:spacing w:after="80"/>
      </w:pPr>
      <w:r>
        <w:t>Discourse theories motivate coherence as structured relations rather than a scalar property. Cohesion, entity-based coherence, rhetorical relations, and centering motivate cross-sentence linkage, causal/explanatory structure, and referential continuity (Asher &amp; Lascarides, 2003; Barzilay &amp; Lapata, 2008; Grosz et al., 1995; Halliday &amp; Hasan, 1976; Kehler, 2002; Mann &amp; Thompson, 1988). Task-relative relevance is also pragmatic: an answer must address the active question and requested communicative move (Grice, 1975; Roberts, 2012).</w:t>
      </w:r>
    </w:p>
    <w:p w14:paraId="1A12EA8B">
      <w:pPr>
        <w:widowControl/>
        <w:spacing w:after="80"/>
      </w:pPr>
      <w:r>
        <w:t>Recent work evaluates several neighbouring computational notions, including discourse coherence, cross-query response consistency, semantic consistency, and semantic comprehension (Brunato et al., 2023; Huidrom et al., 2025; Lauriola et al., 2025; Li et al., 2025). DiscoScore combines BERT representations with discourse structure and evaluates against human judgments (Zhao et al., 2023), while Lim and Lauw (2024) explicitly relate computational coherence metrics to human reliability. We extend that human–computational alignment logic to fine-grained semantic-coherence failures in generated responses.</w:t>
      </w:r>
    </w:p>
    <w:p w14:paraId="6F651ECE">
      <w:pPr>
        <w:pStyle w:val="3"/>
        <w:keepNext/>
        <w:keepLines/>
      </w:pPr>
      <w:r>
        <w:rPr>
          <w:color w:val="000000"/>
        </w:rPr>
        <w:t>2.3 Fine-grained human annotation of generated-text failures</w:t>
      </w:r>
    </w:p>
    <w:p w14:paraId="55D3EB0A">
      <w:pPr>
        <w:widowControl/>
      </w:pPr>
      <w:r>
        <w:t>Fine-grained generated-text error annotation and downstream automatic evaluation are established. FRANK defines a linguistically grounded factual-error typology, including coreference, discourse-link, and unsupported-source errors (Pagnoni et al., 2021). SNaC provides span-level narrative-coherence errors and automatic localisation (Goyal et al., 2022), while Ko and Li (2020) examine explicit discourse-relation validity. MISMATCH introduces 13 mismatch error types and uses them in a cross-task evaluator over seven NLP tasks (Murugesan et al., 2023). Gaps or Hallucinations? develops an expert-informed legal-analysis gap taxonomy, annotated data, and a fine-grained detector (Hou et al., 2024). QASemConsistency localises reference-grounded factual inconsistencies through granular human annotation and evaluates supervised and LLM detectors across attributable-generation tasks (Cattan et al., 2026). Surveys document substantial variation in taxonomy granularity and the difficulty of standardising lower-level error categories (Huidrom &amp; Belz, 2022, 2023).</w:t>
      </w:r>
    </w:p>
    <w:p w14:paraId="10B905A4">
      <w:pPr>
        <w:widowControl/>
      </w:pPr>
      <w:r>
        <w:t>Accordingly, the present study does not claim novelty for fine-grained annotation, cross-task error modelling, taxonomy-to-detector evaluation, individual error phenomena, or automatic factual-consistency localisation. Its distinctive contribution is the measurement sequence: independent pre-resolution human application of a predefined codebook; reliability estimates frozen before resolution; preservation of the original rater layer alongside a separately senior-adjudicated reference; then hierarchical computational recovery and validity auditing under common grouped splits, evidence conditions, and protocol perturbations.</w:t>
      </w:r>
    </w:p>
    <w:p w14:paraId="56BF962C">
      <w:pPr>
        <w:pStyle w:val="3"/>
        <w:keepNext/>
        <w:keepLines/>
      </w:pPr>
      <w:r>
        <w:rPr>
          <w:color w:val="000000"/>
        </w:rPr>
        <w:t>2.4 Grounding, factuality, and task-relative compliance</w:t>
      </w:r>
    </w:p>
    <w:p w14:paraId="1FBEC338">
      <w:pPr>
        <w:widowControl/>
        <w:spacing w:after="80"/>
      </w:pPr>
      <w:r>
        <w:t>Hallucination and factual-consistency research covers unsupported content, fabrication, contradiction, and source inconsistency (Huang et al., 2025; Ji et al., 2023; Kryściński et al., 2020; Maynez et al., 2020; Niu et al., 2024; Zhang et al., 2025). FRANK and TofuEval provide fine-grained human-grounded factuality annotations (Pagnoni et al., 2021; Tang et al., 2024), whereas InFoBench decomposes instruction compliance into verifiable requirements (Qin et al., 2024).</w:t>
      </w:r>
    </w:p>
    <w:p w14:paraId="67B881F9">
      <w:pPr>
        <w:widowControl/>
      </w:pPr>
      <w:r>
        <w:t>These constructs overlap but are not interchangeable. The framework therefore reserves HREF for internally coherent but unsupported content relative to an authorised anchor and separately records boundary status as semantic_only, hallucination_only, overlap, or no_failure. OVR codes denote boundary-sensitive inconsistency mechanisms; they are not synonyms for the overlap boundary.</w:t>
      </w:r>
    </w:p>
    <w:p w14:paraId="47D40AE3">
      <w:pPr>
        <w:pStyle w:val="3"/>
        <w:keepNext/>
        <w:keepLines/>
      </w:pPr>
      <w:r>
        <w:rPr>
          <w:color w:val="000000"/>
        </w:rPr>
        <w:t>2.5 Human annotation, inter-rater reliability, and functional severity</w:t>
      </w:r>
    </w:p>
    <w:p w14:paraId="645C045F">
      <w:pPr>
        <w:widowControl/>
        <w:spacing w:after="80"/>
      </w:pPr>
      <w:r>
        <w:t>Human-evaluation guidance emphasises explicit protocols and annotation-quality control (Elangovan et al., 2024; Klie et al., 2024; van der Lee et al., 2019). SummEval likewise illustrates that meta-evaluation of automatic metrics depends on a carefully constructed human reference layer (Fabbri et al., 2021). Recent work further shows that low-agreement items can be systematically harder for LLM classifiers/judges (J. Lu et al., 2025) and that exposing human annotators to LLM-generated suggestions can alter label distributions in subjective tasks (Schroeder et al., 2025). These precedents motivate preserving an independent human pre-resolution layer rather than treating adjudicated or AI-assisted labels as interchangeable with reliability evidence. Given the sparse fine-grained categories and adjacent-category ambiguity observed in the present data, reliability is reported through complementary agreement coefficients, confusion structure, and annotator marginals rather than a single statistic (Artstein &amp; Poesio, 2008; Cohen, 1968; Feinstein &amp; Cicchetti, 1990; Fleiss, 1971; Gwet, 2008, 2014; Hayes &amp; Krippendorff, 2007; Krippendorff, 2018; Sim &amp; Wright, 2005).</w:t>
      </w:r>
    </w:p>
    <w:p w14:paraId="146D183A">
      <w:pPr>
        <w:widowControl/>
        <w:spacing w:after="80"/>
      </w:pPr>
      <w:r>
        <w:t>Severity is also established in linguistic quality assessment. MQM treats severity as a separate dimension, and LQM combines a hierarchical error taxonomy with expert span-level annotation and severity weighting (Lommel et al., 2013; Magdy et al., 2026). Here, severity is specifically the 0–3 functional impact on task fulfilment, coded as a separate analytical axis from mechanism and grounding. The human analysis additionally conditions on likely failures to quantify how shared score-0 decisions affect full-sample reliability, while computation treats non-zero severity as a distinct ordinal target.</w:t>
      </w:r>
    </w:p>
    <w:p w14:paraId="1DDC30AC">
      <w:pPr>
        <w:pStyle w:val="3"/>
        <w:keepNext/>
        <w:keepLines/>
      </w:pPr>
      <w:r>
        <w:rPr>
          <w:color w:val="000000"/>
        </w:rPr>
        <w:t>2.6 Positioning of the present study</w:t>
      </w:r>
    </w:p>
    <w:p w14:paraId="19D0BA18">
      <w:pPr>
        <w:widowControl/>
      </w:pPr>
      <w:r>
        <w:t>Prior research has already established fine-grained error annotation, cross-task evaluation, taxonomy-to-detector pipelines, factual-consistency localisation, studies of human disagreement, and LLM-judge vulnerability audits. Closest examples of taxonomy-linked human/automatic evaluation include MISMATCH, Gaps or Hallucinations?, and QASemConsistency (Cattan et al., 2026; Hou et al., 2024; Murugesan et al., 2023). Our contrast with these precedents is not priority for any one component: it is the documented combination of locked pre-resolution measurement, downstream adjudicated-reference recovery, leakage-aware controls, and post-hoc judge-protocol sensitivity within the same bounded study.</w:t>
      </w:r>
    </w:p>
    <w:p w14:paraId="1A3B650E">
      <w:pPr>
        <w:widowControl/>
      </w:pPr>
      <w:r>
        <w:t>For information processing and management, this combination treats generated-text evaluation as an auditable measurement procedure rather than an unqualified model score. It makes provenance of human judgments, conditional eligibility and evidence access, and the specification of judge decision rules necessary parts of interpreting results. These implications follow from the four original research questions and the subsequent post-hoc audits; they are not alternative research questions. All conclusions remain within-corpus and protocol-specific. The code-family structure precedes the present study and is elaborated in a companion conceptual manuscript; its definitions are retained here and in the supplement for interpretability without claiming taxonomy novelty.</w:t>
      </w:r>
    </w:p>
    <w:p>
      <w:pPr/>
      <w:r>
        <w:t>Closest-work differentiation and non-priority claim. MISMATCH contributes cross-task mismatch types and human-judgment prediction; SNaC and QASemConsistency provide finer error localisation than the present response-level operational labels; Gaps or Hallucinations? contributes domain-expert legal error analysis and detection. Yang et al. (2025) directly establish option-symbol bias in multiple-choice language-model evaluation; E1/E2 here are therefore replication-by-application and target-specific sensitivity audits, not new perturbation operators. The distinct evidential increment is the joint, case-linked interpretation of pre-resolution rater variation, adjudicated conditional label recovery, prompt/generator blocking and post-hoc constrained-judge response-format changes. This increment has been tested only on the deliberately constructed present corpus. No superiority over the methods of these precedents is inferred because their datasets, annotations and target contracts have not been experimentally harmonised.</w:t>
      </w:r>
    </w:p>
    <w:p>
      <w:pPr>
        <w:pStyle w:val="3"/>
      </w:pPr>
      <w:r>
        <w:t>2.7 Novelty-to-evidence test against closest methodological precedents</w:t>
      </w:r>
    </w:p>
    <w:p>
      <w:pPr/>
      <w:r>
        <w:t>Table 2. Novelty-to-evidence positioning against selected methodological precedents. Note. The matrix identifies the present testable increment; it does not experimentally replicate prior systems.</w:t>
      </w:r>
    </w:p>
    <w:p>
      <w:r>
        <w:t>Construct-dependence caution. In the 460 T3-eligible adjudicated cases, the Core-SCF/OVR family distinction and the grounding-status boundary are strongly associated (Cramér’s V = 0.728; Supplementary Table S35). T3 therefore measures recovery of the operational code-family distinction, not a grounding-independent latent mechanism. This association is a property of the observed reference distribution, not a causal finding.</w:t>
      </w:r>
    </w:p>
    <w:tbl>
      <w:tblPr>
        <w:tblStyle w:val="36"/>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2364"/>
        <w:gridCol w:w="2364"/>
        <w:gridCol w:w="2364"/>
        <w:gridCol w:w="2364"/>
      </w:tblGrid>
      <w:tr>
        <w:trPr>
          <w:tblHeader w:val="true"/>
        </w:trPr>
        <w:tc>
          <w:tcPr>
            <w:tcW w:type="dxa" w:w="2364"/>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Precedent / contribution</w:t>
            </w:r>
          </w:p>
        </w:tc>
        <w:tc>
          <w:tcPr>
            <w:tcW w:type="dxa" w:w="2364"/>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Already established</w:t>
            </w:r>
          </w:p>
        </w:tc>
        <w:tc>
          <w:tcPr>
            <w:tcW w:type="dxa" w:w="2364"/>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Evidence in this study</w:t>
            </w:r>
          </w:p>
        </w:tc>
        <w:tc>
          <w:tcPr>
            <w:tcW w:type="dxa" w:w="2364"/>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6"/>
              </w:rPr>
              <w:t>Remaining boundary</w:t>
            </w:r>
          </w:p>
        </w:tc>
      </w:tr>
      <w:tr>
        <w:tc>
          <w:tcPr>
            <w:tcW w:type="dxa" w:w="2364"/>
            <w:vAlign w:val="center"/>
            <w:tcMar>
              <w:top w:w="65" w:type="dxa"/>
              <w:start w:w="68" w:type="dxa"/>
              <w:bottom w:w="65" w:type="dxa"/>
              <w:end w:w="68" w:type="dxa"/>
            </w:tcMar>
          </w:tcPr>
          <w:p>
            <w:pPr>
              <w:spacing w:after="0" w:before="0"/>
            </w:pPr>
            <w:r>
              <w:rPr>
                <w:rFonts w:ascii="Times New Roman" w:hAnsi="Times New Roman"/>
                <w:sz w:val="16"/>
              </w:rPr>
              <w:t>Fine-grained human error annotation (FRANK; QASemConsistency; MISMATCH)</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Granular labels, human evaluation, detector benchmarks</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A1–A3 frozen pre-resolution layer + senior operational reference; boundary- and severity-specific agreement</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No new ontology; no independent external annotator reference</w:t>
            </w:r>
          </w:p>
        </w:tc>
      </w:tr>
      <w:tr>
        <w:tc>
          <w:tcPr>
            <w:tcW w:type="dxa" w:w="2364"/>
            <w:vAlign w:val="center"/>
            <w:tcMar>
              <w:top w:w="65" w:type="dxa"/>
              <w:start w:w="68" w:type="dxa"/>
              <w:bottom w:w="65" w:type="dxa"/>
              <w:end w:w="68" w:type="dxa"/>
            </w:tcMar>
          </w:tcPr>
          <w:p>
            <w:pPr>
              <w:spacing w:after="0" w:before="0"/>
            </w:pPr>
            <w:r>
              <w:rPr>
                <w:rFonts w:ascii="Times New Roman" w:hAnsi="Times New Roman"/>
                <w:sz w:val="16"/>
              </w:rPr>
              <w:t>Multi-protocol grading and bias mitigation (Li &amp; Sun, 2026, IP&amp;M)</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Pointwise / pairwise frameworks and mitigation of position, content, length biases</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Paired E1/E2 perturbations of category diagnosis and per-class recovery on fixed 720/eligible subsets</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Not a debiasing technique; not a head-to-head MELD comparison</w:t>
            </w:r>
          </w:p>
        </w:tc>
      </w:tr>
      <w:tr>
        <w:tc>
          <w:tcPr>
            <w:tcW w:type="dxa" w:w="2364"/>
            <w:vAlign w:val="center"/>
            <w:tcMar>
              <w:top w:w="65" w:type="dxa"/>
              <w:start w:w="68" w:type="dxa"/>
              <w:bottom w:w="65" w:type="dxa"/>
              <w:end w:w="68" w:type="dxa"/>
            </w:tcMar>
          </w:tcPr>
          <w:p>
            <w:pPr>
              <w:spacing w:after="0" w:before="0"/>
            </w:pPr>
            <w:r>
              <w:rPr>
                <w:rFonts w:ascii="Times New Roman" w:hAnsi="Times New Roman"/>
                <w:sz w:val="16"/>
              </w:rPr>
              <w:t>Judge position-bias literature</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Response layout affects LLM preference decisions</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Separate answer-code mapping E1 from visible option ordering E2; case-level change and macro-F1 Δ</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Neither token priors nor boundary proximity causally isolated</w:t>
            </w:r>
          </w:p>
        </w:tc>
      </w:tr>
      <w:tr>
        <w:tc>
          <w:tcPr>
            <w:tcW w:type="dxa" w:w="2364"/>
            <w:vAlign w:val="center"/>
            <w:tcMar>
              <w:top w:w="65" w:type="dxa"/>
              <w:start w:w="68" w:type="dxa"/>
              <w:bottom w:w="65" w:type="dxa"/>
              <w:end w:w="68" w:type="dxa"/>
            </w:tcMar>
          </w:tcPr>
          <w:p>
            <w:pPr>
              <w:spacing w:after="0" w:before="0"/>
            </w:pPr>
            <w:r>
              <w:rPr>
                <w:rFonts w:ascii="Times New Roman" w:hAnsi="Times New Roman"/>
                <w:sz w:val="16"/>
              </w:rPr>
              <w:t>Present specific increment</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Auditable integration is the proposition to evaluate</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Joint examination of rater agreement, conditional recovery, split controls, and judge-protocol instability on aligned cases</w:t>
            </w:r>
          </w:p>
        </w:tc>
        <w:tc>
          <w:tcPr>
            <w:tcW w:type="dxa" w:w="2364"/>
            <w:vAlign w:val="center"/>
            <w:tcMar>
              <w:top w:w="65" w:type="dxa"/>
              <w:start w:w="68" w:type="dxa"/>
              <w:bottom w:w="65" w:type="dxa"/>
              <w:end w:w="68" w:type="dxa"/>
            </w:tcMar>
          </w:tcPr>
          <w:p>
            <w:pPr>
              <w:spacing w:after="0" w:before="0"/>
            </w:pPr>
            <w:r>
              <w:rPr>
                <w:rFonts w:ascii="Times New Roman" w:hAnsi="Times New Roman"/>
                <w:sz w:val="16"/>
              </w:rPr>
              <w:t>Internal measurement study; external transportability untested</w:t>
            </w:r>
          </w:p>
        </w:tc>
      </w:tr>
    </w:tbl>
    <w:p w14:paraId="5F41E701">
      <w:pPr>
        <w:pStyle w:val="2"/>
        <w:keepNext/>
        <w:keepLines/>
        <w:rPr>
          <w:rFonts w:hint="default"/>
          <w:lang w:val="en-US"/>
        </w:rPr>
      </w:pPr>
      <w:r>
        <w:rPr>
          <w:color w:val="000000"/>
        </w:rPr>
        <w:t>3. Human Measurement Study: Methods and Reference Construction</w:t>
      </w:r>
    </w:p>
    <w:p w14:paraId="69EA2203">
      <w:pPr>
        <w:pStyle w:val="3"/>
        <w:keepNext/>
        <w:keepLines/>
      </w:pPr>
      <w:r>
        <w:rPr>
          <w:color w:val="000000"/>
        </w:rPr>
        <w:t>3.1 Balanced prompt-blocked design and sample rationale</w:t>
      </w:r>
    </w:p>
    <w:p w14:paraId="4AD86184">
      <w:pPr>
        <w:widowControl/>
        <w:spacing w:after="80"/>
      </w:pPr>
      <w:r>
        <w:t>The fully crossed diagnostic design comprised 120 prompt clusters (20 for each of six tasks), each submitted once to six purposively selected SLM checkpoints, yielding 720 outputs and 20 cases in each task-by-checkpoint cell. Three annotators independently coded every output, producing 2,160 locked pre-resolution ratings. The corpus shares no prompts, sources, outputs, annotations, or identifiers with the earlier 400-case pilot.</w:t>
      </w:r>
    </w:p>
    <w:p>
      <w:r>
        <w:t>Interpretation of target denominators. T1 covers all 720 retained outputs. T2 and T4 are conditional on the 474 final GOLD-failure cases, while T3 is conditional on the 460 Core-SCF/OVR-eligible failures. Consequently, cross-target macro-F1 values are evaluations on different gold-eligible populations and must not be read as four stages of an executed end-to-end deployment pipeline.</w:t>
      </w:r>
    </w:p>
    <w:p w14:paraId="25445A4E">
      <w:pPr>
        <w:widowControl/>
        <w:spacing w:after="80"/>
      </w:pPr>
      <w:r>
        <w:t>The prompt cluster is the sampling unit because its six checkpoint outputs share one semantic demand. This dependence is preserved in bootstrap inference and computational fold assignment. The sample was designed for semantic coverage and annotation feasibility, not natural prevalence; rare categories are therefore interpreted cautiously (Table 3).</w:t>
      </w:r>
    </w:p>
    <w:p>
      <w:pPr>
        <w:spacing w:after="100"/>
      </w:pPr>
      <w:r>
        <w:t>Statistical sampling target (S01/S12). The 120 prompt clusters were deliberately constructed, balanced across six elicitation tasks, and crossed with six purposively chosen fixed generator checkpoints; neither prompts nor generators are probability samples of a defined natural-language population. The reported percentile intervals therefore describe design-conditional variation when observed prompt clusters are treated as exchangeable within this elicitation protocol (or within task strata for task-stratified sensitivity). Nominal 95% does not imply external design-based coverage across unseen domains, prompts, generator families, judges or annotators.</w:t>
      </w:r>
    </w:p>
    <w:p>
      <w:r>
        <w:t>Comparison contract. M1/M2 versus M3 are comparisons of executed evaluator and training protocols, not isolated estimates of a fine-tuning effect. M3 evidence conditions compare separately fitted systems; source-bearing availability is partly task-dependent. Dual-blocked and size-matched M3 controls hold test cases and total training-row count fixed for their designated comparison but do not equate every class, generator, or development-set component. M4 NF4 archive and later FP16 E1/E2 judges are different implementation protocols. The reported results support only these specific operational contrasts.</w:t>
      </w:r>
    </w:p>
    <w:p w14:paraId="2489CBAA">
      <w:pPr>
        <w:widowControl/>
      </w:pPr>
      <w:r>
        <w:rPr>
          <w:i w:val="0"/>
        </w:rPr>
        <w:t>Interpretive use boundary. The study supports diagnostic measurement of predefined semantic/task-relative properties, within-corpus computational recovery, and validity auditing of automatic evaluators. It does not estimate the natural prevalence of poor-quality SLM outputs, provide a universal overall information-quality score, measure end-user perceived information quality, rank model architectures, or validate deployment decisions outside the observed English-language corpus.</w:t>
      </w:r>
    </w:p>
    <w:p w14:paraId="76C73E07">
      <w:pPr>
        <w:keepNext/>
        <w:spacing w:before="100" w:after="40"/>
        <w:jc w:val="left"/>
      </w:pPr>
      <w:r>
        <w:t>Table 3. Human-study design snapshot and inferential boundaries.</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117"/>
        <w:gridCol w:w="3656"/>
        <w:gridCol w:w="3795"/>
      </w:tblGrid>
      <w:tr w14:paraId="26D3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160" w:type="dxa"/>
            <w:tcMar>
              <w:top w:w="65" w:type="dxa"/>
              <w:left w:w="55" w:type="dxa"/>
              <w:bottom w:w="65" w:type="dxa"/>
              <w:right w:w="55" w:type="dxa"/>
              <w:start w:w="68" w:type="dxa"/>
              <w:end w:w="68" w:type="dxa"/>
            </w:tcMar>
            <w:vAlign w:val="center"/>
            <w:shd w:val="clear" w:color="auto" w:fill="E8F0F8"/>
          </w:tcPr>
          <w:p w14:paraId="5955D2C3">
            <w:pPr>
              <w:spacing w:before="0" w:after="0" w:line="240" w:lineRule="auto"/>
              <w:jc w:val="center"/>
            </w:pPr>
            <w:r>
              <w:rPr>
                <w:rFonts w:ascii="Times New Roman" w:hAnsi="Times New Roman" w:eastAsia="Times New Roman" w:cs="Times New Roman"/>
                <w:b/>
                <w:color w:val="1E364D"/>
                <w:sz w:val="16"/>
              </w:rPr>
              <w:t>Design component</w:t>
            </w:r>
          </w:p>
        </w:tc>
        <w:tc>
          <w:tcPr>
            <w:tcW w:w="3744" w:type="dxa"/>
            <w:tcMar>
              <w:top w:w="65" w:type="dxa"/>
              <w:left w:w="55" w:type="dxa"/>
              <w:bottom w:w="65" w:type="dxa"/>
              <w:right w:w="55" w:type="dxa"/>
              <w:start w:w="68" w:type="dxa"/>
              <w:end w:w="68" w:type="dxa"/>
            </w:tcMar>
            <w:vAlign w:val="center"/>
            <w:shd w:val="clear" w:color="auto" w:fill="E8F0F8"/>
          </w:tcPr>
          <w:p w14:paraId="12442C94">
            <w:pPr>
              <w:spacing w:before="0" w:after="0" w:line="240" w:lineRule="auto"/>
              <w:jc w:val="center"/>
            </w:pPr>
            <w:r>
              <w:rPr>
                <w:rFonts w:ascii="Times New Roman" w:hAnsi="Times New Roman" w:eastAsia="Times New Roman" w:cs="Times New Roman"/>
                <w:b/>
                <w:color w:val="1E364D"/>
                <w:sz w:val="16"/>
              </w:rPr>
              <w:t>Implemented design</w:t>
            </w:r>
          </w:p>
        </w:tc>
        <w:tc>
          <w:tcPr>
            <w:tcW w:w="3888" w:type="dxa"/>
            <w:tcMar>
              <w:top w:w="65" w:type="dxa"/>
              <w:left w:w="55" w:type="dxa"/>
              <w:bottom w:w="65" w:type="dxa"/>
              <w:right w:w="55" w:type="dxa"/>
              <w:start w:w="68" w:type="dxa"/>
              <w:end w:w="68" w:type="dxa"/>
            </w:tcMar>
            <w:vAlign w:val="center"/>
            <w:shd w:val="clear" w:color="auto" w:fill="E8F0F8"/>
          </w:tcPr>
          <w:p w14:paraId="6767E1B2">
            <w:pPr>
              <w:spacing w:before="0" w:after="0" w:line="240" w:lineRule="auto"/>
              <w:jc w:val="center"/>
            </w:pPr>
            <w:r>
              <w:rPr>
                <w:rFonts w:ascii="Times New Roman" w:hAnsi="Times New Roman" w:eastAsia="Times New Roman" w:cs="Times New Roman"/>
                <w:b/>
                <w:color w:val="1E364D"/>
                <w:sz w:val="16"/>
              </w:rPr>
              <w:t>Inferential boundary</w:t>
            </w:r>
          </w:p>
        </w:tc>
      </w:tr>
      <w:tr w14:paraId="0815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65" w:type="dxa"/>
              <w:left w:w="55" w:type="dxa"/>
              <w:bottom w:w="65" w:type="dxa"/>
              <w:right w:w="55" w:type="dxa"/>
              <w:start w:w="68" w:type="dxa"/>
              <w:end w:w="68" w:type="dxa"/>
            </w:tcMar>
            <w:vAlign w:val="center"/>
          </w:tcPr>
          <w:p w14:paraId="5B50EE1F">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Prompt bank</w:t>
            </w:r>
          </w:p>
        </w:tc>
        <w:tc>
          <w:tcPr>
            <w:tcW w:w="3744" w:type="dxa"/>
            <w:tcMar>
              <w:top w:w="65" w:type="dxa"/>
              <w:left w:w="55" w:type="dxa"/>
              <w:bottom w:w="65" w:type="dxa"/>
              <w:right w:w="55" w:type="dxa"/>
              <w:start w:w="68" w:type="dxa"/>
              <w:end w:w="68" w:type="dxa"/>
            </w:tcMar>
            <w:vAlign w:val="center"/>
          </w:tcPr>
          <w:p w14:paraId="632412FA">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120 prompts; 20 per task</w:t>
            </w:r>
          </w:p>
        </w:tc>
        <w:tc>
          <w:tcPr>
            <w:tcW w:w="3888" w:type="dxa"/>
            <w:tcMar>
              <w:top w:w="65" w:type="dxa"/>
              <w:left w:w="55" w:type="dxa"/>
              <w:bottom w:w="65" w:type="dxa"/>
              <w:right w:w="55" w:type="dxa"/>
              <w:start w:w="68" w:type="dxa"/>
              <w:end w:w="68" w:type="dxa"/>
            </w:tcMar>
            <w:vAlign w:val="center"/>
          </w:tcPr>
          <w:p w14:paraId="4FB434F7">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Balanced diagnostic coverage, not population prevalence.</w:t>
            </w:r>
          </w:p>
        </w:tc>
      </w:tr>
      <w:tr w14:paraId="391D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65" w:type="dxa"/>
              <w:left w:w="55" w:type="dxa"/>
              <w:bottom w:w="65" w:type="dxa"/>
              <w:right w:w="55" w:type="dxa"/>
              <w:start w:w="68" w:type="dxa"/>
              <w:end w:w="68" w:type="dxa"/>
            </w:tcMar>
            <w:vAlign w:val="center"/>
          </w:tcPr>
          <w:p w14:paraId="22028B02">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Task categories</w:t>
            </w:r>
          </w:p>
        </w:tc>
        <w:tc>
          <w:tcPr>
            <w:tcW w:w="3744" w:type="dxa"/>
            <w:tcMar>
              <w:top w:w="65" w:type="dxa"/>
              <w:left w:w="55" w:type="dxa"/>
              <w:bottom w:w="65" w:type="dxa"/>
              <w:right w:w="55" w:type="dxa"/>
              <w:start w:w="68" w:type="dxa"/>
              <w:end w:w="68" w:type="dxa"/>
            </w:tcMar>
            <w:vAlign w:val="center"/>
          </w:tcPr>
          <w:p w14:paraId="027FCABE">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Six: summarisation, QA, explanation, instruction following, source-grounded generation, multi-entity/context tracking</w:t>
            </w:r>
          </w:p>
        </w:tc>
        <w:tc>
          <w:tcPr>
            <w:tcW w:w="3888" w:type="dxa"/>
            <w:tcMar>
              <w:top w:w="65" w:type="dxa"/>
              <w:left w:w="55" w:type="dxa"/>
              <w:bottom w:w="65" w:type="dxa"/>
              <w:right w:w="55" w:type="dxa"/>
              <w:start w:w="68" w:type="dxa"/>
              <w:end w:w="68" w:type="dxa"/>
            </w:tcMar>
            <w:vAlign w:val="center"/>
          </w:tcPr>
          <w:p w14:paraId="3A7D52A5">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Heterogeneous semantic demands.</w:t>
            </w:r>
          </w:p>
        </w:tc>
      </w:tr>
      <w:tr w14:paraId="14E1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65" w:type="dxa"/>
              <w:left w:w="55" w:type="dxa"/>
              <w:bottom w:w="65" w:type="dxa"/>
              <w:right w:w="55" w:type="dxa"/>
              <w:start w:w="68" w:type="dxa"/>
              <w:end w:w="68" w:type="dxa"/>
            </w:tcMar>
            <w:vAlign w:val="center"/>
          </w:tcPr>
          <w:p w14:paraId="01B2E2C4">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SLM checkpoints</w:t>
            </w:r>
          </w:p>
        </w:tc>
        <w:tc>
          <w:tcPr>
            <w:tcW w:w="3744" w:type="dxa"/>
            <w:tcMar>
              <w:top w:w="65" w:type="dxa"/>
              <w:left w:w="55" w:type="dxa"/>
              <w:bottom w:w="65" w:type="dxa"/>
              <w:right w:w="55" w:type="dxa"/>
              <w:start w:w="68" w:type="dxa"/>
              <w:end w:w="68" w:type="dxa"/>
            </w:tcMar>
            <w:vAlign w:val="center"/>
          </w:tcPr>
          <w:p w14:paraId="0EF9ACB9">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Six purposively selected checkpoints</w:t>
            </w:r>
          </w:p>
        </w:tc>
        <w:tc>
          <w:tcPr>
            <w:tcW w:w="3888" w:type="dxa"/>
            <w:tcMar>
              <w:top w:w="65" w:type="dxa"/>
              <w:left w:w="55" w:type="dxa"/>
              <w:bottom w:w="65" w:type="dxa"/>
              <w:right w:w="55" w:type="dxa"/>
              <w:start w:w="68" w:type="dxa"/>
              <w:end w:w="68" w:type="dxa"/>
            </w:tcMar>
            <w:vAlign w:val="center"/>
          </w:tcPr>
          <w:p w14:paraId="6B3D4131">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Output strata; not matched architecture treatments.</w:t>
            </w:r>
          </w:p>
        </w:tc>
      </w:tr>
      <w:tr w14:paraId="7865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65" w:type="dxa"/>
              <w:left w:w="55" w:type="dxa"/>
              <w:bottom w:w="65" w:type="dxa"/>
              <w:right w:w="55" w:type="dxa"/>
              <w:start w:w="68" w:type="dxa"/>
              <w:end w:w="68" w:type="dxa"/>
            </w:tcMar>
            <w:vAlign w:val="center"/>
          </w:tcPr>
          <w:p w14:paraId="2F28F966">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Outputs</w:t>
            </w:r>
          </w:p>
        </w:tc>
        <w:tc>
          <w:tcPr>
            <w:tcW w:w="3744" w:type="dxa"/>
            <w:tcMar>
              <w:top w:w="65" w:type="dxa"/>
              <w:left w:w="55" w:type="dxa"/>
              <w:bottom w:w="65" w:type="dxa"/>
              <w:right w:w="55" w:type="dxa"/>
              <w:start w:w="68" w:type="dxa"/>
              <w:end w:w="68" w:type="dxa"/>
            </w:tcMar>
            <w:vAlign w:val="center"/>
          </w:tcPr>
          <w:p w14:paraId="1564956F">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720 = 120 prompt clusters × 6 checkpoints</w:t>
            </w:r>
          </w:p>
        </w:tc>
        <w:tc>
          <w:tcPr>
            <w:tcW w:w="3888" w:type="dxa"/>
            <w:tcMar>
              <w:top w:w="65" w:type="dxa"/>
              <w:left w:w="55" w:type="dxa"/>
              <w:bottom w:w="65" w:type="dxa"/>
              <w:right w:w="55" w:type="dxa"/>
              <w:start w:w="68" w:type="dxa"/>
              <w:end w:w="68" w:type="dxa"/>
            </w:tcMar>
            <w:vAlign w:val="center"/>
          </w:tcPr>
          <w:p w14:paraId="6012BD83">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Nested/crossed dependence must be preserved.</w:t>
            </w:r>
          </w:p>
        </w:tc>
      </w:tr>
      <w:tr w14:paraId="4B34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65" w:type="dxa"/>
              <w:left w:w="55" w:type="dxa"/>
              <w:bottom w:w="65" w:type="dxa"/>
              <w:right w:w="55" w:type="dxa"/>
              <w:start w:w="68" w:type="dxa"/>
              <w:end w:w="68" w:type="dxa"/>
            </w:tcMar>
            <w:vAlign w:val="center"/>
          </w:tcPr>
          <w:p w14:paraId="218747A3">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Human ratings</w:t>
            </w:r>
          </w:p>
        </w:tc>
        <w:tc>
          <w:tcPr>
            <w:tcW w:w="3744" w:type="dxa"/>
            <w:tcMar>
              <w:top w:w="65" w:type="dxa"/>
              <w:left w:w="55" w:type="dxa"/>
              <w:bottom w:w="65" w:type="dxa"/>
              <w:right w:w="55" w:type="dxa"/>
              <w:start w:w="68" w:type="dxa"/>
              <w:end w:w="68" w:type="dxa"/>
            </w:tcMar>
            <w:vAlign w:val="center"/>
          </w:tcPr>
          <w:p w14:paraId="26CA1636">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2,160 = 720 × 3 annotators</w:t>
            </w:r>
          </w:p>
        </w:tc>
        <w:tc>
          <w:tcPr>
            <w:tcW w:w="3888" w:type="dxa"/>
            <w:tcMar>
              <w:top w:w="65" w:type="dxa"/>
              <w:left w:w="55" w:type="dxa"/>
              <w:bottom w:w="65" w:type="dxa"/>
              <w:right w:w="55" w:type="dxa"/>
              <w:start w:w="68" w:type="dxa"/>
              <w:end w:w="68" w:type="dxa"/>
            </w:tcMar>
            <w:vAlign w:val="center"/>
          </w:tcPr>
          <w:p w14:paraId="1D3631D5">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IAA computed before cross-rater resolution.</w:t>
            </w:r>
          </w:p>
        </w:tc>
      </w:tr>
      <w:tr w14:paraId="4D0D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Mar>
              <w:top w:w="65" w:type="dxa"/>
              <w:left w:w="55" w:type="dxa"/>
              <w:bottom w:w="65" w:type="dxa"/>
              <w:right w:w="55" w:type="dxa"/>
              <w:start w:w="68" w:type="dxa"/>
              <w:end w:w="68" w:type="dxa"/>
            </w:tcMar>
            <w:vAlign w:val="center"/>
          </w:tcPr>
          <w:p w14:paraId="4ED8A1AB">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Calibration</w:t>
            </w:r>
          </w:p>
        </w:tc>
        <w:tc>
          <w:tcPr>
            <w:tcW w:w="3744" w:type="dxa"/>
            <w:tcMar>
              <w:top w:w="65" w:type="dxa"/>
              <w:left w:w="55" w:type="dxa"/>
              <w:bottom w:w="65" w:type="dxa"/>
              <w:right w:w="55" w:type="dxa"/>
              <w:start w:w="68" w:type="dxa"/>
              <w:end w:w="68" w:type="dxa"/>
            </w:tcMar>
            <w:vAlign w:val="center"/>
          </w:tcPr>
          <w:p>
            <w:pPr>
              <w:spacing w:before="0" w:after="0"/>
            </w:pPr>
            <w:r>
              <w:rPr>
                <w:rFonts w:ascii="Times New Roman" w:hAnsi="Times New Roman"/>
                <w:sz w:val="16"/>
              </w:rPr>
              <w:t>18 separate, project-lead-created training cases</w:t>
            </w:r>
          </w:p>
        </w:tc>
        <w:tc>
          <w:tcPr>
            <w:tcW w:w="3888" w:type="dxa"/>
            <w:tcMar>
              <w:top w:w="65" w:type="dxa"/>
              <w:left w:w="55" w:type="dxa"/>
              <w:bottom w:w="65" w:type="dxa"/>
              <w:right w:w="55" w:type="dxa"/>
              <w:start w:w="68" w:type="dxa"/>
              <w:end w:w="68" w:type="dxa"/>
            </w:tcMar>
            <w:vAlign w:val="center"/>
          </w:tcPr>
          <w:p>
            <w:pPr>
              <w:spacing w:before="0" w:after="0"/>
            </w:pPr>
            <w:r>
              <w:rPr>
                <w:rFonts w:ascii="Times New Roman" w:hAnsi="Times New Roman"/>
                <w:sz w:val="16"/>
              </w:rPr>
              <w:t>Excluded from all 720-case agreement statistics.</w:t>
            </w:r>
          </w:p>
        </w:tc>
      </w:tr>
    </w:tbl>
    <w:p w14:paraId="25C71B80">
      <w:pPr>
        <w:spacing w:after="20"/>
      </w:pPr>
    </w:p>
    <w:p w14:paraId="16848A82">
      <w:pPr>
        <w:pStyle w:val="3"/>
        <w:keepNext/>
        <w:keepLines/>
      </w:pPr>
      <w:r>
        <w:rPr>
          <w:color w:val="000000"/>
        </w:rPr>
        <w:t>3.2 Prompt-bank construction and AI disclosure</w:t>
      </w:r>
    </w:p>
    <w:p w14:paraId="74546CC8">
      <w:pPr>
        <w:widowControl/>
        <w:spacing w:after="80"/>
      </w:pPr>
      <w:r>
        <w:t>Prompt construction targeted topic continuity, causal sequence, discourse structure, response-goal alignment, grounding, entity stability, and temporal/context tracking. Task-format inspiration came from summarisation evaluation (Fabbri et al., 2021), question answering (Kwiatkowski et al., 2019; Rajpurkar et al., 2016), explanation/inference (Camburu et al., 2018), instruction following (Zhou et al., 2023), source-grounded generation (Niu et al., 2024), and long-context/entity tracking (Bai et al., 2024); discourse-coherence phenomena were additionally informed by SNaC (Goyal et al., 2022). Candidate drafting was AI-assisted; the final 120 items were human-curated, and expected labels and checkpoint identity were removed from annotator-facing materials.</w:t>
        <w:t xml:space="preserve"> Because the bank was curated to elicit codebook-relevant phenomena, its observed error mix characterises a construct-probing sample, not the prevalence of failure types in unconstrained generated text; it also cannot test whether the predefined inventory exhausts possible failure modes.</w:t>
      </w:r>
    </w:p>
    <w:p w14:paraId="37829108">
      <w:pPr>
        <w:widowControl/>
        <w:spacing w:after="80"/>
      </w:pPr>
      <w:r>
        <w:t>Visible source context was supplied for summarisation, question answering, source-grounded generation, and tracking, but not for explanation or instruction-following tasks, yielding both source-bearing and source-free items for the later evidence-condition comparisons.</w:t>
        <w:t xml:space="preserve"> Thus four of the six task families always include a visible source/context and two do not; evidence availability is a task-design feature rather than a randomly assigned explanatory variable.</w:t>
      </w:r>
    </w:p>
    <w:p>
      <w:pPr/>
      <w:r>
        <w:t>Evidence availability is structurally coupled to task family (CS11). Summarisation, question answering, source-grounded generation and entity/context tracking have authorised source or prior-context evidence, whereas explanation and instruction-following do not have separate source passages. Condition C is therefore effectively B for source-free tasks; any B-to-C contrast is a comparison within the observed task/evidence configuration, not an independently randomised evidence intervention or proof that external sources improve general semantic competence.</w:t>
      </w:r>
    </w:p>
    <w:p w14:paraId="09F07579">
      <w:pPr>
        <w:pStyle w:val="3"/>
        <w:keepNext/>
        <w:keepLines/>
      </w:pPr>
      <w:r>
        <w:rPr>
          <w:color w:val="000000"/>
        </w:rPr>
        <w:t>3.3 Checkpoint selection, generation, and provenance boundary</w:t>
      </w:r>
    </w:p>
    <w:p w14:paraId="5321C261">
      <w:pPr>
        <w:widowControl/>
        <w:spacing w:after="80"/>
      </w:pPr>
      <w:r>
        <w:rPr>
          <w:rFonts w:ascii="Times New Roman" w:hAnsi="Times New Roman" w:eastAsia="Times New Roman"/>
        </w:rPr>
        <w:t>The six checkpoints were selected purposively to diversify the pool of generated outputs across model lineages, scales, tuning regimes, interfaces, and generation behaviours; they are not a representative sample, matched architecture treatments, or competitors in a leaderboard. The selected strata span T5/FLAN, OLMo-2, Mamba, RWKV, Falcon-H1, and Qwen3 lineages (Chung et al., 2024; Gu &amp; Dao, 2023; Peng et al., 2023; Raffel et al., 2020; Team OLMo et al., 2025; A. Yang et al., 2025; Zuo et al., 2025). The generation registry identifies M01 Qwen/Qwen3-0.6B, M02 google/flan-t5-base, M03 allenai/OLMo-2-0425-1B-Instruct, M04 state-spaces/mamba-370m-hf, M05 RWKV/rwkv-4-world-430m, and M06 tiiuae/Falcon-H1-0.5B-Instruct. The archive verifies 120 retained outputs per checkpoint, but exact run-matched revisions and some interface details were not retained for all checkpoints; checkpoint identity is therefore retained for provenance and sensitivity auditing only, not for comparative quality or architecture-effect claims. The supplement records available provenance and generation settings.</w:t>
      </w:r>
    </w:p>
    <w:p>
      <w:pPr/>
      <w:r>
        <w:t>Sequence-health competing explanation (CS10). In the archived Mamba stratum, 120/120 outputs had a technical repetition-health flag, including 68 template echoes and 104 nonterminal completions (Supplementary Table S37). These are overlapping flags, not mutually exclusive diagnoses and not evidence of independent discourse deficiencies. A response-level semantic label can co-occur with echoing, truncation or generation degeneration; inferences about linguistic mechanism or generator-family causation cannot separate those explanations from the saved corpus. The selected qualitative M3 audit (Supplementary S9.11) is not a representative or independent check of this confound.</w:t>
      </w:r>
    </w:p>
    <w:p w14:paraId="10F3ECCA">
      <w:pPr>
        <w:pStyle w:val="3"/>
        <w:keepNext/>
        <w:keepLines/>
      </w:pPr>
      <w:r>
        <w:rPr>
          <w:color w:val="000000"/>
        </w:rPr>
        <w:t>3.4 Annotators, training, calibration, independence, and blinding</w:t>
      </w:r>
    </w:p>
    <w:p w14:paraId="51D56C15">
      <w:pPr>
        <w:widowControl/>
        <w:spacing w:after="80"/>
      </w:pPr>
      <w:r>
        <w:t>Three linguistically trained annotators (A1–A3) coded all 720 cases. Before the main round, each independently completed the same 18-case calibration set, created by the project lead under Annotation Manual v1.2_final_locked (hereafter, the manual); these cases were excluded from all reported agreement coefficients. The three annotators completed their independent ratings by 6 August 2026.</w:t>
      </w:r>
    </w:p>
    <w:p>
      <w:pPr/>
      <w:r>
        <w:t>Version boundary. Annotation Manual v1.2_final_locked was the single governing instruction document for the locked human-annotation round; the workbooks’ Instructions and Codebook sheets were implementation aids, not competing manual editions. Provisional dataset v1.3 is a historical publication-layer dataset designation, not an annotation-manual revision. FINAL GOLD v1.0 identifies the downstream senior-adjudicated reference. The post-study linguistic clarification addendum did not retroactively revise the manual or any A1–A3 rating.</w:t>
      </w:r>
    </w:p>
    <w:p w14:paraId="68EF0039">
      <w:pPr>
        <w:widowControl/>
        <w:spacing w:after="80"/>
      </w:pPr>
      <w:r>
        <w:t>The project lead compared the three independently completed calibration sheets with the project-created answer key, returned individual clarification on category and severity distinctions, and recorded agreement percentages of 93.8% for A1, 90.3% for A2, and 87.0% for A3. The retained study archive preserves these percentages and the clarification record but not a field-by-field numerator/denominator sufficient to reconstruct the percentages independently; they are therefore treated only as documentary training diagnostics, not as inter-rater reliability estimates, pass/fail scores, or inferential results. No numerical pass threshold or post-feedback retest was prespecified.</w:t>
      </w:r>
    </w:p>
    <w:p>
      <w:pPr/>
      <w:r>
        <w:t>Calibration protocol-versus-execution boundary. Manual v1.2_final_locked describes an intended group discussion after independent calibration; the available implementation record documents individual clarification through official e-mail. The retained materials reviewed for this report do not establish whether a group discussion also occurred. We therefore report only the documented e-mail-based implementation and do not infer a group meeting, an independently assessed readiness threshold, or an observed post-feedback retest. The project-created calibration key and non-reconstructable percentages serve as process documentation, not an independently validated human-competence measure (Supplementary §S2.4).</w:t>
      </w:r>
    </w:p>
    <w:p w14:paraId="53AAFACA">
      <w:pPr>
        <w:pStyle w:val="3"/>
        <w:keepNext/>
        <w:keepLines/>
      </w:pPr>
      <w:r>
        <w:rPr>
          <w:color w:val="000000"/>
        </w:rPr>
        <w:t>3.5 Three-axis annotation framework and severity rubric</w:t>
      </w:r>
    </w:p>
    <w:p w14:paraId="1917F6D6">
      <w:pPr>
        <w:keepNext/>
      </w:pPr>
      <w:r>
        <w:t>Table 4. Three-axis annotation architecture and severity rubric.</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74"/>
        <w:gridCol w:w="3381"/>
        <w:gridCol w:w="4213"/>
      </w:tblGrid>
      <w:tr w14:paraId="5CE3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016" w:type="dxa"/>
            <w:tcMar>
              <w:top w:w="65" w:type="dxa"/>
              <w:left w:w="55" w:type="dxa"/>
              <w:bottom w:w="65" w:type="dxa"/>
              <w:right w:w="55" w:type="dxa"/>
              <w:start w:w="68" w:type="dxa"/>
              <w:end w:w="68" w:type="dxa"/>
            </w:tcMar>
            <w:vAlign w:val="center"/>
            <w:shd w:val="clear" w:color="auto" w:fill="E8F0F8"/>
          </w:tcPr>
          <w:p w14:paraId="6EA2E3D1">
            <w:pPr>
              <w:spacing w:before="0" w:after="0" w:line="240" w:lineRule="auto"/>
              <w:jc w:val="center"/>
            </w:pPr>
            <w:r>
              <w:rPr>
                <w:rFonts w:ascii="Times New Roman" w:hAnsi="Times New Roman" w:eastAsia="Times New Roman" w:cs="Times New Roman"/>
                <w:b/>
                <w:color w:val="1E364D"/>
                <w:sz w:val="16"/>
              </w:rPr>
              <w:t>Axis</w:t>
            </w:r>
          </w:p>
        </w:tc>
        <w:tc>
          <w:tcPr>
            <w:tcW w:w="3456" w:type="dxa"/>
            <w:tcMar>
              <w:top w:w="65" w:type="dxa"/>
              <w:left w:w="55" w:type="dxa"/>
              <w:bottom w:w="65" w:type="dxa"/>
              <w:right w:w="55" w:type="dxa"/>
              <w:start w:w="68" w:type="dxa"/>
              <w:end w:w="68" w:type="dxa"/>
            </w:tcMar>
            <w:vAlign w:val="center"/>
            <w:shd w:val="clear" w:color="auto" w:fill="E8F0F8"/>
          </w:tcPr>
          <w:p w14:paraId="162440CB">
            <w:pPr>
              <w:spacing w:before="0" w:after="0" w:line="240" w:lineRule="auto"/>
              <w:jc w:val="center"/>
            </w:pPr>
            <w:r>
              <w:rPr>
                <w:rFonts w:ascii="Times New Roman" w:hAnsi="Times New Roman" w:eastAsia="Times New Roman" w:cs="Times New Roman"/>
                <w:b/>
                <w:color w:val="1E364D"/>
                <w:sz w:val="16"/>
              </w:rPr>
              <w:t>Values / scope</w:t>
            </w:r>
          </w:p>
        </w:tc>
        <w:tc>
          <w:tcPr>
            <w:tcW w:w="4320" w:type="dxa"/>
            <w:tcMar>
              <w:top w:w="65" w:type="dxa"/>
              <w:left w:w="55" w:type="dxa"/>
              <w:bottom w:w="65" w:type="dxa"/>
              <w:right w:w="55" w:type="dxa"/>
              <w:start w:w="68" w:type="dxa"/>
              <w:end w:w="68" w:type="dxa"/>
            </w:tcMar>
            <w:vAlign w:val="center"/>
            <w:shd w:val="clear" w:color="auto" w:fill="E8F0F8"/>
          </w:tcPr>
          <w:p w14:paraId="06FF7F17">
            <w:pPr>
              <w:spacing w:before="0" w:after="0" w:line="240" w:lineRule="auto"/>
              <w:jc w:val="center"/>
            </w:pPr>
            <w:r>
              <w:rPr>
                <w:rFonts w:ascii="Times New Roman" w:hAnsi="Times New Roman" w:eastAsia="Times New Roman" w:cs="Times New Roman"/>
                <w:b/>
                <w:color w:val="1E364D"/>
                <w:sz w:val="16"/>
              </w:rPr>
              <w:t>Operational rule</w:t>
            </w:r>
          </w:p>
        </w:tc>
      </w:tr>
      <w:tr w14:paraId="3329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65" w:type="dxa"/>
              <w:left w:w="55" w:type="dxa"/>
              <w:bottom w:w="65" w:type="dxa"/>
              <w:right w:w="55" w:type="dxa"/>
              <w:start w:w="68" w:type="dxa"/>
              <w:end w:w="68" w:type="dxa"/>
            </w:tcMar>
            <w:vAlign w:val="center"/>
          </w:tcPr>
          <w:p w14:paraId="35CF14C2">
            <w:pPr>
              <w:spacing w:before="0" w:after="0" w:line="240" w:lineRule="auto"/>
            </w:pPr>
            <w:r>
              <w:rPr>
                <w:rFonts w:ascii="Times New Roman" w:hAnsi="Times New Roman" w:eastAsia="Times New Roman" w:cs="Times New Roman"/>
                <w:b w:val="0"/>
                <w:sz w:val="16"/>
              </w:rPr>
              <w:t>Linguistic locus / primary mechanism</w:t>
            </w:r>
          </w:p>
        </w:tc>
        <w:tc>
          <w:tcPr>
            <w:tcW w:w="3456" w:type="dxa"/>
            <w:tcMar>
              <w:top w:w="65" w:type="dxa"/>
              <w:left w:w="55" w:type="dxa"/>
              <w:bottom w:w="65" w:type="dxa"/>
              <w:right w:w="55" w:type="dxa"/>
              <w:start w:w="68" w:type="dxa"/>
              <w:end w:w="68" w:type="dxa"/>
            </w:tcMar>
            <w:vAlign w:val="center"/>
          </w:tcPr>
          <w:p w14:paraId="698EC024">
            <w:pPr>
              <w:spacing w:before="0" w:after="0" w:line="240" w:lineRule="auto"/>
            </w:pPr>
            <w:r>
              <w:rPr>
                <w:rFonts w:ascii="Times New Roman" w:hAnsi="Times New Roman" w:eastAsia="Times New Roman" w:cs="Times New Roman"/>
                <w:b w:val="0"/>
                <w:sz w:val="16"/>
              </w:rPr>
              <w:t>SCF-01–SCF-07; OVR-01–OVR-06; HREF; NONE</w:t>
            </w:r>
          </w:p>
        </w:tc>
        <w:tc>
          <w:tcPr>
            <w:tcW w:w="4320" w:type="dxa"/>
            <w:tcMar>
              <w:top w:w="65" w:type="dxa"/>
              <w:left w:w="55" w:type="dxa"/>
              <w:bottom w:w="65" w:type="dxa"/>
              <w:right w:w="55" w:type="dxa"/>
              <w:start w:w="68" w:type="dxa"/>
              <w:end w:w="68" w:type="dxa"/>
            </w:tcMar>
            <w:vAlign w:val="center"/>
          </w:tcPr>
          <w:p w14:paraId="74EC855C">
            <w:pPr>
              <w:spacing w:before="0" w:after="0" w:line="240" w:lineRule="auto"/>
            </w:pPr>
            <w:r>
              <w:rPr>
                <w:rFonts w:ascii="Times New Roman" w:hAnsi="Times New Roman" w:eastAsia="Times New Roman" w:cs="Times New Roman"/>
                <w:b w:val="0"/>
                <w:sz w:val="16"/>
              </w:rPr>
              <w:t>Select one dominant mechanism using initiating-mechanism precedence and visible evidence.</w:t>
            </w:r>
          </w:p>
        </w:tc>
      </w:tr>
      <w:tr w14:paraId="5E56D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65" w:type="dxa"/>
              <w:left w:w="55" w:type="dxa"/>
              <w:bottom w:w="65" w:type="dxa"/>
              <w:right w:w="55" w:type="dxa"/>
              <w:start w:w="68" w:type="dxa"/>
              <w:end w:w="68" w:type="dxa"/>
            </w:tcMar>
            <w:vAlign w:val="center"/>
          </w:tcPr>
          <w:p w14:paraId="54008152">
            <w:pPr>
              <w:spacing w:before="0" w:after="0" w:line="240" w:lineRule="auto"/>
            </w:pPr>
            <w:r>
              <w:rPr>
                <w:rFonts w:ascii="Times New Roman" w:hAnsi="Times New Roman" w:eastAsia="Times New Roman" w:cs="Times New Roman"/>
                <w:b w:val="0"/>
                <w:sz w:val="16"/>
              </w:rPr>
              <w:t>Grounding status</w:t>
            </w:r>
          </w:p>
        </w:tc>
        <w:tc>
          <w:tcPr>
            <w:tcW w:w="3456" w:type="dxa"/>
            <w:tcMar>
              <w:top w:w="65" w:type="dxa"/>
              <w:left w:w="55" w:type="dxa"/>
              <w:bottom w:w="65" w:type="dxa"/>
              <w:right w:w="55" w:type="dxa"/>
              <w:start w:w="68" w:type="dxa"/>
              <w:end w:w="68" w:type="dxa"/>
            </w:tcMar>
            <w:vAlign w:val="center"/>
          </w:tcPr>
          <w:p w14:paraId="2D3F9714">
            <w:pPr>
              <w:spacing w:before="0" w:after="0" w:line="240" w:lineRule="auto"/>
            </w:pPr>
            <w:r>
              <w:rPr>
                <w:rFonts w:ascii="Times New Roman" w:hAnsi="Times New Roman" w:eastAsia="Times New Roman" w:cs="Times New Roman"/>
                <w:b w:val="0"/>
                <w:sz w:val="16"/>
              </w:rPr>
              <w:t>semantic_only; hallucination_only; overlap; no_failure</w:t>
            </w:r>
          </w:p>
        </w:tc>
        <w:tc>
          <w:tcPr>
            <w:tcW w:w="4320" w:type="dxa"/>
            <w:tcMar>
              <w:top w:w="65" w:type="dxa"/>
              <w:left w:w="55" w:type="dxa"/>
              <w:bottom w:w="65" w:type="dxa"/>
              <w:right w:w="55" w:type="dxa"/>
              <w:start w:w="68" w:type="dxa"/>
              <w:end w:w="68" w:type="dxa"/>
            </w:tcMar>
            <w:vAlign w:val="center"/>
          </w:tcPr>
          <w:p w14:paraId="468DDFD9">
            <w:pPr>
              <w:spacing w:before="0" w:after="0" w:line="240" w:lineRule="auto"/>
            </w:pPr>
            <w:r>
              <w:rPr>
                <w:rFonts w:ascii="Times New Roman" w:hAnsi="Times New Roman" w:eastAsia="Times New Roman" w:cs="Times New Roman"/>
                <w:b w:val="0"/>
                <w:sz w:val="16"/>
              </w:rPr>
              <w:t>Assign independently from code family; boundary field is authoritative for grounding status.</w:t>
            </w:r>
          </w:p>
        </w:tc>
      </w:tr>
      <w:tr w14:paraId="08E6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65" w:type="dxa"/>
              <w:left w:w="55" w:type="dxa"/>
              <w:bottom w:w="65" w:type="dxa"/>
              <w:right w:w="55" w:type="dxa"/>
              <w:start w:w="68" w:type="dxa"/>
              <w:end w:w="68" w:type="dxa"/>
            </w:tcMar>
            <w:vAlign w:val="center"/>
          </w:tcPr>
          <w:p w14:paraId="5EDF85DD">
            <w:pPr>
              <w:spacing w:before="0" w:after="0" w:line="240" w:lineRule="auto"/>
            </w:pPr>
            <w:r>
              <w:rPr>
                <w:rFonts w:ascii="Times New Roman" w:hAnsi="Times New Roman" w:eastAsia="Times New Roman" w:cs="Times New Roman"/>
                <w:b w:val="0"/>
                <w:sz w:val="16"/>
              </w:rPr>
              <w:t>Functional severity</w:t>
            </w:r>
          </w:p>
        </w:tc>
        <w:tc>
          <w:tcPr>
            <w:tcW w:w="3456" w:type="dxa"/>
            <w:tcMar>
              <w:top w:w="65" w:type="dxa"/>
              <w:left w:w="55" w:type="dxa"/>
              <w:bottom w:w="65" w:type="dxa"/>
              <w:right w:w="55" w:type="dxa"/>
              <w:start w:w="68" w:type="dxa"/>
              <w:end w:w="68" w:type="dxa"/>
            </w:tcMar>
            <w:vAlign w:val="center"/>
          </w:tcPr>
          <w:p w14:paraId="5AA121E3">
            <w:pPr>
              <w:spacing w:before="0" w:after="0" w:line="240" w:lineRule="auto"/>
            </w:pPr>
            <w:r>
              <w:rPr>
                <w:rFonts w:ascii="Times New Roman" w:hAnsi="Times New Roman" w:eastAsia="Times New Roman" w:cs="Times New Roman"/>
                <w:b w:val="0"/>
                <w:sz w:val="16"/>
              </w:rPr>
              <w:t>0 None; 1 Minor; 2 Moderate; 3 Severe</w:t>
            </w:r>
          </w:p>
        </w:tc>
        <w:tc>
          <w:tcPr>
            <w:tcW w:w="4320" w:type="dxa"/>
            <w:tcMar>
              <w:top w:w="65" w:type="dxa"/>
              <w:left w:w="55" w:type="dxa"/>
              <w:bottom w:w="65" w:type="dxa"/>
              <w:right w:w="55" w:type="dxa"/>
              <w:start w:w="68" w:type="dxa"/>
              <w:end w:w="68" w:type="dxa"/>
            </w:tcMar>
            <w:vAlign w:val="center"/>
          </w:tcPr>
          <w:p w14:paraId="794E27CF">
            <w:pPr>
              <w:spacing w:before="0" w:after="0" w:line="240" w:lineRule="auto"/>
            </w:pPr>
            <w:r>
              <w:rPr>
                <w:rFonts w:ascii="Times New Roman" w:hAnsi="Times New Roman" w:eastAsia="Times New Roman" w:cs="Times New Roman"/>
                <w:b w:val="0"/>
                <w:sz w:val="16"/>
              </w:rPr>
              <w:t>Rate task impact; severity 0 reserved for NONE/no_failure.</w:t>
            </w:r>
          </w:p>
        </w:tc>
      </w:tr>
      <w:tr w14:paraId="46C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65" w:type="dxa"/>
              <w:left w:w="55" w:type="dxa"/>
              <w:bottom w:w="65" w:type="dxa"/>
              <w:right w:w="55" w:type="dxa"/>
              <w:start w:w="68" w:type="dxa"/>
              <w:end w:w="68" w:type="dxa"/>
            </w:tcMar>
            <w:vAlign w:val="center"/>
          </w:tcPr>
          <w:p w14:paraId="1E74603F">
            <w:pPr>
              <w:spacing w:before="0" w:after="0" w:line="240" w:lineRule="auto"/>
            </w:pPr>
            <w:r>
              <w:rPr>
                <w:rFonts w:ascii="Times New Roman" w:hAnsi="Times New Roman" w:eastAsia="Times New Roman" w:cs="Times New Roman"/>
                <w:b w:val="0"/>
                <w:sz w:val="16"/>
              </w:rPr>
              <w:t>Secondary mechanism</w:t>
            </w:r>
          </w:p>
        </w:tc>
        <w:tc>
          <w:tcPr>
            <w:tcW w:w="3456" w:type="dxa"/>
            <w:tcMar>
              <w:top w:w="65" w:type="dxa"/>
              <w:left w:w="55" w:type="dxa"/>
              <w:bottom w:w="65" w:type="dxa"/>
              <w:right w:w="55" w:type="dxa"/>
              <w:start w:w="68" w:type="dxa"/>
              <w:end w:w="68" w:type="dxa"/>
            </w:tcMar>
            <w:vAlign w:val="center"/>
          </w:tcPr>
          <w:p w14:paraId="79BA1F1C">
            <w:pPr>
              <w:spacing w:before="0" w:after="0" w:line="240" w:lineRule="auto"/>
            </w:pPr>
            <w:r>
              <w:rPr>
                <w:rFonts w:ascii="Times New Roman" w:hAnsi="Times New Roman" w:eastAsia="Times New Roman" w:cs="Times New Roman"/>
                <w:b w:val="0"/>
                <w:sz w:val="16"/>
              </w:rPr>
              <w:t>One materially independent additional mechanism</w:t>
            </w:r>
          </w:p>
        </w:tc>
        <w:tc>
          <w:tcPr>
            <w:tcW w:w="4320" w:type="dxa"/>
            <w:tcMar>
              <w:top w:w="65" w:type="dxa"/>
              <w:left w:w="55" w:type="dxa"/>
              <w:bottom w:w="65" w:type="dxa"/>
              <w:right w:w="55" w:type="dxa"/>
              <w:start w:w="68" w:type="dxa"/>
              <w:end w:w="68" w:type="dxa"/>
            </w:tcMar>
            <w:vAlign w:val="center"/>
          </w:tcPr>
          <w:p w14:paraId="2A610191">
            <w:pPr>
              <w:spacing w:before="0" w:after="0" w:line="240" w:lineRule="auto"/>
            </w:pPr>
            <w:r>
              <w:rPr>
                <w:rFonts w:ascii="Times New Roman" w:hAnsi="Times New Roman" w:eastAsia="Times New Roman" w:cs="Times New Roman"/>
                <w:b w:val="0"/>
                <w:sz w:val="16"/>
              </w:rPr>
              <w:t>Do not encode predictable downstream consequences as independent mechanisms.</w:t>
            </w:r>
          </w:p>
        </w:tc>
      </w:tr>
      <w:tr w14:paraId="28A0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65" w:type="dxa"/>
              <w:left w:w="55" w:type="dxa"/>
              <w:bottom w:w="65" w:type="dxa"/>
              <w:right w:w="55" w:type="dxa"/>
              <w:start w:w="68" w:type="dxa"/>
              <w:end w:w="68" w:type="dxa"/>
            </w:tcMar>
            <w:vAlign w:val="center"/>
          </w:tcPr>
          <w:p w14:paraId="4C577B57">
            <w:pPr>
              <w:spacing w:before="0" w:after="0" w:line="240" w:lineRule="auto"/>
            </w:pPr>
            <w:r>
              <w:rPr>
                <w:rFonts w:ascii="Times New Roman" w:hAnsi="Times New Roman" w:eastAsia="Times New Roman" w:cs="Times New Roman"/>
                <w:b w:val="0"/>
                <w:sz w:val="16"/>
              </w:rPr>
              <w:t>Evidence / ambiguity</w:t>
            </w:r>
          </w:p>
        </w:tc>
        <w:tc>
          <w:tcPr>
            <w:tcW w:w="3456" w:type="dxa"/>
            <w:tcMar>
              <w:top w:w="65" w:type="dxa"/>
              <w:left w:w="55" w:type="dxa"/>
              <w:bottom w:w="65" w:type="dxa"/>
              <w:right w:w="55" w:type="dxa"/>
              <w:start w:w="68" w:type="dxa"/>
              <w:end w:w="68" w:type="dxa"/>
            </w:tcMar>
            <w:vAlign w:val="center"/>
          </w:tcPr>
          <w:p w14:paraId="1843F495">
            <w:pPr>
              <w:spacing w:before="0" w:after="0" w:line="240" w:lineRule="auto"/>
            </w:pPr>
            <w:r>
              <w:rPr>
                <w:rFonts w:ascii="Times New Roman" w:hAnsi="Times New Roman" w:eastAsia="Times New Roman" w:cs="Times New Roman"/>
                <w:b w:val="0"/>
                <w:sz w:val="16"/>
              </w:rPr>
              <w:t>Evidence note, optional span, explicit ambiguity field</w:t>
            </w:r>
          </w:p>
        </w:tc>
        <w:tc>
          <w:tcPr>
            <w:tcW w:w="4320" w:type="dxa"/>
            <w:tcMar>
              <w:top w:w="65" w:type="dxa"/>
              <w:left w:w="55" w:type="dxa"/>
              <w:bottom w:w="65" w:type="dxa"/>
              <w:right w:w="55" w:type="dxa"/>
              <w:start w:w="68" w:type="dxa"/>
              <w:end w:w="68" w:type="dxa"/>
            </w:tcMar>
            <w:vAlign w:val="center"/>
          </w:tcPr>
          <w:p w14:paraId="3CFAEC95">
            <w:pPr>
              <w:spacing w:before="0" w:after="0" w:line="240" w:lineRule="auto"/>
            </w:pPr>
            <w:r>
              <w:rPr>
                <w:rFonts w:ascii="Times New Roman" w:hAnsi="Times New Roman" w:eastAsia="Times New Roman" w:cs="Times New Roman"/>
                <w:b w:val="0"/>
                <w:sz w:val="16"/>
              </w:rPr>
              <w:t>Failure ratings require evidence; residual uncertainty is recorded separately from observed disagreement.</w:t>
            </w:r>
          </w:p>
        </w:tc>
      </w:tr>
    </w:tbl>
    <w:p w14:paraId="5F71C163">
      <w:pPr>
        <w:widowControl/>
      </w:pPr>
      <w:r>
        <w:t>The predefined codebook separates three analytical fields: (i) dominant linguistic mechanism, (ii) grounding status, and (iii) functional severity. A primary mechanism is required under an initiating/dominant-mechanism rule, while a materially independent secondary mechanism may be recorded. Grounding is coded separately as semantic_only, hallucination_only, overlap, or no_failure, and severity reflects task-functional impact on a 0–3 scale rather than category identity or annotator confidence (Table 4). This operational separation does not imply statistical independence or mutually exclusive underlying linguistic phenomena.</w:t>
      </w:r>
    </w:p>
    <w:p>
      <w:pPr/>
      <w:r>
        <w:t>Historical versus post-study decision boundary (CS06/CS12). The original Annotation Manual v1.2_final_locked instructed raters to watch for “wrong format” and a “missing requested operation” in instruction-following outputs. A subsequent linguistic clarification argues that a purely cosmetic format deviation, without changed communicative operation or meaning, should not by itself be read as SCF-03. This is a retrospective interpretive distinction, not a rule established as having been applied by A1–A3, and no case-level relabeling has been performed on its basis. The post-study theoretical mapping and constructed examples likewise are not independent validation of the locked ratings.</w:t>
      </w:r>
    </w:p>
    <w:p>
      <w:pPr>
        <w:jc w:val="both"/>
      </w:pPr>
      <w:r>
        <w:rPr>
          <w:rFonts w:ascii="Times New Roman" w:hAnsi="Times New Roman"/>
          <w:b/>
          <w:sz w:val="20"/>
        </w:rPr>
        <w:t>Admissible combinations and measurement level.</w:t>
      </w:r>
      <w:r>
        <w:rPr>
          <w:rFonts w:ascii="Times New Roman" w:hAnsi="Times New Roman"/>
          <w:sz w:val="20"/>
        </w:rPr>
        <w:t xml:space="preserve"> NONE is paired with no_failure and severity 0 by rule; primary HREF corresponds to hallucination_only, whereas overlap requires both a meaning-level disturbance and authorised-evidence involvement. Non-zero severity levels are task-functional ordered categories, not calibrated intervals of end-user loss. These restrictions are design properties of the manual, so mechanically induced cross-field concordance must not be interpreted as independent evidence that three latent constructs have been recovered.</w:t>
      </w:r>
    </w:p>
    <w:p w14:paraId="64589B85">
      <w:pPr>
        <w:widowControl/>
      </w:pPr>
      <w:r>
        <w:rPr>
          <w:rFonts w:ascii="Times New Roman" w:hAnsi="Times New Roman"/>
          <w:sz w:val="18"/>
        </w:rPr>
        <w:t>The locked manual specifies fifteen primary-label codes: SCF-01–SCF-07 (discourse-coherence and task-alignment mechanisms), OVR-01–OVR-06 (contradiction, context/entity, temporal/logical, and mixed-context inconsistency mechanisms), HREF (hallucination-reference failure), and NONE (no identifiable failure). These codes are briefly identified here to preserve main-text interpretability; their complete operational definitions, examples, and nearest-category exclusions are retained in Supplementary Tables S4–S7. OVR denotes a mechanism-code family and is not synonymous with the overlap grounding boundary: an OVR case can be semantic_only or overlap. The auxiliary secondary-mechanism field supports descriptive provenance but is not used to define T1–T4 or the main reliability estimands. Because no outside-taxonomy option was prespecified, assignment of every case indicates operational coverage under this manual, not completeness of a universal taxonomy.</w:t>
      </w:r>
    </w:p>
    <w:p w14:paraId="7484B37E">
      <w:pPr>
        <w:pStyle w:val="3"/>
        <w:keepNext/>
        <w:keepLines/>
      </w:pPr>
      <w:r>
        <w:rPr>
          <w:color w:val="000000"/>
        </w:rPr>
        <w:t>3.6 Human reliability and statistical analysis</w:t>
      </w:r>
    </w:p>
    <w:p w14:paraId="77731480">
      <w:pPr>
        <w:widowControl/>
        <w:spacing w:after="80"/>
      </w:pPr>
      <w:r>
        <w:rPr>
          <w:rFonts w:ascii="Times New Roman" w:hAnsi="Times New Roman" w:eastAsia="Times New Roman"/>
          <w:b w:val="0"/>
          <w:i w:val="0"/>
          <w:sz w:val="21"/>
        </w:rPr>
        <w:t>All agreement analyses use only the three locked pre-resolution annotator workbooks. Nominal targets are evaluated with full three-rater agreement, pooled pairwise agreement, Fleiss’s kappa, Krippendorff’s nominal alpha, and Gwet’s AC1. The category universe is fixed at 15 labels, four collapsed families, and four boundary zones. Severity is evaluated primarily with Krippendorff’s ordinal alpha and secondarily with ordinal-weighted AC2, mean pairwise quadratic-weighted kappa, exact agreement, within-one agreement, and mean case-level score spread.</w:t>
      </w:r>
    </w:p>
    <w:p>
      <w:pPr/>
      <w:r>
        <w:t>Reliability-estimand versus queue-rule scope. Primary-label, derived-family, grounding-boundary, and ordinal-severity coefficients describe the reported coding decisions; the derived family reuses the primary label rather than constituting a fourth independently observed human rating. The 423-case adjudication queue, however, uses disagreement in six structured fields (primary, secondary, boundary, severity, HREF subtype, ambiguity flag). Its size does not constitute an agreement statistic for the auxiliary secondary label, subtype, or ambiguity flag. Evidence-span and evidence-note completeness likewise concerns traceability, not independent validation of the semantic justification.</w:t>
      </w:r>
    </w:p>
    <w:p>
      <w:pPr>
        <w:spacing w:after="100"/>
      </w:pPr>
      <w:r>
        <w:t>Reliability interval interpretation. The task-stratified 2,000-draw resampling quantifies variation of the observed locked-rating agreement statistics under the within-task prompt-exchangeability working assumption; it does not estimate variability from training an independent panel of annotators, revising the annotation manual, or changing the deliberately balanced task mix.</w:t>
      </w:r>
    </w:p>
    <w:p w14:paraId="3F29AE1A">
      <w:pPr>
        <w:widowControl/>
        <w:spacing w:after="80"/>
      </w:pPr>
      <w:r>
        <w:t>Ninety-five per cent confidence intervals use 2,000 task-stratified Prompt_ID-cluster bootstrap resamples (seed 20260804). Each sampled prompt retains all six checkpoint outputs and all three ratings, so neither output rows nor individual ratings are treated as independent observations. The majority-failure severity subset requires at least two non-NONE ratings and is a conditional sensitivity analysis.</w:t>
      </w:r>
    </w:p>
    <w:p w14:paraId="3BDDDF7C">
      <w:pPr>
        <w:pStyle w:val="3"/>
        <w:keepNext/>
        <w:keepLines/>
      </w:pPr>
      <w:r>
        <w:rPr>
          <w:color w:val="000000"/>
        </w:rPr>
        <w:t>3.7 Resolution, senior adjudication, and final publication-layer freeze</w:t>
      </w:r>
    </w:p>
    <w:p w14:paraId="186C564D">
      <w:pPr>
        <w:keepNext/>
      </w:pPr>
      <w:r>
        <w:t>Table 5. Resolution and adjudication flow after reliability freeze.</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364"/>
        <w:gridCol w:w="3603"/>
        <w:gridCol w:w="523"/>
        <w:gridCol w:w="2966"/>
      </w:tblGrid>
      <w:tr w14:paraId="4B82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blHeader w:val="true"/>
        </w:trPr>
        <w:tc>
          <w:tcPr>
            <w:tcW w:w="2364" w:type="dxa"/>
            <w:tcMar>
              <w:top w:w="65" w:type="dxa"/>
              <w:left w:w="60" w:type="dxa"/>
              <w:bottom w:w="65" w:type="dxa"/>
              <w:right w:w="60" w:type="dxa"/>
              <w:start w:w="68" w:type="dxa"/>
              <w:end w:w="68" w:type="dxa"/>
            </w:tcMar>
            <w:vAlign w:val="center"/>
            <w:shd w:val="clear" w:color="auto" w:fill="E8F0F8"/>
          </w:tcPr>
          <w:p w14:paraId="3B1CD2BE">
            <w:pPr>
              <w:spacing w:before="0" w:after="0" w:line="240" w:lineRule="auto"/>
              <w:rPr>
                <w:b/>
                <w:bCs w:val="0"/>
                <w:sz w:val="16"/>
                <w:szCs w:val="16"/>
              </w:rPr>
            </w:pPr>
            <w:r>
              <w:rPr>
                <w:rFonts w:ascii="Times New Roman" w:hAnsi="Times New Roman" w:eastAsia="Times New Roman"/>
                <w:b/>
                <w:bCs w:val="0"/>
                <w:color w:val="1E364D"/>
                <w:sz w:val="16"/>
                <w:szCs w:val="16"/>
              </w:rPr>
              <w:t>Stage</w:t>
            </w:r>
          </w:p>
        </w:tc>
        <w:tc>
          <w:tcPr>
            <w:tcW w:w="3603" w:type="dxa"/>
            <w:tcMar>
              <w:top w:w="65" w:type="dxa"/>
              <w:left w:w="60" w:type="dxa"/>
              <w:bottom w:w="65" w:type="dxa"/>
              <w:right w:w="60" w:type="dxa"/>
              <w:start w:w="68" w:type="dxa"/>
              <w:end w:w="68" w:type="dxa"/>
            </w:tcMar>
            <w:vAlign w:val="center"/>
            <w:shd w:val="clear" w:color="auto" w:fill="E8F0F8"/>
          </w:tcPr>
          <w:p w14:paraId="0572D78A">
            <w:pPr>
              <w:spacing w:before="0" w:after="0" w:line="240" w:lineRule="auto"/>
              <w:rPr>
                <w:b/>
                <w:bCs w:val="0"/>
                <w:sz w:val="16"/>
                <w:szCs w:val="16"/>
              </w:rPr>
            </w:pPr>
            <w:r>
              <w:rPr>
                <w:rFonts w:ascii="Times New Roman" w:hAnsi="Times New Roman" w:eastAsia="Times New Roman"/>
                <w:b/>
                <w:bCs w:val="0"/>
                <w:color w:val="1E364D"/>
                <w:sz w:val="16"/>
                <w:szCs w:val="16"/>
              </w:rPr>
              <w:t>Selection / trigger</w:t>
            </w:r>
          </w:p>
        </w:tc>
        <w:tc>
          <w:tcPr>
            <w:tcW w:w="523" w:type="dxa"/>
            <w:tcMar>
              <w:top w:w="65" w:type="dxa"/>
              <w:left w:w="60" w:type="dxa"/>
              <w:bottom w:w="65" w:type="dxa"/>
              <w:right w:w="60" w:type="dxa"/>
              <w:start w:w="68" w:type="dxa"/>
              <w:end w:w="68" w:type="dxa"/>
            </w:tcMar>
            <w:vAlign w:val="center"/>
            <w:shd w:val="clear" w:color="auto" w:fill="E8F0F8"/>
          </w:tcPr>
          <w:p w14:paraId="27130BC5">
            <w:pPr>
              <w:spacing w:before="0" w:after="0" w:line="240" w:lineRule="auto"/>
              <w:rPr>
                <w:b/>
                <w:bCs w:val="0"/>
                <w:sz w:val="16"/>
                <w:szCs w:val="16"/>
              </w:rPr>
            </w:pPr>
            <w:r>
              <w:rPr>
                <w:rFonts w:ascii="Times New Roman" w:hAnsi="Times New Roman" w:eastAsia="Times New Roman"/>
                <w:b/>
                <w:bCs w:val="0"/>
                <w:color w:val="1E364D"/>
                <w:sz w:val="16"/>
                <w:szCs w:val="16"/>
              </w:rPr>
              <w:t>N</w:t>
            </w:r>
          </w:p>
        </w:tc>
        <w:tc>
          <w:tcPr>
            <w:tcW w:w="2966" w:type="dxa"/>
            <w:tcMar>
              <w:top w:w="65" w:type="dxa"/>
              <w:left w:w="60" w:type="dxa"/>
              <w:bottom w:w="65" w:type="dxa"/>
              <w:right w:w="60" w:type="dxa"/>
              <w:start w:w="68" w:type="dxa"/>
              <w:end w:w="68" w:type="dxa"/>
            </w:tcMar>
            <w:vAlign w:val="center"/>
            <w:shd w:val="clear" w:color="auto" w:fill="E8F0F8"/>
          </w:tcPr>
          <w:p w14:paraId="584B61E1">
            <w:pPr>
              <w:spacing w:before="0" w:after="0" w:line="240" w:lineRule="auto"/>
              <w:rPr>
                <w:b/>
                <w:bCs w:val="0"/>
                <w:sz w:val="16"/>
                <w:szCs w:val="16"/>
              </w:rPr>
            </w:pPr>
            <w:r>
              <w:rPr>
                <w:rFonts w:ascii="Times New Roman" w:hAnsi="Times New Roman" w:eastAsia="Times New Roman"/>
                <w:b/>
                <w:bCs w:val="0"/>
                <w:color w:val="1E364D"/>
                <w:sz w:val="16"/>
                <w:szCs w:val="16"/>
              </w:rPr>
              <w:t>Interpretation</w:t>
            </w:r>
          </w:p>
        </w:tc>
      </w:tr>
      <w:tr w14:paraId="2DC7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364" w:type="dxa"/>
            <w:tcMar>
              <w:top w:w="65" w:type="dxa"/>
              <w:left w:w="60" w:type="dxa"/>
              <w:bottom w:w="65" w:type="dxa"/>
              <w:right w:w="60" w:type="dxa"/>
              <w:start w:w="68" w:type="dxa"/>
              <w:end w:w="68" w:type="dxa"/>
            </w:tcMar>
            <w:vAlign w:val="center"/>
          </w:tcPr>
          <w:p w14:paraId="10E13B66">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Independent annotation</w:t>
            </w:r>
          </w:p>
        </w:tc>
        <w:tc>
          <w:tcPr>
            <w:tcW w:w="3603" w:type="dxa"/>
            <w:tcMar>
              <w:top w:w="65" w:type="dxa"/>
              <w:left w:w="60" w:type="dxa"/>
              <w:bottom w:w="65" w:type="dxa"/>
              <w:right w:w="60" w:type="dxa"/>
              <w:start w:w="68" w:type="dxa"/>
              <w:end w:w="68" w:type="dxa"/>
            </w:tcMar>
            <w:vAlign w:val="center"/>
          </w:tcPr>
          <w:p w14:paraId="03039765">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A1–A3 independently coded all cases.</w:t>
            </w:r>
          </w:p>
        </w:tc>
        <w:tc>
          <w:tcPr>
            <w:tcW w:w="523" w:type="dxa"/>
            <w:tcMar>
              <w:top w:w="65" w:type="dxa"/>
              <w:left w:w="60" w:type="dxa"/>
              <w:bottom w:w="65" w:type="dxa"/>
              <w:right w:w="60" w:type="dxa"/>
              <w:start w:w="68" w:type="dxa"/>
              <w:end w:w="68" w:type="dxa"/>
            </w:tcMar>
            <w:vAlign w:val="center"/>
          </w:tcPr>
          <w:p w14:paraId="5901A2CB">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720</w:t>
            </w:r>
          </w:p>
        </w:tc>
        <w:tc>
          <w:tcPr>
            <w:tcW w:w="2966" w:type="dxa"/>
            <w:tcMar>
              <w:top w:w="65" w:type="dxa"/>
              <w:left w:w="60" w:type="dxa"/>
              <w:bottom w:w="65" w:type="dxa"/>
              <w:right w:w="60" w:type="dxa"/>
              <w:start w:w="68" w:type="dxa"/>
              <w:end w:w="68" w:type="dxa"/>
            </w:tcMar>
            <w:vAlign w:val="center"/>
          </w:tcPr>
          <w:p w14:paraId="7D4FF5F8">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Source layer for all IAA estimates; never overwritten.</w:t>
            </w:r>
          </w:p>
        </w:tc>
      </w:tr>
      <w:tr w14:paraId="7FF5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364" w:type="dxa"/>
            <w:tcMar>
              <w:top w:w="65" w:type="dxa"/>
              <w:left w:w="60" w:type="dxa"/>
              <w:bottom w:w="65" w:type="dxa"/>
              <w:right w:w="60" w:type="dxa"/>
              <w:start w:w="68" w:type="dxa"/>
              <w:end w:w="68" w:type="dxa"/>
            </w:tcMar>
            <w:vAlign w:val="center"/>
          </w:tcPr>
          <w:p w14:paraId="02E7F433">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Senior-adjudication queue</w:t>
            </w:r>
          </w:p>
        </w:tc>
        <w:tc>
          <w:tcPr>
            <w:tcW w:w="3603" w:type="dxa"/>
            <w:tcMar>
              <w:top w:w="65" w:type="dxa"/>
              <w:left w:w="60" w:type="dxa"/>
              <w:bottom w:w="65" w:type="dxa"/>
              <w:right w:w="60" w:type="dxa"/>
              <w:start w:w="68" w:type="dxa"/>
              <w:end w:w="68" w:type="dxa"/>
            </w:tcMar>
            <w:vAlign w:val="center"/>
          </w:tcPr>
          <w:p w14:paraId="44FC2BE7">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Disagreement in at least one of six structured decision fields: primary label, secondary label, grounding boundary, severity, HREF subtype, or explicit ambiguity flag.</w:t>
            </w:r>
          </w:p>
        </w:tc>
        <w:tc>
          <w:tcPr>
            <w:tcW w:w="523" w:type="dxa"/>
            <w:tcMar>
              <w:top w:w="65" w:type="dxa"/>
              <w:left w:w="60" w:type="dxa"/>
              <w:bottom w:w="65" w:type="dxa"/>
              <w:right w:w="60" w:type="dxa"/>
              <w:start w:w="68" w:type="dxa"/>
              <w:end w:w="68" w:type="dxa"/>
            </w:tcMar>
            <w:vAlign w:val="center"/>
          </w:tcPr>
          <w:p w14:paraId="5666ECA4">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423</w:t>
            </w:r>
          </w:p>
        </w:tc>
        <w:tc>
          <w:tcPr>
            <w:tcW w:w="2966" w:type="dxa"/>
            <w:tcMar>
              <w:top w:w="65" w:type="dxa"/>
              <w:left w:w="60" w:type="dxa"/>
              <w:bottom w:w="65" w:type="dxa"/>
              <w:right w:w="60" w:type="dxa"/>
              <w:start w:w="68" w:type="dxa"/>
              <w:end w:w="68" w:type="dxa"/>
            </w:tcMar>
            <w:vAlign w:val="center"/>
          </w:tcPr>
          <w:p w14:paraId="6E35D9B0">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Mechanically selected disagreement set; 297 complete-agreement cases were not adjudicated.</w:t>
            </w:r>
          </w:p>
        </w:tc>
      </w:tr>
      <w:tr w14:paraId="1271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364" w:type="dxa"/>
            <w:tcMar>
              <w:top w:w="65" w:type="dxa"/>
              <w:left w:w="60" w:type="dxa"/>
              <w:bottom w:w="65" w:type="dxa"/>
              <w:right w:w="60" w:type="dxa"/>
              <w:start w:w="68" w:type="dxa"/>
              <w:end w:w="68" w:type="dxa"/>
            </w:tcMar>
            <w:vAlign w:val="center"/>
          </w:tcPr>
          <w:p w14:paraId="0422E9B4">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Targeted manual-consistency re-review</w:t>
            </w:r>
          </w:p>
        </w:tc>
        <w:tc>
          <w:tcPr>
            <w:tcW w:w="3603" w:type="dxa"/>
            <w:tcMar>
              <w:top w:w="65" w:type="dxa"/>
              <w:left w:w="60" w:type="dxa"/>
              <w:bottom w:w="65" w:type="dxa"/>
              <w:right w:w="60" w:type="dxa"/>
              <w:start w:w="68" w:type="dxa"/>
              <w:end w:w="68" w:type="dxa"/>
            </w:tcMar>
            <w:vAlign w:val="center"/>
          </w:tcPr>
          <w:p w14:paraId="4A318929">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Project-lead audit against the same locked manual flagged 29 adjudicator closures for targeted manual-consistency re-review.</w:t>
            </w:r>
          </w:p>
        </w:tc>
        <w:tc>
          <w:tcPr>
            <w:tcW w:w="523" w:type="dxa"/>
            <w:tcMar>
              <w:top w:w="65" w:type="dxa"/>
              <w:left w:w="60" w:type="dxa"/>
              <w:bottom w:w="65" w:type="dxa"/>
              <w:right w:w="60" w:type="dxa"/>
              <w:start w:w="68" w:type="dxa"/>
              <w:end w:w="68" w:type="dxa"/>
            </w:tcMar>
            <w:vAlign w:val="center"/>
          </w:tcPr>
          <w:p w14:paraId="040CC1D9">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29</w:t>
            </w:r>
          </w:p>
        </w:tc>
        <w:tc>
          <w:tcPr>
            <w:tcW w:w="2966" w:type="dxa"/>
            <w:tcMar>
              <w:top w:w="65" w:type="dxa"/>
              <w:left w:w="60" w:type="dxa"/>
              <w:bottom w:w="65" w:type="dxa"/>
              <w:right w:w="60" w:type="dxa"/>
              <w:start w:w="68" w:type="dxa"/>
              <w:end w:w="68" w:type="dxa"/>
            </w:tcMar>
            <w:vAlign w:val="center"/>
          </w:tcPr>
          <w:p w14:paraId="3F1077C9">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Same senior adjudicator re-reviewed the flagged cases under the manual; 27 revised and 2 confirmed. Targeted same-adjudicator QC, not independent reliability.</w:t>
            </w:r>
          </w:p>
        </w:tc>
      </w:tr>
      <w:tr w14:paraId="6EEE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364" w:type="dxa"/>
            <w:tcMar>
              <w:top w:w="65" w:type="dxa"/>
              <w:left w:w="60" w:type="dxa"/>
              <w:bottom w:w="65" w:type="dxa"/>
              <w:right w:w="60" w:type="dxa"/>
              <w:start w:w="68" w:type="dxa"/>
              <w:end w:w="68" w:type="dxa"/>
            </w:tcMar>
            <w:vAlign w:val="center"/>
          </w:tcPr>
          <w:p w14:paraId="1BEF7F9A">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Clerical ordering correction</w:t>
            </w:r>
          </w:p>
        </w:tc>
        <w:tc>
          <w:tcPr>
            <w:tcW w:w="3603" w:type="dxa"/>
            <w:tcMar>
              <w:top w:w="65" w:type="dxa"/>
              <w:left w:w="60" w:type="dxa"/>
              <w:bottom w:w="65" w:type="dxa"/>
              <w:right w:w="60" w:type="dxa"/>
              <w:start w:w="68" w:type="dxa"/>
              <w:end w:w="68" w:type="dxa"/>
            </w:tcMar>
            <w:vAlign w:val="center"/>
          </w:tcPr>
          <w:p w14:paraId="51FAAC75">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Adjudicated semantic/HREF pair entered with primary/secondary order reversed relative to the overlap rule.</w:t>
            </w:r>
          </w:p>
        </w:tc>
        <w:tc>
          <w:tcPr>
            <w:tcW w:w="523" w:type="dxa"/>
            <w:tcMar>
              <w:top w:w="65" w:type="dxa"/>
              <w:left w:w="60" w:type="dxa"/>
              <w:bottom w:w="65" w:type="dxa"/>
              <w:right w:w="60" w:type="dxa"/>
              <w:start w:w="68" w:type="dxa"/>
              <w:end w:w="68" w:type="dxa"/>
            </w:tcMar>
            <w:vAlign w:val="center"/>
          </w:tcPr>
          <w:p w14:paraId="074E2879">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4</w:t>
            </w:r>
          </w:p>
        </w:tc>
        <w:tc>
          <w:tcPr>
            <w:tcW w:w="2966" w:type="dxa"/>
            <w:tcMar>
              <w:top w:w="65" w:type="dxa"/>
              <w:left w:w="60" w:type="dxa"/>
              <w:bottom w:w="65" w:type="dxa"/>
              <w:right w:w="60" w:type="dxa"/>
              <w:start w:w="68" w:type="dxa"/>
              <w:end w:w="68" w:type="dxa"/>
            </w:tcMar>
            <w:vAlign w:val="center"/>
          </w:tcPr>
          <w:p w14:paraId="42851403">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Primary/secondary fields swapped only; substantive adjudicated judgments unchanged.</w:t>
            </w:r>
          </w:p>
        </w:tc>
      </w:tr>
      <w:tr w14:paraId="27C7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364" w:type="dxa"/>
            <w:tcMar>
              <w:top w:w="65" w:type="dxa"/>
              <w:left w:w="60" w:type="dxa"/>
              <w:bottom w:w="65" w:type="dxa"/>
              <w:right w:w="60" w:type="dxa"/>
              <w:start w:w="68" w:type="dxa"/>
              <w:end w:w="68" w:type="dxa"/>
            </w:tcMar>
            <w:vAlign w:val="center"/>
          </w:tcPr>
          <w:p w14:paraId="50DA8428">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FINAL GOLD v1.0</w:t>
            </w:r>
          </w:p>
        </w:tc>
        <w:tc>
          <w:tcPr>
            <w:tcW w:w="3603" w:type="dxa"/>
            <w:tcMar>
              <w:top w:w="65" w:type="dxa"/>
              <w:left w:w="60" w:type="dxa"/>
              <w:bottom w:w="65" w:type="dxa"/>
              <w:right w:w="60" w:type="dxa"/>
              <w:start w:w="68" w:type="dxa"/>
              <w:end w:w="68" w:type="dxa"/>
            </w:tcMar>
            <w:vAlign w:val="center"/>
          </w:tcPr>
          <w:p w14:paraId="4F349ADD">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Post-QC publication reference layer.</w:t>
            </w:r>
          </w:p>
        </w:tc>
        <w:tc>
          <w:tcPr>
            <w:tcW w:w="523" w:type="dxa"/>
            <w:tcMar>
              <w:top w:w="65" w:type="dxa"/>
              <w:left w:w="60" w:type="dxa"/>
              <w:bottom w:w="65" w:type="dxa"/>
              <w:right w:w="60" w:type="dxa"/>
              <w:start w:w="68" w:type="dxa"/>
              <w:end w:w="68" w:type="dxa"/>
            </w:tcMar>
            <w:vAlign w:val="center"/>
          </w:tcPr>
          <w:p w14:paraId="100EC79C">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720</w:t>
            </w:r>
          </w:p>
        </w:tc>
        <w:tc>
          <w:tcPr>
            <w:tcW w:w="2966" w:type="dxa"/>
            <w:tcMar>
              <w:top w:w="65" w:type="dxa"/>
              <w:left w:w="60" w:type="dxa"/>
              <w:bottom w:w="65" w:type="dxa"/>
              <w:right w:w="60" w:type="dxa"/>
              <w:start w:w="68" w:type="dxa"/>
              <w:end w:w="68" w:type="dxa"/>
            </w:tcMar>
            <w:vAlign w:val="center"/>
          </w:tcPr>
          <w:p w14:paraId="28A6B9CD">
            <w:pPr>
              <w:spacing w:before="0" w:after="0" w:line="240" w:lineRule="auto"/>
              <w:rPr>
                <w:rFonts w:ascii="Times New Roman" w:hAnsi="Times New Roman" w:eastAsia="Times New Roman" w:cs="Times New Roman"/>
                <w:b w:val="0"/>
                <w:sz w:val="16"/>
              </w:rPr>
            </w:pPr>
            <w:r>
              <w:rPr>
                <w:rFonts w:ascii="Times New Roman" w:hAnsi="Times New Roman" w:eastAsia="Times New Roman" w:cs="Times New Roman"/>
                <w:b w:val="0"/>
                <w:sz w:val="16"/>
              </w:rPr>
              <w:t>Used for final descriptive outcomes and downstream computational targets.</w:t>
            </w:r>
          </w:p>
        </w:tc>
      </w:tr>
    </w:tbl>
    <w:p w14:paraId="64DCFF69">
      <w:pPr>
        <w:widowControl/>
      </w:pPr>
      <w:r>
        <w:t>Reliability estimates use the ratings completed by 6 August 2026, before cross-rater resolution, and the A1–A3 workbooks were preserved unchanged. A mechanically defined queue sent any case with disagreement in at least one of six structured fields—primary label, secondary label, boundary, severity, HREF subtype, or ambiguity flag—to a fourth linguist acting only as senior adjudicator. This selected 423 cases; 297 complete-agreement cases were not adjudicated. The adjudicator received the locked manual, visible case evidence, and submitted A1–A3 decisions, but not checkpoint identity, computational results, or expected outcomes.</w:t>
        <w:t xml:space="preserve"> These 297 non-queued cases retained the unanimous A1–A3 decision without an A4 case-level rating; the 423 queued cases received one A4 resolution. The groups consequently have different reference-construction histories.</w:t>
      </w:r>
    </w:p>
    <w:p w14:paraId="42CC3C97">
      <w:pPr>
        <w:widowControl/>
      </w:pPr>
      <w:r>
        <w:t>The senior adjudicator completed the 423-case adjudication by 8 September 2026. After the 423 closures, a project-lead manual-consistency audit flagged 29 cases for targeted same-adjudicator re-review; 27 closures were revised and two confirmed. Because selection was targeted and the same adjudicator re-reviewed the cases, this is quality control rather than inter-adjudicator reliability or a corpus-wide error estimate. A final clerical check corrected primary/secondary ordering in four overlap cases without changing failure status, boundary, severity, HREF subtype, or the adjudicated label pair. FINAL GOLD v1.0 contains 474 failures and 246 no-failure cases; Core SCF/OVR/HREF/NONE counts are 333/127/14/246 and severity 0/1/2/3 counts are 246/66/196/212. All reliability claims remain anchored to the pre-resolution layer (Table 5). There was no independent second senior expert blindly rating a random sample after freeze; therefore neither the 29-case targeted re-review nor reference-label stability can be interpreted as external criterion validation. An independent blind audit of the adjudicated reference was not carried out and is outside the empirical scope of this paper; it remains a future validation task.</w:t>
        <w:t xml:space="preserve"> The 29-case audit was enriched by a targeted selection rule, and its 27 revisions (including nine failure-status changes) cannot be converted into a population-wide reference error rate.</w:t>
      </w:r>
    </w:p>
    <w:p w14:paraId="2CDA1CD1">
      <w:pPr>
        <w:pStyle w:val="3"/>
        <w:keepNext/>
        <w:keepLines/>
      </w:pPr>
      <w:r>
        <w:rPr>
          <w:color w:val="000000"/>
        </w:rPr>
        <w:t>3.8 Measurement-validity argument and inferential boundary</w:t>
      </w:r>
    </w:p>
    <w:p w14:paraId="2915FACA">
      <w:pPr>
        <w:widowControl/>
      </w:pPr>
      <w:r>
        <w:t>The measurement evidence is layered rather than interchangeable. Literature-grounded definitions support content relevance; calibration, blinding, and separate annotator files support response-process control; locked pre-resolution agreement supports operational reproducibility within this annotation workflow; disagreement and ambiguity analyses localise boundary difficulty; and senior adjudication supplies one frozen reference decision for downstream analysis. None of these components alone establishes taxonomy completeness, statistical independence of the three axes, external annotator reproducibility, or independent criterion validity. Supplementary Table S20 summarises the resulting validity argument and its explicit inferential boundaries.</w:t>
        <w:t xml:space="preserve"> The three reported fields include deterministic rule-links and strong empirical family–grounding association, not independently demonstrated discriminant validity; the relative proportions of rare labels further limit what pooled alpha can establish about individual code reproducibility.</w:t>
      </w:r>
    </w:p>
    <w:p w14:paraId="4D2D517E">
      <w:pPr>
        <w:pStyle w:val="2"/>
        <w:keepNext/>
        <w:keepLines/>
        <w:rPr>
          <w:rFonts w:hint="default"/>
          <w:lang w:val="en-US"/>
        </w:rPr>
      </w:pPr>
      <w:r>
        <w:rPr>
          <w:color w:val="000000"/>
        </w:rPr>
        <w:t>4. Computational Recovery Experiment</w:t>
      </w:r>
      <w:r>
        <w:rPr>
          <w:rFonts w:hint="default"/>
          <w:color w:val="000000"/>
          <w:lang w:val="en-US"/>
        </w:rPr>
        <w:t xml:space="preserve">: </w:t>
      </w:r>
      <w:r>
        <w:rPr>
          <w:color w:val="000000"/>
        </w:rPr>
        <w:t>Methods and Validity Controls</w:t>
      </w:r>
    </w:p>
    <w:p w14:paraId="12E337F6">
      <w:pPr>
        <w:widowControl/>
        <w:spacing w:after="80"/>
      </w:pPr>
      <w:r>
        <w:t>This section operationalises RQ3–RQ4 without changing the predefined human codebook or FINAL GOLD v1.0. The computational experiment is a downstream recovery study, not a second annotation study. The 15 fine-grained human labels are not used as the primary supervised benchmark because several final categories are absent or extremely sparse; instead, four gold-conditioned diagnostic targets aligned with the human axes are evaluated. T2 and T4 condition on gold-defined failures, and T3 conditions on gold-defined Core-SCF/OVR cases; the reported T2–T4 results therefore quantify operational label recoverability under GOLD-known eligibility rather than an end-to-end predicted cascade or independent evidence of semantic truth. Table 6 defines the frozen target populations and status. Oracle eligibility is used only to construct the diagnostic evaluation strata, never to supply the reference answer to a judge within a prompt. In a deployed pipeline, errors made on T1 would propagate to downstream T2–T4 decisions; those end-to-end error rates were neither measured nor estimated here. Accordingly, no reported conditional macro-F1 is an estimate of end-to-end system performance.</w:t>
      </w:r>
    </w:p>
    <w:p w14:paraId="36FB75D3">
      <w:pPr>
        <w:pStyle w:val="3"/>
        <w:keepNext/>
        <w:keepLines/>
      </w:pPr>
      <w:r>
        <w:rPr>
          <w:color w:val="000000"/>
        </w:rPr>
        <w:t>4.1 Computational targets</w:t>
      </w:r>
    </w:p>
    <w:p w14:paraId="4BFFFFED">
      <w:pPr>
        <w:keepNext/>
        <w:spacing w:before="100" w:after="40"/>
        <w:jc w:val="left"/>
      </w:pPr>
      <w:r>
        <w:t>Table 6. Frozen gold-conditioned diagnostic targets and class distributions.</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734"/>
        <w:gridCol w:w="3833"/>
        <w:gridCol w:w="2610"/>
        <w:gridCol w:w="1391"/>
      </w:tblGrid>
      <w:tr w14:paraId="144F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800" w:type="dxa"/>
            <w:tcMar>
              <w:top w:w="65" w:type="dxa"/>
              <w:left w:w="55" w:type="dxa"/>
              <w:bottom w:w="65" w:type="dxa"/>
              <w:right w:w="55" w:type="dxa"/>
              <w:start w:w="68" w:type="dxa"/>
              <w:end w:w="68" w:type="dxa"/>
            </w:tcMar>
            <w:vAlign w:val="center"/>
            <w:shd w:val="clear" w:color="auto" w:fill="E8F0F8"/>
          </w:tcPr>
          <w:p w14:paraId="2BD7731A">
            <w:pPr>
              <w:spacing w:before="0" w:after="0" w:line="240" w:lineRule="auto"/>
              <w:jc w:val="center"/>
            </w:pPr>
            <w:r>
              <w:rPr>
                <w:rFonts w:ascii="Times New Roman" w:hAnsi="Times New Roman" w:eastAsia="Times New Roman" w:cs="Times New Roman"/>
                <w:b/>
                <w:color w:val="1E364D"/>
                <w:sz w:val="16"/>
              </w:rPr>
              <w:t>Task</w:t>
            </w:r>
          </w:p>
        </w:tc>
        <w:tc>
          <w:tcPr>
            <w:tcW w:w="4032" w:type="dxa"/>
            <w:tcMar>
              <w:top w:w="65" w:type="dxa"/>
              <w:left w:w="55" w:type="dxa"/>
              <w:bottom w:w="65" w:type="dxa"/>
              <w:right w:w="55" w:type="dxa"/>
              <w:start w:w="68" w:type="dxa"/>
              <w:end w:w="68" w:type="dxa"/>
            </w:tcMar>
            <w:vAlign w:val="center"/>
            <w:shd w:val="clear" w:color="auto" w:fill="E8F0F8"/>
          </w:tcPr>
          <w:p w14:paraId="3FD5107D">
            <w:pPr>
              <w:spacing w:before="0" w:after="0" w:line="240" w:lineRule="auto"/>
              <w:jc w:val="center"/>
            </w:pPr>
            <w:r>
              <w:rPr>
                <w:rFonts w:ascii="Times New Roman" w:hAnsi="Times New Roman" w:eastAsia="Times New Roman" w:cs="Times New Roman"/>
                <w:b/>
                <w:color w:val="1E364D"/>
                <w:sz w:val="16"/>
              </w:rPr>
              <w:t>Target definition</w:t>
            </w:r>
          </w:p>
        </w:tc>
        <w:tc>
          <w:tcPr>
            <w:tcW w:w="2736" w:type="dxa"/>
            <w:tcMar>
              <w:top w:w="65" w:type="dxa"/>
              <w:left w:w="55" w:type="dxa"/>
              <w:bottom w:w="65" w:type="dxa"/>
              <w:right w:w="55" w:type="dxa"/>
              <w:start w:w="68" w:type="dxa"/>
              <w:end w:w="68" w:type="dxa"/>
            </w:tcMar>
            <w:vAlign w:val="center"/>
            <w:shd w:val="clear" w:color="auto" w:fill="E8F0F8"/>
          </w:tcPr>
          <w:p w14:paraId="07CA7AA1">
            <w:pPr>
              <w:spacing w:before="0" w:after="0" w:line="240" w:lineRule="auto"/>
              <w:jc w:val="center"/>
            </w:pPr>
            <w:r>
              <w:rPr>
                <w:rFonts w:ascii="Times New Roman" w:hAnsi="Times New Roman" w:eastAsia="Times New Roman" w:cs="Times New Roman"/>
                <w:b/>
                <w:color w:val="1E364D"/>
                <w:sz w:val="16"/>
              </w:rPr>
              <w:t>N / class counts</w:t>
            </w:r>
          </w:p>
        </w:tc>
        <w:tc>
          <w:tcPr>
            <w:tcW w:w="1440" w:type="dxa"/>
            <w:tcMar>
              <w:top w:w="65" w:type="dxa"/>
              <w:left w:w="55" w:type="dxa"/>
              <w:bottom w:w="65" w:type="dxa"/>
              <w:right w:w="55" w:type="dxa"/>
              <w:start w:w="68" w:type="dxa"/>
              <w:end w:w="68" w:type="dxa"/>
            </w:tcMar>
            <w:vAlign w:val="center"/>
            <w:shd w:val="clear" w:color="auto" w:fill="E8F0F8"/>
          </w:tcPr>
          <w:p w14:paraId="7AFBB8F0">
            <w:pPr>
              <w:spacing w:before="0" w:after="0" w:line="240" w:lineRule="auto"/>
              <w:jc w:val="center"/>
            </w:pPr>
            <w:r>
              <w:rPr>
                <w:rFonts w:ascii="Times New Roman" w:hAnsi="Times New Roman" w:eastAsia="Times New Roman" w:cs="Times New Roman"/>
                <w:b/>
                <w:color w:val="1E364D"/>
                <w:sz w:val="16"/>
              </w:rPr>
              <w:t>Status</w:t>
            </w:r>
          </w:p>
        </w:tc>
      </w:tr>
      <w:tr w14:paraId="2A53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65" w:type="dxa"/>
              <w:left w:w="55" w:type="dxa"/>
              <w:bottom w:w="65" w:type="dxa"/>
              <w:right w:w="55" w:type="dxa"/>
              <w:start w:w="68" w:type="dxa"/>
              <w:end w:w="68" w:type="dxa"/>
            </w:tcMar>
            <w:vAlign w:val="center"/>
          </w:tcPr>
          <w:p w14:paraId="713161FE">
            <w:pPr>
              <w:spacing w:before="0" w:after="0" w:line="240" w:lineRule="auto"/>
            </w:pPr>
            <w:r>
              <w:rPr>
                <w:rFonts w:ascii="Times New Roman" w:hAnsi="Times New Roman" w:eastAsia="Times New Roman" w:cs="Times New Roman"/>
                <w:b w:val="0"/>
                <w:sz w:val="16"/>
              </w:rPr>
              <w:t>T1 Failure detection</w:t>
            </w:r>
          </w:p>
        </w:tc>
        <w:tc>
          <w:tcPr>
            <w:tcW w:w="4032" w:type="dxa"/>
            <w:tcMar>
              <w:top w:w="65" w:type="dxa"/>
              <w:left w:w="55" w:type="dxa"/>
              <w:bottom w:w="65" w:type="dxa"/>
              <w:right w:w="55" w:type="dxa"/>
              <w:start w:w="68" w:type="dxa"/>
              <w:end w:w="68" w:type="dxa"/>
            </w:tcMar>
            <w:vAlign w:val="center"/>
          </w:tcPr>
          <w:p w14:paraId="4C592D5D">
            <w:pPr>
              <w:spacing w:before="0" w:after="0" w:line="240" w:lineRule="auto"/>
            </w:pPr>
            <w:r>
              <w:rPr>
                <w:rFonts w:ascii="Times New Roman" w:hAnsi="Times New Roman" w:eastAsia="Times New Roman" w:cs="Times New Roman"/>
                <w:b w:val="0"/>
                <w:sz w:val="16"/>
              </w:rPr>
              <w:t>Failure vs no_failure using FINAL GOLD v1.0.</w:t>
            </w:r>
          </w:p>
        </w:tc>
        <w:tc>
          <w:tcPr>
            <w:tcW w:w="2736" w:type="dxa"/>
            <w:tcMar>
              <w:top w:w="65" w:type="dxa"/>
              <w:left w:w="55" w:type="dxa"/>
              <w:bottom w:w="65" w:type="dxa"/>
              <w:right w:w="55" w:type="dxa"/>
              <w:start w:w="68" w:type="dxa"/>
              <w:end w:w="68" w:type="dxa"/>
            </w:tcMar>
            <w:vAlign w:val="center"/>
          </w:tcPr>
          <w:p w14:paraId="160D31CB">
            <w:pPr>
              <w:spacing w:before="0" w:after="0" w:line="240" w:lineRule="auto"/>
            </w:pPr>
            <w:r>
              <w:rPr>
                <w:rFonts w:ascii="Times New Roman" w:hAnsi="Times New Roman" w:eastAsia="Times New Roman" w:cs="Times New Roman"/>
                <w:b w:val="0"/>
                <w:sz w:val="16"/>
              </w:rPr>
              <w:t>720: failure 474; no_failure 246</w:t>
            </w:r>
          </w:p>
        </w:tc>
        <w:tc>
          <w:tcPr>
            <w:tcW w:w="1440" w:type="dxa"/>
            <w:tcMar>
              <w:top w:w="65" w:type="dxa"/>
              <w:left w:w="55" w:type="dxa"/>
              <w:bottom w:w="65" w:type="dxa"/>
              <w:right w:w="55" w:type="dxa"/>
              <w:start w:w="68" w:type="dxa"/>
              <w:end w:w="68" w:type="dxa"/>
            </w:tcMar>
            <w:vAlign w:val="center"/>
          </w:tcPr>
          <w:p w14:paraId="6A4362BC">
            <w:pPr>
              <w:spacing w:before="0" w:after="0" w:line="240" w:lineRule="auto"/>
            </w:pPr>
            <w:r>
              <w:rPr>
                <w:rFonts w:ascii="Times New Roman" w:hAnsi="Times New Roman" w:eastAsia="Times New Roman" w:cs="Times New Roman"/>
                <w:b w:val="0"/>
                <w:sz w:val="16"/>
              </w:rPr>
              <w:t>Primary</w:t>
            </w:r>
          </w:p>
        </w:tc>
      </w:tr>
      <w:tr w14:paraId="4EA6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65" w:type="dxa"/>
              <w:left w:w="55" w:type="dxa"/>
              <w:bottom w:w="65" w:type="dxa"/>
              <w:right w:w="55" w:type="dxa"/>
              <w:start w:w="68" w:type="dxa"/>
              <w:end w:w="68" w:type="dxa"/>
            </w:tcMar>
            <w:vAlign w:val="center"/>
          </w:tcPr>
          <w:p w14:paraId="2659E5C8">
            <w:pPr>
              <w:spacing w:before="0" w:after="0" w:line="240" w:lineRule="auto"/>
            </w:pPr>
            <w:r>
              <w:rPr>
                <w:rFonts w:ascii="Times New Roman" w:hAnsi="Times New Roman" w:eastAsia="Times New Roman" w:cs="Times New Roman"/>
                <w:b w:val="0"/>
                <w:sz w:val="16"/>
              </w:rPr>
              <w:t>T2 Grounding involvement</w:t>
            </w:r>
          </w:p>
        </w:tc>
        <w:tc>
          <w:tcPr>
            <w:tcW w:w="4032" w:type="dxa"/>
            <w:tcMar>
              <w:top w:w="65" w:type="dxa"/>
              <w:left w:w="55" w:type="dxa"/>
              <w:bottom w:w="65" w:type="dxa"/>
              <w:right w:w="55" w:type="dxa"/>
              <w:start w:w="68" w:type="dxa"/>
              <w:end w:w="68" w:type="dxa"/>
            </w:tcMar>
            <w:vAlign w:val="center"/>
          </w:tcPr>
          <w:p w14:paraId="560A44D2">
            <w:pPr>
              <w:spacing w:before="0" w:after="0" w:line="240" w:lineRule="auto"/>
            </w:pPr>
            <w:r>
              <w:rPr>
                <w:rFonts w:ascii="Times New Roman" w:hAnsi="Times New Roman" w:eastAsia="Times New Roman" w:cs="Times New Roman"/>
                <w:b w:val="0"/>
                <w:sz w:val="16"/>
              </w:rPr>
              <w:t>Among failures: semantic_only vs grounding-involved, where grounding-involved = overlap + hallucination_only.</w:t>
            </w:r>
          </w:p>
        </w:tc>
        <w:tc>
          <w:tcPr>
            <w:tcW w:w="2736" w:type="dxa"/>
            <w:tcMar>
              <w:top w:w="65" w:type="dxa"/>
              <w:left w:w="55" w:type="dxa"/>
              <w:bottom w:w="65" w:type="dxa"/>
              <w:right w:w="55" w:type="dxa"/>
              <w:start w:w="68" w:type="dxa"/>
              <w:end w:w="68" w:type="dxa"/>
            </w:tcMar>
            <w:vAlign w:val="center"/>
          </w:tcPr>
          <w:p w14:paraId="7F9F3D17">
            <w:pPr>
              <w:spacing w:before="0" w:after="0" w:line="240" w:lineRule="auto"/>
            </w:pPr>
            <w:r>
              <w:rPr>
                <w:rFonts w:ascii="Times New Roman" w:hAnsi="Times New Roman" w:eastAsia="Times New Roman" w:cs="Times New Roman"/>
                <w:b w:val="0"/>
                <w:sz w:val="16"/>
              </w:rPr>
              <w:t>474: semantic_only 296; grounding-involved 178</w:t>
            </w:r>
          </w:p>
        </w:tc>
        <w:tc>
          <w:tcPr>
            <w:tcW w:w="1440" w:type="dxa"/>
            <w:tcMar>
              <w:top w:w="65" w:type="dxa"/>
              <w:left w:w="55" w:type="dxa"/>
              <w:bottom w:w="65" w:type="dxa"/>
              <w:right w:w="55" w:type="dxa"/>
              <w:start w:w="68" w:type="dxa"/>
              <w:end w:w="68" w:type="dxa"/>
            </w:tcMar>
            <w:vAlign w:val="center"/>
          </w:tcPr>
          <w:p w14:paraId="583F1DFC">
            <w:pPr>
              <w:spacing w:before="0" w:after="0" w:line="240" w:lineRule="auto"/>
            </w:pPr>
            <w:r>
              <w:rPr>
                <w:rFonts w:ascii="Times New Roman" w:hAnsi="Times New Roman" w:eastAsia="Times New Roman" w:cs="Times New Roman"/>
                <w:b w:val="0"/>
                <w:sz w:val="16"/>
              </w:rPr>
              <w:t>Primary</w:t>
            </w:r>
          </w:p>
        </w:tc>
      </w:tr>
      <w:tr w14:paraId="1691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65" w:type="dxa"/>
              <w:left w:w="55" w:type="dxa"/>
              <w:bottom w:w="65" w:type="dxa"/>
              <w:right w:w="55" w:type="dxa"/>
              <w:start w:w="68" w:type="dxa"/>
              <w:end w:w="68" w:type="dxa"/>
            </w:tcMar>
            <w:vAlign w:val="center"/>
          </w:tcPr>
          <w:p w14:paraId="097DD03E">
            <w:pPr>
              <w:spacing w:before="0" w:after="0" w:line="240" w:lineRule="auto"/>
            </w:pPr>
            <w:r>
              <w:rPr>
                <w:rFonts w:ascii="Times New Roman" w:hAnsi="Times New Roman" w:eastAsia="Times New Roman" w:cs="Times New Roman"/>
                <w:b w:val="0"/>
                <w:sz w:val="16"/>
              </w:rPr>
              <w:t>T3 Mechanism family</w:t>
            </w:r>
          </w:p>
        </w:tc>
        <w:tc>
          <w:tcPr>
            <w:tcW w:w="4032" w:type="dxa"/>
            <w:tcMar>
              <w:top w:w="65" w:type="dxa"/>
              <w:left w:w="55" w:type="dxa"/>
              <w:bottom w:w="65" w:type="dxa"/>
              <w:right w:w="55" w:type="dxa"/>
              <w:start w:w="68" w:type="dxa"/>
              <w:end w:w="68" w:type="dxa"/>
            </w:tcMar>
            <w:vAlign w:val="center"/>
          </w:tcPr>
          <w:p w14:paraId="05AB3B2F">
            <w:pPr>
              <w:spacing w:before="0" w:after="0" w:line="240" w:lineRule="auto"/>
            </w:pPr>
            <w:r>
              <w:rPr>
                <w:rFonts w:ascii="Times New Roman" w:hAnsi="Times New Roman" w:eastAsia="Times New Roman" w:cs="Times New Roman"/>
                <w:b w:val="0"/>
                <w:sz w:val="16"/>
              </w:rPr>
              <w:t>Among final Core-SCF/OVR family cases: Core SCF vs OVR. HREF and NONE excluded.</w:t>
            </w:r>
          </w:p>
        </w:tc>
        <w:tc>
          <w:tcPr>
            <w:tcW w:w="2736" w:type="dxa"/>
            <w:tcMar>
              <w:top w:w="65" w:type="dxa"/>
              <w:left w:w="55" w:type="dxa"/>
              <w:bottom w:w="65" w:type="dxa"/>
              <w:right w:w="55" w:type="dxa"/>
              <w:start w:w="68" w:type="dxa"/>
              <w:end w:w="68" w:type="dxa"/>
            </w:tcMar>
            <w:vAlign w:val="center"/>
          </w:tcPr>
          <w:p w14:paraId="14622EC9">
            <w:pPr>
              <w:spacing w:before="0" w:after="0" w:line="240" w:lineRule="auto"/>
            </w:pPr>
            <w:r>
              <w:rPr>
                <w:rFonts w:ascii="Times New Roman" w:hAnsi="Times New Roman" w:eastAsia="Times New Roman" w:cs="Times New Roman"/>
                <w:b w:val="0"/>
                <w:sz w:val="16"/>
              </w:rPr>
              <w:t>460: Core SCF 333; OVR 127</w:t>
            </w:r>
          </w:p>
        </w:tc>
        <w:tc>
          <w:tcPr>
            <w:tcW w:w="1440" w:type="dxa"/>
            <w:tcMar>
              <w:top w:w="65" w:type="dxa"/>
              <w:left w:w="55" w:type="dxa"/>
              <w:bottom w:w="65" w:type="dxa"/>
              <w:right w:w="55" w:type="dxa"/>
              <w:start w:w="68" w:type="dxa"/>
              <w:end w:w="68" w:type="dxa"/>
            </w:tcMar>
            <w:vAlign w:val="center"/>
          </w:tcPr>
          <w:p w14:paraId="435E51A4">
            <w:pPr>
              <w:spacing w:before="0" w:after="0" w:line="240" w:lineRule="auto"/>
            </w:pPr>
            <w:r>
              <w:rPr>
                <w:rFonts w:ascii="Times New Roman" w:hAnsi="Times New Roman" w:eastAsia="Times New Roman" w:cs="Times New Roman"/>
                <w:b w:val="0"/>
                <w:sz w:val="16"/>
              </w:rPr>
              <w:t>Secondary</w:t>
            </w:r>
          </w:p>
        </w:tc>
      </w:tr>
      <w:tr w14:paraId="7506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65" w:type="dxa"/>
              <w:left w:w="55" w:type="dxa"/>
              <w:bottom w:w="65" w:type="dxa"/>
              <w:right w:w="55" w:type="dxa"/>
              <w:start w:w="68" w:type="dxa"/>
              <w:end w:w="68" w:type="dxa"/>
            </w:tcMar>
            <w:vAlign w:val="center"/>
          </w:tcPr>
          <w:p w14:paraId="1CB5CD1E">
            <w:pPr>
              <w:spacing w:before="0" w:after="0" w:line="240" w:lineRule="auto"/>
            </w:pPr>
            <w:r>
              <w:rPr>
                <w:rFonts w:ascii="Times New Roman" w:hAnsi="Times New Roman" w:eastAsia="Times New Roman" w:cs="Times New Roman"/>
                <w:b w:val="0"/>
                <w:sz w:val="16"/>
              </w:rPr>
              <w:t>T4 Functional severity</w:t>
            </w:r>
          </w:p>
        </w:tc>
        <w:tc>
          <w:tcPr>
            <w:tcW w:w="4032" w:type="dxa"/>
            <w:tcMar>
              <w:top w:w="65" w:type="dxa"/>
              <w:left w:w="55" w:type="dxa"/>
              <w:bottom w:w="65" w:type="dxa"/>
              <w:right w:w="55" w:type="dxa"/>
              <w:start w:w="68" w:type="dxa"/>
              <w:end w:w="68" w:type="dxa"/>
            </w:tcMar>
            <w:vAlign w:val="center"/>
          </w:tcPr>
          <w:p w14:paraId="2B95787E">
            <w:pPr>
              <w:spacing w:before="0" w:after="0" w:line="240" w:lineRule="auto"/>
            </w:pPr>
            <w:r>
              <w:rPr>
                <w:rFonts w:ascii="Times New Roman" w:hAnsi="Times New Roman" w:eastAsia="Times New Roman" w:cs="Times New Roman"/>
                <w:b w:val="0"/>
                <w:sz w:val="16"/>
              </w:rPr>
              <w:t>Among failures only: severity 1 vs 2 vs 3. Severity 0 excluded.</w:t>
            </w:r>
          </w:p>
        </w:tc>
        <w:tc>
          <w:tcPr>
            <w:tcW w:w="2736" w:type="dxa"/>
            <w:tcMar>
              <w:top w:w="65" w:type="dxa"/>
              <w:left w:w="55" w:type="dxa"/>
              <w:bottom w:w="65" w:type="dxa"/>
              <w:right w:w="55" w:type="dxa"/>
              <w:start w:w="68" w:type="dxa"/>
              <w:end w:w="68" w:type="dxa"/>
            </w:tcMar>
            <w:vAlign w:val="center"/>
          </w:tcPr>
          <w:p w14:paraId="1B747FBF">
            <w:pPr>
              <w:spacing w:before="0" w:after="0" w:line="240" w:lineRule="auto"/>
            </w:pPr>
            <w:r>
              <w:rPr>
                <w:rFonts w:ascii="Times New Roman" w:hAnsi="Times New Roman" w:eastAsia="Times New Roman" w:cs="Times New Roman"/>
                <w:b w:val="0"/>
                <w:sz w:val="16"/>
              </w:rPr>
              <w:t>474: minor 66; moderate 196; severe 212</w:t>
            </w:r>
          </w:p>
        </w:tc>
        <w:tc>
          <w:tcPr>
            <w:tcW w:w="1440" w:type="dxa"/>
            <w:tcMar>
              <w:top w:w="65" w:type="dxa"/>
              <w:left w:w="55" w:type="dxa"/>
              <w:bottom w:w="65" w:type="dxa"/>
              <w:right w:w="55" w:type="dxa"/>
              <w:start w:w="68" w:type="dxa"/>
              <w:end w:w="68" w:type="dxa"/>
            </w:tcMar>
            <w:vAlign w:val="center"/>
          </w:tcPr>
          <w:p w14:paraId="7AA707FE">
            <w:pPr>
              <w:spacing w:before="0" w:after="0" w:line="240" w:lineRule="auto"/>
            </w:pPr>
            <w:r>
              <w:rPr>
                <w:rFonts w:ascii="Times New Roman" w:hAnsi="Times New Roman" w:eastAsia="Times New Roman" w:cs="Times New Roman"/>
                <w:b w:val="0"/>
                <w:sz w:val="16"/>
              </w:rPr>
              <w:t>Secondary ordinal</w:t>
            </w:r>
          </w:p>
        </w:tc>
      </w:tr>
    </w:tbl>
    <w:p w14:paraId="5FEA2BDE">
      <w:pPr>
        <w:pStyle w:val="4"/>
        <w:keepNext/>
        <w:keepLines/>
      </w:pPr>
      <w:r>
        <w:rPr>
          <w:color w:val="000000"/>
        </w:rPr>
        <w:t>4.1.1 Experimental precedents and target rationale</w:t>
      </w:r>
    </w:p>
    <w:p w14:paraId="63493BCC">
      <w:pPr>
        <w:widowControl/>
      </w:pPr>
      <w:r>
        <w:t>The four targets align with established evaluation tasks while operationalising the present codebook. T1–T2 draw on factual and grounded-consistency evaluation precedents (Honovich et al., 2022; Niu et al., 2024); T3 draws on fine-grained inconsistency localisation and classification (Chan et al., 2023; Zhu et al., 2023); and T4 draws on explicit severity-aware linguistic quality frameworks (Lommel et al., 2013; Magdy et al., 2026).</w:t>
      </w:r>
    </w:p>
    <w:p w14:paraId="1563F884">
      <w:pPr>
        <w:spacing w:after="20"/>
      </w:pPr>
    </w:p>
    <w:p w14:paraId="792D0A74">
      <w:pPr>
        <w:widowControl/>
        <w:spacing w:after="80"/>
      </w:pPr>
      <w:r>
        <w:t>The 15-label automatic task is exploratory only because one of the 15 final primary codes (OVR-06) is unrepresented and other codes are extremely sparse and several others contain only one to six cases. The available codebook also has no outside-taxonomy primary-label choice; classification coverage is imposed by the response scheme, not an observed proof that the label set is exhaustive.</w:t>
      </w:r>
    </w:p>
    <w:p w14:paraId="306B0C94">
      <w:pPr>
        <w:pStyle w:val="3"/>
        <w:keepNext/>
        <w:keepLines/>
      </w:pPr>
      <w:r>
        <w:rPr>
          <w:color w:val="000000"/>
        </w:rPr>
        <w:t>4.2 Input conditions and leakage controls</w:t>
      </w:r>
    </w:p>
    <w:p w14:paraId="6111C1E5">
      <w:pPr>
        <w:widowControl/>
        <w:spacing w:after="80"/>
      </w:pPr>
      <w:r>
        <w:t xml:space="preserve">For each target, three defined evidence conditions vary only the permitted task information. For item </w:t>
      </w:r>
      <w:r>
        <w:rPr>
          <w:rFonts w:ascii="Cambria Math" w:hAnsi="Cambria Math" w:eastAsia="Cambria Math"/>
        </w:rPr>
        <w:t>i</w:t>
      </w:r>
      <w:r>
        <w:t xml:space="preserve">, let </w:t>
      </w:r>
      <w:r>
        <w:rPr>
          <w:rFonts w:ascii="Cambria Math" w:hAnsi="Cambria Math" w:eastAsia="Cambria Math"/>
        </w:rPr>
        <w:t>o</w:t>
      </w:r>
      <w:r>
        <w:rPr>
          <w:rFonts w:ascii="Cambria Math" w:hAnsi="Cambria Math" w:eastAsia="Cambria Math"/>
          <w:vertAlign w:val="subscript"/>
        </w:rPr>
        <w:t>i</w:t>
      </w:r>
      <w:r>
        <w:t xml:space="preserve"> denote the generated output, </w:t>
      </w:r>
      <w:r>
        <w:rPr>
          <w:rFonts w:ascii="Cambria Math" w:hAnsi="Cambria Math" w:eastAsia="Cambria Math"/>
        </w:rPr>
        <w:t>p</w:t>
      </w:r>
      <w:r>
        <w:rPr>
          <w:rFonts w:ascii="Cambria Math" w:hAnsi="Cambria Math" w:eastAsia="Cambria Math"/>
          <w:vertAlign w:val="subscript"/>
        </w:rPr>
        <w:t>i</w:t>
      </w:r>
      <w:r>
        <w:t xml:space="preserve"> the prompt/task instruction, and </w:t>
      </w:r>
      <w:r>
        <w:rPr>
          <w:rFonts w:ascii="Cambria Math" w:hAnsi="Cambria Math" w:eastAsia="Cambria Math"/>
        </w:rPr>
        <w:t>s</w:t>
      </w:r>
      <w:r>
        <w:rPr>
          <w:rFonts w:ascii="Cambria Math" w:hAnsi="Cambria Math" w:eastAsia="Cambria Math"/>
          <w:vertAlign w:val="subscript"/>
        </w:rPr>
        <w:t>i</w:t>
      </w:r>
      <w:r>
        <w:t xml:space="preserve"> the authorised source/context when defined. The three inputs are given in Eqs. (1)–(3).</w:t>
      </w:r>
    </w:p>
    <w:p w14:paraId="151C4446">
      <w:pPr>
        <w:keepNext w:val="0"/>
        <w:keepLines/>
        <w:tabs>
          <w:tab w:val="center" w:pos="4729"/>
          <w:tab w:val="right" w:pos="9458"/>
        </w:tabs>
        <w:spacing w:before="50" w:after="40"/>
      </w:pPr>
      <w:r>
        <w:tab/>
      </w:r>
      <m:oMath>
        <m:sSubSup>
          <m:sSubSupPr/>
          <m:e>
            <m:r>
              <m:rPr/>
              <m:t>x</m:t>
            </m:r>
          </m:e>
          <m:sub>
            <m:r>
              <m:rPr/>
              <m:t>i</m:t>
            </m:r>
          </m:sub>
          <m:sup>
            <m:d>
              <m:dPr>
                <m:sepChr m:val=""/>
              </m:dPr>
              <m:e>
                <m:r>
                  <m:rPr/>
                  <m:t>A</m:t>
                </m:r>
              </m:e>
            </m:d>
          </m:sup>
        </m:sSubSup>
        <m:r>
          <m:rPr>
            <m:sty m:val="p"/>
          </m:rPr>
          <m:t>=</m:t>
        </m:r>
        <m:sSub>
          <m:sSubPr/>
          <m:e>
            <m:r>
              <m:rPr/>
              <m:t>o</m:t>
            </m:r>
          </m:e>
          <m:sub>
            <m:r>
              <m:rPr/>
              <m:t>i</m:t>
            </m:r>
          </m:sub>
        </m:sSub>
      </m:oMath>
      <w:r>
        <w:tab/>
      </w:r>
      <w:r>
        <w:rPr>
          <w:rFonts w:ascii="Times New Roman" w:hAnsi="Times New Roman" w:eastAsia="Times New Roman" w:cs="Times New Roman"/>
          <w:sz w:val="21"/>
          <w:szCs w:val="21"/>
        </w:rPr>
        <w:t>(1)</w:t>
      </w:r>
    </w:p>
    <w:p w14:paraId="4FF51C86">
      <w:pPr>
        <w:keepNext w:val="0"/>
        <w:keepLines/>
        <w:tabs>
          <w:tab w:val="center" w:pos="4729"/>
          <w:tab w:val="right" w:pos="9458"/>
        </w:tabs>
        <w:spacing w:before="50" w:after="40"/>
      </w:pPr>
      <w:r>
        <w:tab/>
      </w:r>
      <m:oMath>
        <m:sSubSup>
          <m:sSubSupPr/>
          <m:e>
            <m:r>
              <m:rPr/>
              <m:t>x</m:t>
            </m:r>
          </m:e>
          <m:sub>
            <m:r>
              <m:rPr/>
              <m:t>i</m:t>
            </m:r>
          </m:sub>
          <m:sup>
            <m:d>
              <m:dPr>
                <m:sepChr m:val=""/>
              </m:dPr>
              <m:e>
                <m:r>
                  <m:rPr/>
                  <m:t>B</m:t>
                </m:r>
              </m:e>
            </m:d>
          </m:sup>
        </m:sSubSup>
        <m:r>
          <m:rPr>
            <m:sty m:val="p"/>
          </m:rPr>
          <m:t>=</m:t>
        </m:r>
        <m:d>
          <m:dPr>
            <m:begChr m:val="["/>
            <m:sepChr m:val=""/>
            <m:endChr m:val="]"/>
          </m:dPr>
          <m:e>
            <m:sSub>
              <m:sSubPr/>
              <m:e>
                <m:r>
                  <m:rPr/>
                  <m:t>p</m:t>
                </m:r>
              </m:e>
              <m:sub>
                <m:r>
                  <m:rPr/>
                  <m:t>i</m:t>
                </m:r>
              </m:sub>
            </m:sSub>
            <m:r>
              <m:rPr>
                <m:sty m:val="p"/>
              </m:rPr>
              <m:t>;</m:t>
            </m:r>
            <m:sSub>
              <m:sSubPr/>
              <m:e>
                <m:r>
                  <m:rPr/>
                  <m:t>o</m:t>
                </m:r>
              </m:e>
              <m:sub>
                <m:r>
                  <m:rPr/>
                  <m:t>i</m:t>
                </m:r>
              </m:sub>
            </m:sSub>
          </m:e>
        </m:d>
      </m:oMath>
      <w:r>
        <w:tab/>
      </w:r>
      <w:r>
        <w:rPr>
          <w:rFonts w:ascii="Times New Roman" w:hAnsi="Times New Roman" w:eastAsia="Times New Roman" w:cs="Times New Roman"/>
          <w:sz w:val="21"/>
          <w:szCs w:val="21"/>
        </w:rPr>
        <w:t>(2)</w:t>
      </w:r>
    </w:p>
    <w:p w14:paraId="199C8CC5">
      <w:pPr>
        <w:keepNext w:val="0"/>
        <w:keepLines/>
        <w:tabs>
          <w:tab w:val="center" w:pos="4729"/>
          <w:tab w:val="right" w:pos="9458"/>
        </w:tabs>
        <w:spacing w:before="50" w:after="40"/>
      </w:pPr>
      <w:r>
        <w:tab/>
      </w:r>
      <m:oMath>
        <m:sSubSup>
          <m:sSubSupPr/>
          <m:e>
            <m:r>
              <m:rPr/>
              <m:t>x</m:t>
            </m:r>
          </m:e>
          <m:sub>
            <m:r>
              <m:rPr/>
              <m:t>i</m:t>
            </m:r>
          </m:sub>
          <m:sup>
            <m:d>
              <m:dPr>
                <m:sepChr m:val=""/>
              </m:dPr>
              <m:e>
                <m:r>
                  <m:rPr/>
                  <m:t>C</m:t>
                </m:r>
              </m:e>
            </m:d>
          </m:sup>
        </m:sSubSup>
        <m:r>
          <m:rPr>
            <m:sty m:val="p"/>
          </m:rPr>
          <m:t>=</m:t>
        </m:r>
        <m:d>
          <m:dPr>
            <m:begChr m:val="["/>
            <m:sepChr m:val=""/>
            <m:endChr m:val="]"/>
          </m:dPr>
          <m:e>
            <m:sSub>
              <m:sSubPr/>
              <m:e>
                <m:r>
                  <m:rPr/>
                  <m:t>p</m:t>
                </m:r>
              </m:e>
              <m:sub>
                <m:r>
                  <m:rPr/>
                  <m:t>i</m:t>
                </m:r>
              </m:sub>
            </m:sSub>
            <m:r>
              <m:rPr>
                <m:sty m:val="p"/>
              </m:rPr>
              <m:t>;</m:t>
            </m:r>
            <m:sSub>
              <m:sSubPr/>
              <m:e>
                <m:r>
                  <m:rPr/>
                  <m:t>s</m:t>
                </m:r>
              </m:e>
              <m:sub>
                <m:r>
                  <m:rPr/>
                  <m:t>i</m:t>
                </m:r>
              </m:sub>
            </m:sSub>
            <m:r>
              <m:rPr>
                <m:sty m:val="p"/>
              </m:rPr>
              <m:t>;</m:t>
            </m:r>
            <m:sSub>
              <m:sSubPr/>
              <m:e>
                <m:r>
                  <m:rPr/>
                  <m:t>o</m:t>
                </m:r>
              </m:e>
              <m:sub>
                <m:r>
                  <m:rPr/>
                  <m:t>i</m:t>
                </m:r>
              </m:sub>
            </m:sSub>
          </m:e>
        </m:d>
      </m:oMath>
      <w:r>
        <w:tab/>
      </w:r>
      <w:r>
        <w:rPr>
          <w:rFonts w:ascii="Times New Roman" w:hAnsi="Times New Roman" w:eastAsia="Times New Roman" w:cs="Times New Roman"/>
          <w:sz w:val="21"/>
          <w:szCs w:val="21"/>
        </w:rPr>
        <w:t>(3)</w:t>
      </w:r>
    </w:p>
    <w:p w14:paraId="421A3FFA">
      <w:pPr>
        <w:widowControl/>
        <w:spacing w:before="0" w:after="80"/>
      </w:pPr>
      <w:r>
        <w:t>In Eqs. (1)–(3), [ ; ] denotes ordered concatenation. Condition A uses output only; B adds the prompt/task instruction; C additionally adds authorised source/context when available. For source-free items, si = ∅, so Eq. (3) reduces operationally to Eq. (2). The reported A/B/C information conditions were defined for the evaluator comparisons; their design records and timing relative to access to results should be read from the archived study materials rather than inferred from this wording.</w:t>
      </w:r>
      <w:r>
        <w:rPr>
          <w:rFonts w:ascii="Cambria Math" w:hAnsi="Cambria Math" w:eastAsia="Cambria Math"/>
        </w:rPr>
      </w:r>
      <w:r>
        <w:rPr>
          <w:rFonts w:ascii="Cambria Math" w:hAnsi="Cambria Math" w:eastAsia="Cambria Math"/>
          <w:vertAlign w:val="subscript"/>
        </w:rPr>
      </w:r>
      <w:r/>
    </w:p>
    <w:p w14:paraId="10E60893">
      <w:pPr>
        <w:widowControl/>
        <w:spacing w:before="0" w:after="80"/>
      </w:pPr>
      <w:r>
        <w:t>Inputs are restricted to the textual fields in Eqs. (1)–(3). Checkpoint or architecture identifiers, annotator/adjudication metadata, disagreement or ambiguity indicators, evidence notes/spans, rationales, gold labels, and gold-derived variables are excluded. This defines the permitted-evidence boundary; generator-associated surface cues that remain in the output text are not artificially removed and are tested later by explicit shortcut-sensitivity analyses.</w:t>
      </w:r>
    </w:p>
    <w:p w14:paraId="6BEC94A0">
      <w:pPr>
        <w:spacing w:before="0" w:after="80"/>
      </w:pPr>
      <w:r>
        <w:t>Let g(i) denote the Prompt_ID of item i and F(i) its outer-fold assignment. The design-defining grouping constraint is:</w:t>
      </w:r>
    </w:p>
    <w:p w14:paraId="377077B5">
      <w:pPr>
        <w:keepNext w:val="0"/>
        <w:keepLines/>
        <w:tabs>
          <w:tab w:val="center" w:pos="4729"/>
          <w:tab w:val="right" w:pos="9458"/>
        </w:tabs>
        <w:spacing w:before="50" w:after="40"/>
      </w:pPr>
      <w:r>
        <w:tab/>
      </w:r>
      <m:oMath>
        <m:r>
          <m:rPr/>
          <m:t>g</m:t>
        </m:r>
        <m:d>
          <m:dPr>
            <m:sepChr m:val=""/>
          </m:dPr>
          <m:e>
            <m:r>
              <m:rPr/>
              <m:t>i</m:t>
            </m:r>
          </m:e>
        </m:d>
        <m:r>
          <m:rPr>
            <m:sty m:val="p"/>
          </m:rPr>
          <m:t>=</m:t>
        </m:r>
        <m:r>
          <m:rPr/>
          <m:t>g</m:t>
        </m:r>
        <m:d>
          <m:dPr>
            <m:sepChr m:val=""/>
          </m:dPr>
          <m:e>
            <m:r>
              <m:rPr/>
              <m:t>j</m:t>
            </m:r>
          </m:e>
        </m:d>
        <m:r>
          <m:rPr/>
          <m:t> </m:t>
        </m:r>
        <m:r>
          <m:rPr>
            <m:sty m:val="p"/>
          </m:rPr>
          <m:t>⇒</m:t>
        </m:r>
        <m:r>
          <m:rPr/>
          <m:t> F</m:t>
        </m:r>
        <m:d>
          <m:dPr>
            <m:sepChr m:val=""/>
          </m:dPr>
          <m:e>
            <m:r>
              <m:rPr/>
              <m:t>i</m:t>
            </m:r>
          </m:e>
        </m:d>
        <m:r>
          <m:rPr>
            <m:sty m:val="p"/>
          </m:rPr>
          <m:t>=</m:t>
        </m:r>
        <m:r>
          <m:rPr/>
          <m:t>F</m:t>
        </m:r>
        <m:d>
          <m:dPr>
            <m:sepChr m:val=""/>
          </m:dPr>
          <m:e>
            <m:r>
              <m:rPr/>
              <m:t>j</m:t>
            </m:r>
          </m:e>
        </m:d>
      </m:oMath>
      <w:r>
        <w:tab/>
      </w:r>
      <w:r>
        <w:rPr>
          <w:rFonts w:ascii="Times New Roman" w:hAnsi="Times New Roman" w:eastAsia="Times New Roman" w:cs="Times New Roman"/>
          <w:sz w:val="21"/>
          <w:szCs w:val="21"/>
        </w:rPr>
        <w:t>(4)</w:t>
      </w:r>
    </w:p>
    <w:p w14:paraId="62D0310D">
      <w:pPr>
        <w:widowControl/>
        <w:spacing w:before="0" w:after="80"/>
      </w:pPr>
      <w:r>
        <w:t>Eq. (4) keeps every output derived from one prompt cluster in the same fold, making Prompt_ID rather than the output row the partitioning unit and preventing direct within-prompt train–test contamination.</w:t>
      </w:r>
    </w:p>
    <w:p w14:paraId="53F74E17">
      <w:pPr>
        <w:widowControl/>
      </w:pPr>
      <w:r>
        <w:t>After the folds are frozen, leakage sensitivity is audited at exact, lexical, character, and sentence-embedding levels. These audits are diagnostics rather than split-selection rules and cannot prove the absence of every latent semantic equivalence. Full mathematical definitions, normalisation rules, and thresholds are provided in Supplementary Section S9.2.1.</w:t>
      </w:r>
    </w:p>
    <w:p w14:paraId="75C13DE7">
      <w:pPr>
        <w:pStyle w:val="3"/>
        <w:keepNext/>
        <w:keepLines/>
      </w:pPr>
      <w:r>
        <w:rPr>
          <w:color w:val="000000"/>
        </w:rPr>
        <w:t>4.3 Prompt-grouped evaluation design</w:t>
      </w:r>
    </w:p>
    <w:p>
      <w:pPr>
        <w:spacing w:after="100"/>
      </w:pPr>
      <w:r>
        <w:t>Model-selection boundary (S08). The single fixed inner development partition per outer fold selects only the epoch count. It is not a repeated nested hyperparameter search, and fixed-OOF resampling does not repeat encoder initialisation, inner selection, model fitting or outer-fold construction; three full-pipeline M3 seeds supply only limited observed stochastic stability.</w:t>
      </w:r>
    </w:p>
    <w:p w14:paraId="1AB04CE0">
      <w:pPr>
        <w:widowControl/>
      </w:pPr>
      <w:r>
        <w:t>Six outputs share each prompt’s semantic demand, so row-level splitting is avoided. Five task-balanced Prompt_ID outer folds were frozen before target-specific filtering: each contains 24 prompt clusters (four per task), and the same folds are reused across M0–M3 and A/B/C. M0 derives its majority class from outer-training labels only; M1/M2 fit TF-IDF and, for M2, TruncatedSVD only on outer-training data.</w:t>
      </w:r>
    </w:p>
    <w:p w14:paraId="7892E6DB">
      <w:pPr>
        <w:widowControl/>
      </w:pPr>
      <w:r>
        <w:t>For M3, training duration is the only data-adaptive hyperparameter in the reference protocol. Within each outer-training partition, one predesignated non-test fold is used for development and the other three select the earliest epoch attaining maximum development macro-F1 (maximum eight). The encoder (ModernBERT; Warner et al., 2025) is then reinitialised from the frozen ModernBERT revision and refit on all four non-test folds for that epoch count before the held-out fold is predicted once. Class weights are recomputed from the current fitting partition; no outer-test label enters preprocessing, weighting, selection, or checkpoint choice. All five held-out sets are concatenated into complete out-of-fold predictions. Every filtered target retained every class in every outer fold; the smallest fold-class cell contained 11 T4 severity-1 cases (Supplementary Table S52).</w:t>
      </w:r>
    </w:p>
    <w:p w14:paraId="47B351E8">
      <w:pPr>
        <w:widowControl/>
      </w:pPr>
      <w:r>
        <w:t>Leave-one-task-type-out M3 Condition-C evaluation is a secondary internal transfer check. The held-out task is excluded from fitting and checkpoint selection; a development checkpoint selected within the remaining five tasks predicts the held-out task without the final refit used in the primary outer-CV protocol. With only 20 prompt clusters per held-out task and variable class balance, LOTO is interpreted as exploratory internal transfer, not external validation.</w:t>
      </w:r>
    </w:p>
    <w:p w14:paraId="60EDDDE3">
      <w:pPr>
        <w:pStyle w:val="3"/>
        <w:keepNext/>
        <w:keepLines/>
      </w:pPr>
      <w:r>
        <w:rPr>
          <w:color w:val="000000"/>
        </w:rPr>
        <w:t>4.4 Model set and training protocol</w:t>
      </w:r>
    </w:p>
    <w:p w14:paraId="389993BD">
      <w:pPr>
        <w:keepNext/>
      </w:pPr>
      <w:r>
        <w:t>Table 7. Executed computational model set and controls.</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796"/>
        <w:gridCol w:w="2726"/>
        <w:gridCol w:w="4046"/>
      </w:tblGrid>
      <w:tr w14:paraId="248E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232" w:type="dxa"/>
            <w:tcMar>
              <w:top w:w="65" w:type="dxa"/>
              <w:left w:w="55" w:type="dxa"/>
              <w:bottom w:w="65" w:type="dxa"/>
              <w:right w:w="55" w:type="dxa"/>
              <w:start w:w="68" w:type="dxa"/>
              <w:end w:w="68" w:type="dxa"/>
            </w:tcMar>
            <w:vAlign w:val="center"/>
            <w:shd w:val="clear" w:color="auto" w:fill="E8F0F8"/>
          </w:tcPr>
          <w:p w14:paraId="4A679581">
            <w:pPr>
              <w:spacing w:before="0" w:after="0"/>
              <w:rPr>
                <w:sz w:val="16"/>
                <w:szCs w:val="16"/>
              </w:rPr>
            </w:pPr>
            <w:r>
              <w:rPr>
                <w:rFonts w:ascii="Times New Roman" w:hAnsi="Times New Roman"/>
                <w:b/>
                <w:color w:val="1E364D"/>
                <w:sz w:val="16"/>
                <w:szCs w:val="16"/>
              </w:rPr>
              <w:t>Model</w:t>
            </w:r>
          </w:p>
        </w:tc>
        <w:tc>
          <w:tcPr>
            <w:tcW w:w="3024" w:type="dxa"/>
            <w:tcMar>
              <w:top w:w="65" w:type="dxa"/>
              <w:left w:w="55" w:type="dxa"/>
              <w:bottom w:w="65" w:type="dxa"/>
              <w:right w:w="55" w:type="dxa"/>
              <w:start w:w="68" w:type="dxa"/>
              <w:end w:w="68" w:type="dxa"/>
            </w:tcMar>
            <w:vAlign w:val="center"/>
            <w:shd w:val="clear" w:color="auto" w:fill="E8F0F8"/>
          </w:tcPr>
          <w:p w14:paraId="2EC10AD1">
            <w:pPr>
              <w:spacing w:before="0" w:after="0"/>
              <w:rPr>
                <w:sz w:val="16"/>
                <w:szCs w:val="16"/>
              </w:rPr>
            </w:pPr>
            <w:r>
              <w:rPr>
                <w:rFonts w:ascii="Times New Roman" w:hAnsi="Times New Roman"/>
                <w:b/>
                <w:color w:val="1E364D"/>
                <w:sz w:val="16"/>
                <w:szCs w:val="16"/>
              </w:rPr>
              <w:t>Role in evaluator ladder</w:t>
            </w:r>
          </w:p>
        </w:tc>
        <w:tc>
          <w:tcPr>
            <w:tcW w:w="4752" w:type="dxa"/>
            <w:tcMar>
              <w:top w:w="65" w:type="dxa"/>
              <w:left w:w="55" w:type="dxa"/>
              <w:bottom w:w="65" w:type="dxa"/>
              <w:right w:w="55" w:type="dxa"/>
              <w:start w:w="68" w:type="dxa"/>
              <w:end w:w="68" w:type="dxa"/>
            </w:tcMar>
            <w:vAlign w:val="center"/>
            <w:shd w:val="clear" w:color="auto" w:fill="E8F0F8"/>
          </w:tcPr>
          <w:p w14:paraId="5BAB89CB">
            <w:pPr>
              <w:spacing w:before="0" w:after="0"/>
              <w:rPr>
                <w:sz w:val="16"/>
                <w:szCs w:val="16"/>
              </w:rPr>
            </w:pPr>
            <w:r>
              <w:rPr>
                <w:rFonts w:ascii="Times New Roman" w:hAnsi="Times New Roman"/>
                <w:b/>
                <w:color w:val="1E364D"/>
                <w:sz w:val="16"/>
                <w:szCs w:val="16"/>
              </w:rPr>
              <w:t>Main-text control</w:t>
            </w:r>
          </w:p>
        </w:tc>
      </w:tr>
      <w:tr w14:paraId="5C05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53" w:type="dxa"/>
            <w:tcMar>
              <w:top w:w="65" w:type="dxa"/>
              <w:left w:w="55" w:type="dxa"/>
              <w:bottom w:w="65" w:type="dxa"/>
              <w:right w:w="55" w:type="dxa"/>
              <w:start w:w="68" w:type="dxa"/>
              <w:end w:w="68" w:type="dxa"/>
            </w:tcMar>
            <w:vAlign w:val="center"/>
          </w:tcPr>
          <w:p w14:paraId="078F946C">
            <w:pPr>
              <w:spacing w:before="0" w:after="0"/>
              <w:rPr>
                <w:sz w:val="16"/>
                <w:szCs w:val="16"/>
              </w:rPr>
            </w:pPr>
            <w:r>
              <w:rPr>
                <w:rFonts w:ascii="Times New Roman" w:hAnsi="Times New Roman"/>
                <w:sz w:val="16"/>
                <w:szCs w:val="16"/>
              </w:rPr>
              <w:t>M0 Majority/dummy</w:t>
            </w:r>
          </w:p>
        </w:tc>
        <w:tc>
          <w:tcPr>
            <w:tcW w:w="3153" w:type="dxa"/>
            <w:tcMar>
              <w:top w:w="65" w:type="dxa"/>
              <w:left w:w="55" w:type="dxa"/>
              <w:bottom w:w="65" w:type="dxa"/>
              <w:right w:w="55" w:type="dxa"/>
              <w:start w:w="68" w:type="dxa"/>
              <w:end w:w="68" w:type="dxa"/>
            </w:tcMar>
            <w:vAlign w:val="center"/>
          </w:tcPr>
          <w:p w14:paraId="10BE3A0E">
            <w:pPr>
              <w:spacing w:before="0" w:after="0"/>
              <w:rPr>
                <w:sz w:val="16"/>
                <w:szCs w:val="16"/>
              </w:rPr>
            </w:pPr>
            <w:r>
              <w:rPr>
                <w:rFonts w:ascii="Times New Roman" w:hAnsi="Times New Roman"/>
                <w:sz w:val="16"/>
                <w:szCs w:val="16"/>
              </w:rPr>
              <w:t>Training-fold majority lower bound.</w:t>
            </w:r>
          </w:p>
        </w:tc>
        <w:tc>
          <w:tcPr>
            <w:tcW w:w="3153" w:type="dxa"/>
            <w:tcMar>
              <w:top w:w="65" w:type="dxa"/>
              <w:left w:w="55" w:type="dxa"/>
              <w:bottom w:w="65" w:type="dxa"/>
              <w:right w:w="55" w:type="dxa"/>
              <w:start w:w="68" w:type="dxa"/>
              <w:end w:w="68" w:type="dxa"/>
            </w:tcMar>
            <w:vAlign w:val="center"/>
          </w:tcPr>
          <w:p w14:paraId="69C9D80B">
            <w:pPr>
              <w:spacing w:before="0" w:after="0"/>
              <w:rPr>
                <w:sz w:val="16"/>
                <w:szCs w:val="16"/>
              </w:rPr>
            </w:pPr>
            <w:r>
              <w:rPr>
                <w:rFonts w:ascii="Times New Roman" w:hAnsi="Times New Roman"/>
                <w:sz w:val="16"/>
                <w:szCs w:val="16"/>
              </w:rPr>
              <w:t>Frozen grouped folds.</w:t>
            </w:r>
          </w:p>
        </w:tc>
      </w:tr>
      <w:tr w14:paraId="4A74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53" w:type="dxa"/>
            <w:tcMar>
              <w:top w:w="65" w:type="dxa"/>
              <w:left w:w="55" w:type="dxa"/>
              <w:bottom w:w="65" w:type="dxa"/>
              <w:right w:w="55" w:type="dxa"/>
              <w:start w:w="68" w:type="dxa"/>
              <w:end w:w="68" w:type="dxa"/>
            </w:tcMar>
            <w:vAlign w:val="center"/>
          </w:tcPr>
          <w:p w14:paraId="6C012712">
            <w:pPr>
              <w:spacing w:before="0" w:after="0"/>
              <w:rPr>
                <w:sz w:val="16"/>
                <w:szCs w:val="16"/>
              </w:rPr>
            </w:pPr>
            <w:r>
              <w:rPr>
                <w:rFonts w:ascii="Times New Roman" w:hAnsi="Times New Roman"/>
                <w:sz w:val="16"/>
                <w:szCs w:val="16"/>
              </w:rPr>
              <w:t>M1 TF-IDF + LinearSVC</w:t>
            </w:r>
          </w:p>
        </w:tc>
        <w:tc>
          <w:tcPr>
            <w:tcW w:w="3153" w:type="dxa"/>
            <w:tcMar>
              <w:top w:w="65" w:type="dxa"/>
              <w:left w:w="55" w:type="dxa"/>
              <w:bottom w:w="65" w:type="dxa"/>
              <w:right w:w="55" w:type="dxa"/>
              <w:start w:w="68" w:type="dxa"/>
              <w:end w:w="68" w:type="dxa"/>
            </w:tcMar>
            <w:vAlign w:val="center"/>
          </w:tcPr>
          <w:p w14:paraId="2D7D9DED">
            <w:pPr>
              <w:spacing w:before="0" w:after="0"/>
              <w:rPr>
                <w:sz w:val="16"/>
                <w:szCs w:val="16"/>
              </w:rPr>
            </w:pPr>
            <w:r>
              <w:rPr>
                <w:rFonts w:ascii="Times New Roman" w:hAnsi="Times New Roman"/>
                <w:sz w:val="16"/>
                <w:szCs w:val="16"/>
              </w:rPr>
              <w:t>Lexical recovery baseline.</w:t>
            </w:r>
          </w:p>
        </w:tc>
        <w:tc>
          <w:tcPr>
            <w:tcW w:w="3153" w:type="dxa"/>
            <w:tcMar>
              <w:top w:w="65" w:type="dxa"/>
              <w:left w:w="55" w:type="dxa"/>
              <w:bottom w:w="65" w:type="dxa"/>
              <w:right w:w="55" w:type="dxa"/>
              <w:start w:w="68" w:type="dxa"/>
              <w:end w:w="68" w:type="dxa"/>
            </w:tcMar>
            <w:vAlign w:val="center"/>
          </w:tcPr>
          <w:p w14:paraId="1CF22504">
            <w:pPr>
              <w:spacing w:before="0" w:after="0"/>
              <w:rPr>
                <w:sz w:val="16"/>
                <w:szCs w:val="16"/>
              </w:rPr>
            </w:pPr>
            <w:r>
              <w:rPr>
                <w:rFonts w:ascii="Times New Roman" w:hAnsi="Times New Roman"/>
                <w:sz w:val="16"/>
                <w:szCs w:val="16"/>
              </w:rPr>
              <w:t>Training-fold feature fitting; same Prompt_ID folds.</w:t>
            </w:r>
          </w:p>
        </w:tc>
      </w:tr>
      <w:tr w14:paraId="5DFE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53" w:type="dxa"/>
            <w:tcMar>
              <w:top w:w="65" w:type="dxa"/>
              <w:left w:w="55" w:type="dxa"/>
              <w:bottom w:w="65" w:type="dxa"/>
              <w:right w:w="55" w:type="dxa"/>
              <w:start w:w="68" w:type="dxa"/>
              <w:end w:w="68" w:type="dxa"/>
            </w:tcMar>
            <w:vAlign w:val="center"/>
          </w:tcPr>
          <w:p w14:paraId="48ACD366">
            <w:pPr>
              <w:spacing w:before="0" w:after="0"/>
              <w:rPr>
                <w:sz w:val="16"/>
                <w:szCs w:val="16"/>
              </w:rPr>
            </w:pPr>
            <w:r>
              <w:rPr>
                <w:rFonts w:ascii="Times New Roman" w:hAnsi="Times New Roman"/>
                <w:sz w:val="16"/>
                <w:szCs w:val="16"/>
              </w:rPr>
              <w:t>M2 LSA + logistic regression</w:t>
            </w:r>
          </w:p>
        </w:tc>
        <w:tc>
          <w:tcPr>
            <w:tcW w:w="3153" w:type="dxa"/>
            <w:tcMar>
              <w:top w:w="65" w:type="dxa"/>
              <w:left w:w="55" w:type="dxa"/>
              <w:bottom w:w="65" w:type="dxa"/>
              <w:right w:w="55" w:type="dxa"/>
              <w:start w:w="68" w:type="dxa"/>
              <w:end w:w="68" w:type="dxa"/>
            </w:tcMar>
            <w:vAlign w:val="center"/>
          </w:tcPr>
          <w:p w14:paraId="2DF0118A">
            <w:pPr>
              <w:spacing w:before="0" w:after="0"/>
              <w:rPr>
                <w:sz w:val="16"/>
                <w:szCs w:val="16"/>
              </w:rPr>
            </w:pPr>
            <w:r>
              <w:rPr>
                <w:rFonts w:ascii="Times New Roman" w:hAnsi="Times New Roman"/>
                <w:sz w:val="16"/>
                <w:szCs w:val="16"/>
              </w:rPr>
              <w:t>Low-rank lexical-semantic baseline.</w:t>
            </w:r>
          </w:p>
        </w:tc>
        <w:tc>
          <w:tcPr>
            <w:tcW w:w="3153" w:type="dxa"/>
            <w:tcMar>
              <w:top w:w="65" w:type="dxa"/>
              <w:left w:w="55" w:type="dxa"/>
              <w:bottom w:w="65" w:type="dxa"/>
              <w:right w:w="55" w:type="dxa"/>
              <w:start w:w="68" w:type="dxa"/>
              <w:end w:w="68" w:type="dxa"/>
            </w:tcMar>
            <w:vAlign w:val="center"/>
          </w:tcPr>
          <w:p w14:paraId="5C862EDA">
            <w:pPr>
              <w:spacing w:before="0" w:after="0"/>
              <w:rPr>
                <w:sz w:val="16"/>
                <w:szCs w:val="16"/>
              </w:rPr>
            </w:pPr>
            <w:r>
              <w:rPr>
                <w:rFonts w:ascii="Times New Roman" w:hAnsi="Times New Roman"/>
                <w:sz w:val="16"/>
                <w:szCs w:val="16"/>
              </w:rPr>
              <w:t>Training-fold feature fitting; same Prompt_ID folds.</w:t>
            </w:r>
          </w:p>
        </w:tc>
      </w:tr>
      <w:tr w14:paraId="72C3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53" w:type="dxa"/>
            <w:tcMar>
              <w:top w:w="65" w:type="dxa"/>
              <w:left w:w="55" w:type="dxa"/>
              <w:bottom w:w="65" w:type="dxa"/>
              <w:right w:w="55" w:type="dxa"/>
              <w:start w:w="68" w:type="dxa"/>
              <w:end w:w="68" w:type="dxa"/>
            </w:tcMar>
            <w:vAlign w:val="center"/>
          </w:tcPr>
          <w:p w14:paraId="709F5B3B">
            <w:pPr>
              <w:spacing w:before="0" w:after="0"/>
              <w:rPr>
                <w:sz w:val="16"/>
                <w:szCs w:val="16"/>
              </w:rPr>
            </w:pPr>
            <w:r>
              <w:rPr>
                <w:rFonts w:ascii="Times New Roman" w:hAnsi="Times New Roman"/>
                <w:sz w:val="16"/>
                <w:szCs w:val="16"/>
              </w:rPr>
              <w:t>M3 ModernBERT-base (Warner et al., 2025)</w:t>
            </w:r>
          </w:p>
        </w:tc>
        <w:tc>
          <w:tcPr>
            <w:tcW w:w="3153" w:type="dxa"/>
            <w:tcMar>
              <w:top w:w="65" w:type="dxa"/>
              <w:left w:w="55" w:type="dxa"/>
              <w:bottom w:w="65" w:type="dxa"/>
              <w:right w:w="55" w:type="dxa"/>
              <w:start w:w="68" w:type="dxa"/>
              <w:end w:w="68" w:type="dxa"/>
            </w:tcMar>
            <w:vAlign w:val="center"/>
          </w:tcPr>
          <w:p w14:paraId="62ACD218">
            <w:pPr>
              <w:spacing w:before="0" w:after="0"/>
              <w:rPr>
                <w:sz w:val="16"/>
                <w:szCs w:val="16"/>
              </w:rPr>
            </w:pPr>
            <w:r>
              <w:rPr>
                <w:rFonts w:ascii="Times New Roman" w:hAnsi="Times New Roman"/>
                <w:sz w:val="16"/>
                <w:szCs w:val="16"/>
              </w:rPr>
              <w:t>Supervised contextual recovery.</w:t>
            </w:r>
          </w:p>
        </w:tc>
        <w:tc>
          <w:tcPr>
            <w:tcW w:w="3153" w:type="dxa"/>
            <w:tcMar>
              <w:top w:w="65" w:type="dxa"/>
              <w:left w:w="55" w:type="dxa"/>
              <w:bottom w:w="65" w:type="dxa"/>
              <w:right w:w="55" w:type="dxa"/>
              <w:start w:w="68" w:type="dxa"/>
              <w:end w:w="68" w:type="dxa"/>
            </w:tcMar>
            <w:vAlign w:val="center"/>
          </w:tcPr>
          <w:p w14:paraId="3D1F42B2">
            <w:pPr>
              <w:spacing w:before="0" w:after="0"/>
              <w:rPr>
                <w:sz w:val="16"/>
                <w:szCs w:val="16"/>
              </w:rPr>
            </w:pPr>
            <w:r>
              <w:rPr>
                <w:rFonts w:ascii="Times New Roman" w:hAnsi="Times New Roman"/>
                <w:sz w:val="16"/>
                <w:szCs w:val="16"/>
              </w:rPr>
              <w:t>Nested grouped model selection; held-out outer fold untouched.</w:t>
            </w:r>
          </w:p>
        </w:tc>
      </w:tr>
      <w:tr w14:paraId="2A43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53" w:type="dxa"/>
            <w:tcMar>
              <w:top w:w="65" w:type="dxa"/>
              <w:left w:w="55" w:type="dxa"/>
              <w:bottom w:w="65" w:type="dxa"/>
              <w:right w:w="55" w:type="dxa"/>
              <w:start w:w="68" w:type="dxa"/>
              <w:end w:w="68" w:type="dxa"/>
            </w:tcMar>
            <w:vAlign w:val="center"/>
          </w:tcPr>
          <w:p w14:paraId="0158DD37">
            <w:pPr>
              <w:spacing w:before="0" w:after="0"/>
              <w:rPr>
                <w:sz w:val="16"/>
                <w:szCs w:val="16"/>
              </w:rPr>
            </w:pPr>
            <w:r>
              <w:rPr>
                <w:rFonts w:ascii="Times New Roman" w:hAnsi="Times New Roman"/>
                <w:sz w:val="16"/>
                <w:szCs w:val="16"/>
              </w:rPr>
              <w:t>M4 Qwen3-8B (A. Yang et al., 2025)</w:t>
            </w:r>
          </w:p>
        </w:tc>
        <w:tc>
          <w:tcPr>
            <w:tcW w:w="3153" w:type="dxa"/>
            <w:tcMar>
              <w:top w:w="65" w:type="dxa"/>
              <w:left w:w="55" w:type="dxa"/>
              <w:bottom w:w="65" w:type="dxa"/>
              <w:right w:w="55" w:type="dxa"/>
              <w:start w:w="68" w:type="dxa"/>
              <w:end w:w="68" w:type="dxa"/>
            </w:tcMar>
            <w:vAlign w:val="center"/>
          </w:tcPr>
          <w:p w14:paraId="706F2053">
            <w:pPr>
              <w:spacing w:before="0" w:after="0"/>
              <w:rPr>
                <w:sz w:val="16"/>
                <w:szCs w:val="16"/>
              </w:rPr>
            </w:pPr>
            <w:r>
              <w:rPr>
                <w:rFonts w:ascii="Times New Roman" w:hAnsi="Times New Roman"/>
                <w:sz w:val="16"/>
                <w:szCs w:val="16"/>
              </w:rPr>
              <w:t>Zero-shot target-isolated LLM judge.</w:t>
            </w:r>
          </w:p>
        </w:tc>
        <w:tc>
          <w:tcPr>
            <w:tcW w:w="3153" w:type="dxa"/>
            <w:tcMar>
              <w:top w:w="65" w:type="dxa"/>
              <w:left w:w="55" w:type="dxa"/>
              <w:bottom w:w="65" w:type="dxa"/>
              <w:right w:w="55" w:type="dxa"/>
              <w:start w:w="68" w:type="dxa"/>
              <w:end w:w="68" w:type="dxa"/>
            </w:tcMar>
            <w:vAlign w:val="center"/>
          </w:tcPr>
          <w:p>
            <w:pPr>
              <w:spacing w:before="0" w:after="0"/>
            </w:pPr>
            <w:r>
              <w:rPr>
                <w:rFonts w:ascii="Times New Roman" w:hAnsi="Times New Roman"/>
                <w:sz w:val="16"/>
              </w:rPr>
              <w:t>Pinned revision e8bbd8252970581ea5b08b6a5b3e668adaf3161a; zero-shot forced choice; 4-bit NF4.</w:t>
            </w:r>
          </w:p>
        </w:tc>
      </w:tr>
    </w:tbl>
    <w:p w14:paraId="6582BA7C">
      <w:pPr>
        <w:widowControl/>
      </w:pPr>
      <w:r>
        <w:t>The evaluator ladder comprises a training-fold majority lower bound (M0), word TF-IDF plus LinearSVC (M1), TF-IDF→100-dimensional TruncatedSVD→logistic regression (M2), a supervised ModernBERT-base classifier (M3), and a zero-shot Qwen3-8B restricted next-token forced-choice judge (M4). M4 used Qwen/Qwen3-8B revision e8bbd8252970581ea5b08b6a5b3e668adaf3161a with 4-bit NF4 inference. Its Qwen3 family is shared with generator M01 (Qwen3-0.6B). M0–M3 use the frozen Prompt_ID folds; M4 is not fitted to study labels. The specified ladder is intended to separate lower-bound, lexical, contextual, and zero-shot recovery rather than compare optimally tuned model families. The 720 archived outputs and OOF predictions support exact recomputation of the reported metrics. Five generation checkpoints lack sufficient immutable revision/interface records for bit-identical regeneration; the original historical M0–M2 training script was not retained, and its replacement is a documented reconstruction, not a verified historical trainer. Exact revisions, hyperparameters, training defaults, runtime details, and archived execution checks are in Supplementary Tables S54–S58. Table 7 summarises the main-text controls.</w:t>
      </w:r>
    </w:p>
    <w:p>
      <w:pPr>
        <w:widowControl/>
      </w:pPr>
      <w:r>
        <w:t>The new post-hoc server run retains the historical reference ladder and adds complete M1/M3 dual-blocked and five-repeat size-matched Condition-C evaluations, plus unquantised FP16 Qwen3-8B and Mistral-7B-Instruct-v0.3 judges. Mistral revision c170c708c41dac9275d15a8fff4eca08d52bab71 is pinned; Qwen retains the revision above. The new judges use batch size 1, a maximum input length of 4,096 tokens, GPU/CPU/disk parameter dispatch, and target-valid log-probability scoring of tokeniser-verified single-token answer codes at the last prompt position, followed by an argmax restricted to those codes and a fixed mapping back to semantic classes. The evaluators do not freely generate a label or explanation; log-score gaps are uncalibrated and cannot be interpreted as semantic confidence. Qwen uses system/user chat roles with thinking disabled; Mistral combines the instructions in one user turn. No new judge input was truncated. These are post-hoc evaluations of judgment stability and error-category recovery under two implemented judge protocols, not a model-family or architecture comparison, FP32 experiment, or factorial quantization ablation. The fixed human reference and target definitions—not either judge—serve as the evaluation criterion.</w:t>
      </w:r>
    </w:p>
    <w:p>
      <w:pPr/>
      <w:r>
        <w:rPr>
          <w:i/>
          <w:sz w:val="18"/>
        </w:rPr>
        <w:t>Final-results precedence (14 October 2026). For every experiment identified by the same task, condition, model/protocol and run type in SERVER_RUN_20261007_A, the numerical result exported in results.rar is the sole final reporting value. Earlier duplicated preliminary/partial runs, including replaced dual-blocked estimates and interim training-size summaries, are superseded and must not be pooled, averaged, or cited as competing final estimates. Different protocols (historical M4 NF4; current M4 FP16; later E1/E2) remain separate estimands: results.rar governs ONLY the experiment results actually present in that archive. Non-overlapping annotation, E1/E2 and post-hoc inference retain their separately identified frozen sources.</w:t>
      </w:r>
    </w:p>
    <w:p w14:paraId="7BFF1C2E">
      <w:pPr>
        <w:widowControl/>
      </w:pPr>
      <w:r>
        <w:t>T2–T4 are conditional diagnostic targets: M4 is evaluated on the same FINAL GOLD-defined eligible populations as M0–M3, so a rubric may state that a failure is already present without supplying an upstream label as a feature. M4 scores only target-valid abstract answer codes by next-token probability. The reportable protocol therefore yields one valid decision for every eligible Case_ID without free-text parsing, label repair, missing-response filtering, or retries; all 12 target × condition runs passed the target-contract checks. An earlier free-generation implementation that produced out-of-target labels is retained only as a technical protocol failure and contributes no reported performance value.</w:t>
      </w:r>
    </w:p>
    <w:p>
      <w:pPr>
        <w:widowControl/>
      </w:pPr>
      <w:r>
        <w:t>Reference-condition rationale and limitation. Condition C (prompt + generated output + authorised source/context when the task supplies it) is the designated reference for M3 because it is the most information-complete, task-authorised evaluation input among A–C and permits attribution of grounding judgments to available evidence rather than asking the classifier to infer source support from output text alone. This choice was specified as an evaluation reference, not selected on test-set performance and not claimed as an upper bound. Condition C does not introduce a source where none exists: for explanation and instruction-following items, B and C are identical. Because source availability covaries with task type, and M3 is trained separately under each condition, whole-corpus C–B differences are descriptive and cannot isolate the causal benefit of evidence. Source-bearing subset contrasts and the fixed-weight M4 comparison are reported separately; neither resolves generalisation to unseen sources or task families. See Sections 4.6 and 7.4 and Supplementary Section S9.5.</w:t>
      </w:r>
    </w:p>
    <w:p w14:paraId="63382E41">
      <w:pPr>
        <w:widowControl/>
        <w:rPr>
          <w:color w:val="FF0000"/>
        </w:rPr>
      </w:pPr>
      <w:r>
        <w:t>Research-process AI disclosure. ChatGPT provided limited assistance with drafting portions of the analysis code. The human researchers reviewed and validated the executable scripts, ran the computational and statistical pipelines on frozen study inputs and archived predictions, and obtained all reported results from the resulting code outputs rather than from conversational AI-generated numerical answers. This includes model predictions, human-agreement estimates, performance metrics, resampling intervals, sensitivity contrasts, and tables. Human annotators supplied the locked A1–A3 ratings; the senior adjudicator made the adjudication decisions. The research team was responsible for the analysis specifications, decisions and scientific interpretation. AI assistance with candidate prompt drafting is described separately in Supplementary Section S1.2; manuscript-preparation assistance is declared before the references.</w:t>
      </w:r>
    </w:p>
    <w:p>
      <w:pPr>
        <w:spacing w:after="100"/>
      </w:pPr>
      <w:r>
        <w:t>Statistical estimands and error-control families (S01–S03). The primary M0–M4 target-specific macro-F1/QWK point estimates and paired evidence-condition differences use nominal 2,000-draw Prompt_ID-cluster intervals conditional on the archived predictions; their target-specific intervals are not jointly corrected. The 20 post-hoc E1/E2 perturbation contrasts use separate 3,000-draw nominal paired cluster intervals, not simultaneous intervals. The 60 post-hoc human-disagreement associations report (a) unstandardised changed-case risk differences, (b) GOLD-class-standardised marginal differences with nominal 2,500-draw cluster intervals, and (c) GOLD-class- and generator-slot-adjusted conditional GEE odds ratios; Holm and BH adjustments are applied only to the 60 GEE coefficient p-values. Sixteen source-bearing task×target cells, dual-blocking controls and other post-hoc validity probes are descriptive, without shared global multiplicity protection. Hence exclusion of zero from individual unadjusted intervals is not counted as a family-wise discovery.</w:t>
      </w:r>
    </w:p>
    <w:p>
      <w:pPr>
        <w:spacing w:after="100"/>
      </w:pPr>
      <w:r>
        <w:t>Dependence of subset controls (S04). Within a fixed held-out fold×generator cell, dual blocking changes generator support and the joint training/development distribution, not merely the number of examples. Each of the five row-count-matched subset controls shares the same held-out cases and learning seed; its SD measures variation over those selected subsets, not the sampling SE of five independent experiments. Deficits from the size-matched mean cannot isolate a causal generator-signature effect.</w:t>
      </w:r>
    </w:p>
    <w:p w14:paraId="616791EA">
      <w:pPr>
        <w:pStyle w:val="3"/>
        <w:keepNext/>
        <w:keepLines/>
      </w:pPr>
      <w:r>
        <w:rPr>
          <w:color w:val="000000"/>
        </w:rPr>
        <w:t>4.5 Metrics, uncertainty, and evaluator-protocol comparison</w:t>
      </w:r>
    </w:p>
    <w:p w14:paraId="2170C2BA">
      <w:pPr>
        <w:widowControl/>
        <w:spacing w:after="80"/>
      </w:pPr>
      <w:r>
        <w:t>Macro-F1 is primary for T1–T3 because class frequencies are unequal. T4 is ordinal, so macro-F1 and quadratic-weighted kappa (QWK) are complementary primary summaries; MAE, exact accuracy, within-one accuracy, class-level diagnostics, balanced accuracy, MCC, and confusion matrices are secondary as appropriate. These are established metrics rather than methodological contributions; their formal definitions are moved to Supplementary Section S9.4.1.</w:t>
      </w:r>
    </w:p>
    <w:p w14:paraId="5BACA681">
      <w:pPr>
        <w:widowControl/>
        <w:spacing w:after="80"/>
      </w:pPr>
      <w:r>
        <w:t>Uncertainty uses 2,000 Prompt_ID-cluster bootstrap replicates (seed 20260908) over frozen out-of-fold predictions. Each sampled cluster retains all eligible checkpoint outputs, and evaluator/evidence-condition contrasts use paired resamples so both members are evaluated on the same sampled prompt clusters. Ninety-five per cent confidence intervals use the 2.5th–97.5th percentiles. These intervals quantify Prompt_ID-cluster sampling uncertainty conditional on the frozen fold assignment and archived out-of-fold predictions; they do not incorporate full model retraining, alternative fold assignments, or hyperparameter-selection uncertainty. The intervals are target-specific estimation intervals, and no family-wise multiplicity adjustment is applied across the distinct prespecified T1–T4 estimands or their corresponding contrasts. Interpretation therefore emphasises effect magnitude, interval width and direction, together with robustness analyses, rather than dichotomous significance declarations. Conventional exact McNemar tests are retained only as a supplementary non-cluster-aware diagnostic and are not used for headline inference. Full estimator definitions and the post-hoc task-stratified bootstrap sensitivity are reported in Supplementary Section S9.4.1.</w:t>
      </w:r>
    </w:p>
    <w:p>
      <w:pPr>
        <w:widowControl/>
      </w:pPr>
      <w:r>
        <w:t>The completed server follow-up uses 2,000 task-stratified Prompt_ID-cluster resamples with seed 20260928, as recorded in its manifests. Size-matched means and sample SDs summarise five training-subset repetitions; paired dual-minus-control intervals are reported separately for each repetition. The test populations are reused, so repetitions are not independent test samples. These post-hoc descriptive intervals are unadjusted for multiple comparisons and are not substituted for the archived reference uncertainty estimates.</w:t>
      </w:r>
    </w:p>
    <w:p>
      <w:pPr>
        <w:spacing w:after="100"/>
      </w:pPr>
      <w:r>
        <w:t>Reference-selection caveat (S05). The human-easy/hard indicators are derived from the same A1–A3 pre-resolution decisions that informed senior adjudication; downstream T2–T4 case eligibility is also selected by the resulting GOLD class. Consequently, any conditional association between disagreement and model error or judge change may reflect shared reference construction and eligibility conditioning, including selection/collider-type dependence; it is an internal descriptive diagnostic, not an independent validation of latent difficulty.</w:t>
      </w:r>
    </w:p>
    <w:p w14:paraId="64E1263E">
      <w:pPr>
        <w:pStyle w:val="3"/>
        <w:keepNext/>
        <w:keepLines/>
      </w:pPr>
      <w:r>
        <w:rPr>
          <w:color w:val="000000"/>
        </w:rPr>
        <w:t>4.6 Evidence-condition comparison, transfer, and human–machine difficulty alignment</w:t>
      </w:r>
    </w:p>
    <w:p w14:paraId="512C13A8">
      <w:pPr>
        <w:spacing w:after="80"/>
      </w:pPr>
      <w:r>
        <w:t>The two design-defining evidence-condition contrasts are:</w:t>
      </w:r>
    </w:p>
    <w:p w14:paraId="1FA8C5B4">
      <w:pPr>
        <w:keepNext w:val="0"/>
        <w:keepLines/>
        <w:tabs>
          <w:tab w:val="center" w:pos="4729"/>
          <w:tab w:val="right" w:pos="9458"/>
        </w:tabs>
        <w:spacing w:before="50" w:after="40"/>
      </w:pPr>
      <w:r>
        <w:tab/>
      </w:r>
      <m:oMath>
        <m:sSub>
          <m:sSubPr/>
          <m:e>
            <m:r>
              <m:rPr/>
              <m:t>Δ</m:t>
            </m:r>
          </m:e>
          <m:sub>
            <m:r>
              <m:rPr>
                <m:sty m:val="p"/>
              </m:rPr>
              <m:t>prompt</m:t>
            </m:r>
          </m:sub>
        </m:sSub>
        <m:r>
          <m:rPr>
            <m:sty m:val="p"/>
          </m:rPr>
          <m:t>=</m:t>
        </m:r>
        <m:r>
          <m:rPr/>
          <m:t>M</m:t>
        </m:r>
        <m:d>
          <m:dPr>
            <m:sepChr m:val=""/>
          </m:dPr>
          <m:e>
            <m:r>
              <m:rPr/>
              <m:t>B</m:t>
            </m:r>
          </m:e>
        </m:d>
        <m:r>
          <m:rPr>
            <m:sty m:val="p"/>
          </m:rPr>
          <m:t>−</m:t>
        </m:r>
        <m:r>
          <m:rPr/>
          <m:t>M</m:t>
        </m:r>
        <m:d>
          <m:dPr>
            <m:sepChr m:val=""/>
          </m:dPr>
          <m:e>
            <m:r>
              <m:rPr/>
              <m:t>A</m:t>
            </m:r>
          </m:e>
        </m:d>
        <m:r>
          <m:rPr>
            <m:sty m:val="p"/>
          </m:rPr>
          <m:t>,</m:t>
        </m:r>
        <m:r>
          <m:rPr/>
          <m:t>  </m:t>
        </m:r>
        <m:sSub>
          <m:sSubPr/>
          <m:e>
            <m:r>
              <m:rPr/>
              <m:t>Δ</m:t>
            </m:r>
          </m:e>
          <m:sub>
            <m:r>
              <m:rPr>
                <m:sty m:val="p"/>
              </m:rPr>
              <m:t>source</m:t>
            </m:r>
          </m:sub>
        </m:sSub>
        <m:r>
          <m:rPr>
            <m:sty m:val="p"/>
          </m:rPr>
          <m:t>=</m:t>
        </m:r>
        <m:r>
          <m:rPr/>
          <m:t>M</m:t>
        </m:r>
        <m:d>
          <m:dPr>
            <m:sepChr m:val=""/>
          </m:dPr>
          <m:e>
            <m:r>
              <m:rPr/>
              <m:t>C</m:t>
            </m:r>
          </m:e>
        </m:d>
        <m:r>
          <m:rPr>
            <m:sty m:val="p"/>
          </m:rPr>
          <m:t>−</m:t>
        </m:r>
        <m:r>
          <m:rPr/>
          <m:t>M</m:t>
        </m:r>
        <m:d>
          <m:dPr>
            <m:sepChr m:val=""/>
          </m:dPr>
          <m:e>
            <m:r>
              <m:rPr/>
              <m:t>B</m:t>
            </m:r>
          </m:e>
        </m:d>
      </m:oMath>
      <w:r>
        <w:tab/>
      </w:r>
      <w:r>
        <w:rPr>
          <w:rFonts w:ascii="Times New Roman" w:hAnsi="Times New Roman" w:eastAsia="Times New Roman" w:cs="Times New Roman"/>
          <w:sz w:val="21"/>
          <w:szCs w:val="21"/>
        </w:rPr>
        <w:t>(5)</w:t>
      </w:r>
    </w:p>
    <w:p w14:paraId="1AFDF5F9">
      <w:pPr>
        <w:widowControl/>
        <w:spacing w:after="80"/>
      </w:pPr>
      <w:r>
        <w:t>Eq. (5) defines Δ_prompt and Δ_source. The primary A/B/C table uses each target’s complete eligible population; for source-free items B and C are textually identical by construction. A post-hoc source-bearing restriction therefore recomputes B→C only where authorised context exists. For M4 this is a fixed-weight inference-time comparison; for M3 the B and C systems are separately trained, so the difference is descriptive rather than a pure causal source effect. The restricted-population formula is reported in Supplementary Section S9.5.1.</w:t>
      </w:r>
    </w:p>
    <w:p>
      <w:r>
        <w:rPr>
          <w:b/>
        </w:rPr>
        <w:t xml:space="preserve">Added post-freeze CPU and GPU robustness protocols. </w:t>
      </w:r>
      <w:r>
        <w:t>The sparse-event CPU audit refits the 60 previously defined binomial working-independence GEE specifications on frozen E1/E2 pairs (Prompt_ID-cluster robust standard errors), flags total decision changes below 30 as descriptive low-support diagnostics, and performs leave-one-Prompt_ID-out refits for those three specifications. No new significance family or replacements for the original Holm-adjusted inferences are introduced. Separately, the GPU standardized-T1 follow-up uses the original 720 text-bearing cases from FINAL_GOLD as unlabeled inputs, forced-choice single-token scoring with A=no failure and B=failure, and the two model-specific chat templates. Reference Any_Failure labels are joined by Case_ID only after inference; complete coverage and row-level uniqueness are checked. This is not identical-serialization replication of the archived M4 FP16 experiment, and it is not a causal model-architecture ablation.</w:t>
      </w:r>
    </w:p>
    <w:p w14:paraId="3B70764C">
      <w:pPr>
        <w:widowControl/>
        <w:spacing w:after="80"/>
      </w:pPr>
      <w:r>
        <w:t>Human–machine difficulty uses the pre-adjudication layer: target-specific full A1–A3 agreement defines human-easy cases and disagreement defines human-hard cases. Primary analysis compares error rates with Prompt_ID-cluster bootstrap intervals; the supplement additionally compares normalised predictive entropy, top-two margin, and maximum class probability as uncalibrated uncertainty proxies. The entropy definition is retained in Supplementary Section S9.9.</w:t>
      </w:r>
    </w:p>
    <w:p w14:paraId="637D75E5">
      <w:pPr>
        <w:pStyle w:val="3"/>
        <w:keepNext/>
        <w:keepLines/>
      </w:pPr>
      <w:r>
        <w:rPr>
          <w:color w:val="000000"/>
        </w:rPr>
        <w:t>4.7 Post-hoc validity and sensitivity analyses</w:t>
      </w:r>
    </w:p>
    <w:p>
      <w:r>
        <w:t>Post-hoc T1 standardized robustness—methods. This post-hoc robustness analysis reuses original T1 case text from the frozen adjudicated GOLD workbook as evaluation INPUT ONLY; reference labels were added strictly after new model inference to evaluate predictions. The input CSV has 720 unique Case_ID and 120 Prompt_ID. Predictions from the supplied completed GPU run were matched without dropping any case; no model re-inference was performed when computing the present statistics. Scoring is binary forced-choice next-token A/B, not free-text judge deliberation. The source GPU manifest reports 720/720 successful predictions per model. Precision, recall, F1, accuracy, and confusion matrices were recalculated from saved per-case predictions and Any_Failure. No confidence intervals, significance tests, or between-model superiority claims are inferred from this single fixed run.</w:t>
      </w:r>
    </w:p>
    <w:p>
      <w:r>
        <w:t>Raw-case reproducibility protocol (verification conducted after the study freeze). Eleven de-identified paired case files (10,408 matched case-comparison rows, 20 judge–target–perturbation groups) were used to independently refit three disagreement-axis models per group (60 total). Each model used binomial GEE with working-independence correlation, robust Prompt_ID-clustered standard errors and covariates for human disagreement, GOLD class and generator identity. Class-standardised risk differences and their 95% percentile intervals were recomputed with 2,500 Prompt_ID-cluster resamples per contrast (PCG64, seed 20261010), retaining the original GOLD-class weights and explicitly checking the five-key merge. Holm and BH-FDR corrections form a 60-test family. This verification does not rerun historical LLM inference or repair the earlier T1 serialized-input mismatch.</w:t>
      </w:r>
    </w:p>
    <w:p w14:paraId="2B599219">
      <w:pPr>
        <w:widowControl/>
      </w:pPr>
      <w:r>
        <w:t>After the frozen RQ-linked analyses, targeted validity checks were added to test alternative explanations rather than tune or replace the reference results. First, an output-only six-way generator probe tests whether corpus provenance remains recoverable despite withholding checkpoint identity. A stricter dual-blocked sensitivity then trains M1 and M3 only on rows from different Prompt_ID folds and different anonymous generator strata from each test cell; M3 repeats selection inside that restricted training population, is reinitialised, and predicts each held-out fold×generator cell once.</w:t>
      </w:r>
    </w:p>
    <w:p>
      <w:pPr>
        <w:widowControl/>
      </w:pPr>
      <w:r>
        <w:t>For each target and test fold-by-generator cell, the size-matched control samples without replacement from the non-test-fold pool, retaining exactly the number of rows left by generator exclusion. Five subset repetitions use SHA256-derived seeds from target, fold, generator, repetition, and 20260928; subsets are checked for training-class support. M3 selects duration within the sampled population using development fold (outer fold + 1) modulo 5 and then performs a fresh outer refit. The learning seed remains 20260908: these are subset repetitions, not five learning-seed reruns. All 24 M3 experiment outputs contain 30 fold-by-generator parts each.</w:t>
      </w:r>
    </w:p>
    <w:p w14:paraId="723C8FB3">
      <w:pPr>
        <w:widowControl/>
      </w:pPr>
      <w:r>
        <w:t>Second, M4 Condition C is perturbed while holding judge revision, target populations, evidence condition, chat/scoring mechanism, and target-valid code set fixed. Two independently worded rubrics are crossed with both binary code mappings for T1–T3 and all six A/B/C↔severity bijections for T4, yielding 12 T4 variants. P1/identity must exactly reproduce the archived reference predictions and remains the reference regardless of variant performance; no favourable mapping is selected after inspecting gold labels. A separate tokenizer audit verifies that no Condition-C M3 input reaches the 1,024-token cap. Full prompt text, mappings, and formulas are in Supplementary Sections S9.3 and S9.14.</w:t>
      </w:r>
    </w:p>
    <w:p>
      <w:pPr>
        <w:spacing w:before="40" w:after="80"/>
      </w:pPr>
      <w:r>
        <w:rPr>
          <w:rFonts w:ascii="Times New Roman" w:hAnsi="Times New Roman"/>
          <w:b w:val="0"/>
          <w:sz w:val="20"/>
        </w:rPr>
        <w:t>The post-hoc E1 and E2 sensitivity experiments were developed by Fatma S. Gadelrab and Ahmed M. Abdelmoniem, with the other coauthors contributing independent human reference construction and validation as specified in the CRediT statement. The computational runs and all statistical summaries were produced by executing and verifying research scripts on the frozen study inputs and archived predictions. Provision of computing resources is credited in the authorship contributions and acknowledgements; access to those resources did not alter the frozen human reference or constitute a separate source of scientific labels.</w:t>
      </w:r>
    </w:p>
    <w:p>
      <w:pPr>
        <w:spacing w:after="100"/>
      </w:pPr>
      <w:r>
        <w:rPr>
          <w:rFonts w:ascii="Times New Roman" w:hAnsi="Times New Roman"/>
          <w:sz w:val="18"/>
        </w:rPr>
        <w:t>For judge j, target t, case i, and encoding variant v, let aᵢⱼₜᵥ be the selected answer token and πᵥ its executed token-to-label mapping; v = 0 denotes the matched baseline. For E1, πᵥ changes while the class meanings are fixed; for E2, πᵥ = π₀ and only the visible option order is altered. The remapped class prediction and paired change indicator are:</w:t>
      </w:r>
    </w:p>
    <w:p>
      <w:pPr>
        <w:spacing w:before="100" w:after="100"/>
        <w:jc w:val="center"/>
      </w:pPr>
      <w:r>
        <w:rPr>
          <w:rFonts w:ascii="Cambria Math" w:hAnsi="Cambria Math"/>
          <w:sz w:val="18"/>
        </w:rPr>
        <w:t>ŷᵢⱼₜᵥ = πᵥ(aᵢⱼₜᵥ),       Cᵢⱼₜᵥ = 𝟙[ŷᵢⱼₜᵥ ≠ ŷᵢⱼₜ₀].                                      (6)</w:t>
      </w:r>
    </w:p>
    <w:p>
      <w:pPr>
        <w:spacing w:after="100"/>
      </w:pPr>
      <w:r>
        <w:t>Distinct association estimands (S02/S05/S06). The unadjusted (crude) risk difference compares observed judge-change proportions between human-disagreement groups; the class-standardised risk difference averages class-specific contrasts over the fixed GOLD-class frequencies but does not standardise by generator. By contrast exp(βD) is a conditional odds ratio from a GEE adjusting for GOLD class and anonymous generator slot. Across the 60 stored contrasts, the signs differ in 14/60 for class-standardised RD versus conditional log-OR and in 14/60 for crude versus class-standardised RD. For example, Qwen–T2–E1–severity has class-standardised RD ≈−0.0080 while conditional adjusted OR≈1.851 (nominal p≈.0163; Holm≈.9462). Conditional odds are non-collapsible, and the adjustment sets differ: neither result is an error by itself, nor may the OR be read as percentage points. Shared GOLD selection and sparse change outcomes further restrict causal interpretation.</w:t>
      </w:r>
    </w:p>
    <w:p>
      <w:pPr>
        <w:spacing w:after="100"/>
      </w:pPr>
      <w:r>
        <w:rPr>
          <w:rFonts w:ascii="Times New Roman" w:hAnsi="Times New Roman"/>
          <w:sz w:val="18"/>
        </w:rPr>
        <w:t>For the fixed eligible population Iₜ, the descriptive changed-case fraction and macro-F1 contrast are:</w:t>
      </w:r>
    </w:p>
    <w:p>
      <w:pPr>
        <w:spacing w:before="100" w:after="100"/>
        <w:jc w:val="center"/>
      </w:pPr>
      <w:r>
        <w:rPr>
          <w:rFonts w:ascii="Cambria Math" w:hAnsi="Cambria Math"/>
          <w:sz w:val="18"/>
        </w:rPr>
        <w:t>Sⱼₜᵥ = (1 / Nₜ) ∑ᵢ∈Iₜ Cᵢⱼₜᵥ,       ΔF1ⱼₜᵥ = macro-F1(ŷᵥ, y) − macro-F1(ŷ₀, y).         (7)</w:t>
      </w:r>
    </w:p>
    <w:p>
      <w:pPr>
        <w:spacing w:after="100"/>
      </w:pPr>
      <w:r>
        <w:rPr>
          <w:rFonts w:ascii="Times New Roman" w:hAnsi="Times New Roman"/>
          <w:sz w:val="18"/>
        </w:rPr>
        <w:t>These endpoints use paired cases and the archived predictions. Prompt_ID-cluster bootstrap confidence intervals are conditional on the executed judge calls; a changed decision can either increase or decrease agreement with GOLD. Macro-F1 contrasts use the same frozen target-specific GOLD labels y.</w:t>
      </w:r>
    </w:p>
    <w:p>
      <w:pPr>
        <w:spacing w:after="100"/>
      </w:pPr>
      <w:r>
        <w:rPr>
          <w:rFonts w:ascii="Times New Roman" w:hAnsi="Times New Roman"/>
          <w:sz w:val="18"/>
        </w:rPr>
        <w:t>Separately, the post-hoc human–judge analysis estimates whether the change indicator differs between cases on which the frozen A1–A3 ratings were non-unanimous (Dᵢ,d = 1) and unanimous (Dᵢ,d = 0), for each human rating axis d. The logistic generalized estimating equation (GEE), fitted separately for each of the 60 judge–target–encoding–axis contrasts, is:</w:t>
      </w:r>
    </w:p>
    <w:p>
      <w:pPr>
        <w:spacing w:before="100" w:after="100"/>
        <w:jc w:val="center"/>
      </w:pPr>
      <w:r>
        <w:rPr>
          <w:rFonts w:ascii="Cambria Math" w:hAnsi="Cambria Math"/>
          <w:sz w:val="18"/>
        </w:rPr>
        <w:t>logit Pr(Cᵢ = 1) = β₀ + βD Dᵢ,d + ∑ₖ γₖ 𝟙(yᵢ = k) + ∑g δg 𝟙(slotᵢ = g).     (8)</w:t>
      </w:r>
    </w:p>
    <w:p>
      <w:pPr>
        <w:spacing w:after="100"/>
      </w:pPr>
      <w:r>
        <w:rPr>
          <w:rFonts w:ascii="Times New Roman" w:hAnsi="Times New Roman"/>
          <w:sz w:val="18"/>
        </w:rPr>
        <w:t>In Eq. (8), y denotes the target-specific frozen GOLD class and slot identifies the anonymous within-Prompt_ID generation output position; Prompt_ID is the GEE clustering unit. exp(βD) is a covariate-adjusted odds ratio for association, not a causal effect. The class-standardised risk difference is a separate estimand with 2,500 prompt-cluster bootstrap resamples; inference for the exploratory 60 GEE terms uses Holm and Benjamini–Hochberg adjustments (Supplementary §S9.15).</w:t>
      </w:r>
    </w:p>
    <w:p>
      <w:pPr/>
      <w:r>
        <w:t>Rationale for the supplementary GEE stability audit (post-hoc; existing data only). The 60 human–judge association fits already provide conditional logistic-GEE effect estimates and 60-test multiplicity-adjusted p-values; however, the 20 repeated E1/E2 case-paired comparisons have unequal numbers of changed decisions, and successful GEE convergence alone does not establish reliable large-sample inference for low-event contrasts. We therefore refitted the same 60 binomial, working-independence GEE specifications on the identical frozen 10,408 comparison rows, using robust Prompt_ID-clustered sandwich covariance, to extract per-contrast changed-decision counts, robust standard errors of the pre-resolution-disagreement coefficient, and nominal Wald odds-ratio intervals exp(βD ± 1.96 SErobust). This diagnostic follows, rather than supplements with new hypotheses, the original 60-test analysis: it changes neither model covariates, eligibility, predictions, coefficients, nor Holm/BH decisions, and it does not estimate the separately GOLD-class-standardised risk difference or its 2,500-draw cluster-bootstrap interval. Per-fit convergence and a descriptive low-event flag (&lt;30 changes, not a calibrated decision threshold) are reported for transparency. These Wald intervals are unadjusted for multiplicity and may have poor coverage under sparse events or influential prompt clusters (Supplementary §S9.15; accompanying HJI_GEE_STABILITY_60.csv).</w:t>
      </w:r>
    </w:p>
    <w:p w14:paraId="72F823A6">
      <w:pPr>
        <w:widowControl/>
      </w:pPr>
      <w:r>
        <w:t>Two descriptive post-hoc contextualisation checks are also retained. Annotator-to-adjudicated-reference concordance projects each locked A1–A3 decision onto the same FINAL GOLD-defined T1–T4 populations, counting out-of-target decisions as strict misses; because those annotators contributed to FINAL GOLD, the resulting bands are not independent human ceilings. A deterministic qualitative M3 error audit selects the highest-confidence misclassified case from each target×human-difficulty stratum using Case_ID only as a tie-breaker, preventing narrative cherry-picking; these examples illustrate error forms but do not estimate their prevalence.</w:t>
      </w:r>
    </w:p>
    <w:p w14:paraId="2ECB9067">
      <w:pPr>
        <w:pStyle w:val="2"/>
        <w:keepNext/>
        <w:keepLines/>
      </w:pPr>
      <w:r>
        <w:rPr>
          <w:color w:val="000000"/>
        </w:rPr>
        <w:t>5. Human Results</w:t>
      </w:r>
    </w:p>
    <w:p w14:paraId="17F568ED">
      <w:pPr>
        <w:pStyle w:val="3"/>
        <w:keepNext/>
        <w:keepLines/>
      </w:pPr>
      <w:r>
        <w:rPr>
          <w:color w:val="000000"/>
        </w:rPr>
        <w:t>5.1 RQ1: Operational coverage and inter-rater reliability</w:t>
      </w:r>
    </w:p>
    <w:p w14:paraId="1DDF3D98">
      <w:pPr>
        <w:widowControl/>
        <w:spacing w:after="80"/>
      </w:pPr>
      <w:r>
        <w:t>All 720 planned outputs were retained with three locked pre-resolution annotations (2,160 ratings). All 15 prespecified labels appeared in locked ratings, although 14 have at least one FINAL GOLD primary assignment (OVR-06 has none) and several were rare. Every failure rating included an evidence note. Explicit ambiguity occurred in 36 cases (5.0%). Independently of those ambiguity flags, the mechanically defined six-field disagreement rule sent 423 cases (58.8%) to senior adjudication; this queue count is a workflow quantity, not an agreement coefficient.</w:t>
      </w:r>
    </w:p>
    <w:p w14:paraId="64D073D3">
      <w:pPr>
        <w:widowControl/>
        <w:spacing w:after="80"/>
      </w:pPr>
      <w:r>
        <w:t>Fine-grained primary labels achieved 70.7% full agreement and Krippendorff’s α = .703; collapsed families reached 75.8% and α = .731; boundary zones reached 74.4% and α = .723. Corresponding Gwet’s AC1 values were .763, .780, and .766. These estimates quantify within-study agreement at the framework level; they do not establish stable label-specific reliability for sparse categories or reproducibility in other annotator populations (Table 8).</w:t>
      </w:r>
    </w:p>
    <w:p>
      <w:pPr>
        <w:jc w:val="both"/>
      </w:pPr>
      <w:r>
        <w:rPr>
          <w:rFonts w:ascii="Times New Roman" w:hAnsi="Times New Roman"/>
          <w:b/>
          <w:sz w:val="20"/>
        </w:rPr>
        <w:t>Fine-label support and class-specific agreement.</w:t>
      </w:r>
      <w:r>
        <w:rPr>
          <w:rFonts w:ascii="Times New Roman" w:hAnsi="Times New Roman"/>
          <w:sz w:val="20"/>
        </w:rPr>
        <w:t xml:space="preserve"> In FINAL GOLD, SCF-03 (162) and SCF-04 (143) account for 305/333 (91.6%) of Core-SCF cases. In contrast, SCF-01 and SCF-05 occur once each, SCF-06 three times, SCF-07 twice, and OVR-06 has no final primary cases. Locked-rating pooled positive agreement is 0.000 for SCF-01, SCF-05, SCF-07, and OVR-06 (Supplementary Tables S21 and S24). The full-inventory α = .703 is a pooled statistic and cannot be assigned to each code: sparse categories have insufficient evidence for stable code-specific measurement, regardless of their retained conceptual definitions.</w:t>
      </w:r>
    </w:p>
    <w:p w14:paraId="4927DCAB">
      <w:pPr>
        <w:widowControl/>
      </w:pPr>
      <w:r>
        <w:t>A post-hoc pair-specific pre-resolution diagnostic showed that the framework-level result did not conceal a single uniformly behaving rater pair. Fine-label exact agreement / Cohen’s κ was 80.0% / .734 for A1–A2, 79.0% / .718 for A1–A3, and 73.6% / .661 for A2–A3. Pair-specific κ was much more tightly grouped after collapsing to families (.730–.733) and for grounding boundaries (.720–.731). These pairwise coefficients are descriptive complements to the three-rater estimands, not replacements for them (Supplementary Tables S25 and S32).</w:t>
      </w:r>
    </w:p>
    <w:p>
      <w:pPr/>
      <w:r>
        <w:t>Annotator-specific response-threshold diagnostic (locked ratings; descriptive). A1, A2, and A3 applied NONE in 333/720 (46.3%), 246/720 (34.2%), and 264/720 (36.7%) cases, respectively, whereas they assigned severity 3 in 151/720 (21.0%), 190/720 (26.4%), and 280/720 (38.9%). A3 thus used the highest severity category 17.9 percentage points more often than A1. These unequal marginals can alter chance-corrected agreement and are compatible with heterogeneous decision thresholds, but cannot identify which annotator, if any, was correct or systematically biased; paired severity evidence is summarised in Supplementary Tables S32 and S44–S45. A single pooled α is not a substitute for these rater-specific diagnostics.</w:t>
      </w:r>
    </w:p>
    <w:p w14:paraId="5E52A1BE">
      <w:pPr>
        <w:keepNext/>
        <w:spacing w:before="100" w:after="40"/>
        <w:jc w:val="left"/>
      </w:pPr>
      <w:r>
        <w:t>Table 8. Locked pre-resolution nominal agreement.</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2232"/>
        <w:gridCol w:w="792"/>
        <w:gridCol w:w="1224"/>
        <w:gridCol w:w="1728"/>
        <w:gridCol w:w="1800"/>
        <w:gridCol w:w="1656"/>
      </w:tblGrid>
      <w:tr w14:paraId="3BE2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232" w:type="dxa"/>
            <w:tcMar>
              <w:top w:w="65" w:type="dxa"/>
              <w:left w:w="55" w:type="dxa"/>
              <w:bottom w:w="65" w:type="dxa"/>
              <w:right w:w="55" w:type="dxa"/>
              <w:start w:w="68" w:type="dxa"/>
              <w:end w:w="68" w:type="dxa"/>
            </w:tcMar>
            <w:vAlign w:val="center"/>
            <w:shd w:val="clear" w:color="auto" w:fill="E8F0F8"/>
          </w:tcPr>
          <w:p w14:paraId="0A6717C2">
            <w:pPr>
              <w:spacing w:before="0" w:after="0" w:line="240" w:lineRule="auto"/>
              <w:jc w:val="center"/>
            </w:pPr>
            <w:r>
              <w:rPr>
                <w:rFonts w:ascii="Times New Roman" w:hAnsi="Times New Roman" w:eastAsia="Times New Roman" w:cs="Times New Roman"/>
                <w:b/>
                <w:color w:val="1E364D"/>
                <w:sz w:val="15"/>
              </w:rPr>
              <w:t>Target</w:t>
            </w:r>
          </w:p>
        </w:tc>
        <w:tc>
          <w:tcPr>
            <w:tcW w:w="792" w:type="dxa"/>
            <w:tcMar>
              <w:top w:w="65" w:type="dxa"/>
              <w:left w:w="55" w:type="dxa"/>
              <w:bottom w:w="65" w:type="dxa"/>
              <w:right w:w="55" w:type="dxa"/>
              <w:start w:w="68" w:type="dxa"/>
              <w:end w:w="68" w:type="dxa"/>
            </w:tcMar>
            <w:vAlign w:val="center"/>
            <w:shd w:val="clear" w:color="auto" w:fill="E8F0F8"/>
          </w:tcPr>
          <w:p w14:paraId="6EC71630">
            <w:pPr>
              <w:spacing w:before="0" w:after="0" w:line="240" w:lineRule="auto"/>
              <w:jc w:val="center"/>
            </w:pPr>
            <w:r>
              <w:rPr>
                <w:rFonts w:ascii="Times New Roman" w:hAnsi="Times New Roman" w:eastAsia="Times New Roman" w:cs="Times New Roman"/>
                <w:b/>
                <w:color w:val="1E364D"/>
                <w:sz w:val="15"/>
              </w:rPr>
              <w:t>N</w:t>
            </w:r>
          </w:p>
        </w:tc>
        <w:tc>
          <w:tcPr>
            <w:tcW w:w="1224" w:type="dxa"/>
            <w:tcMar>
              <w:top w:w="65" w:type="dxa"/>
              <w:left w:w="55" w:type="dxa"/>
              <w:bottom w:w="65" w:type="dxa"/>
              <w:right w:w="55" w:type="dxa"/>
              <w:start w:w="68" w:type="dxa"/>
              <w:end w:w="68" w:type="dxa"/>
            </w:tcMar>
            <w:vAlign w:val="center"/>
            <w:shd w:val="clear" w:color="auto" w:fill="E8F0F8"/>
          </w:tcPr>
          <w:p w14:paraId="7DD1E609">
            <w:pPr>
              <w:spacing w:before="0" w:after="0" w:line="240" w:lineRule="auto"/>
              <w:jc w:val="center"/>
            </w:pPr>
            <w:r>
              <w:rPr>
                <w:rFonts w:ascii="Times New Roman" w:hAnsi="Times New Roman" w:eastAsia="Times New Roman" w:cs="Times New Roman"/>
                <w:b/>
                <w:color w:val="1E364D"/>
                <w:sz w:val="15"/>
              </w:rPr>
              <w:t>Full agreement</w:t>
            </w:r>
          </w:p>
        </w:tc>
        <w:tc>
          <w:tcPr>
            <w:tcW w:w="1728" w:type="dxa"/>
            <w:tcMar>
              <w:top w:w="65" w:type="dxa"/>
              <w:left w:w="55" w:type="dxa"/>
              <w:bottom w:w="65" w:type="dxa"/>
              <w:right w:w="55" w:type="dxa"/>
              <w:start w:w="68" w:type="dxa"/>
              <w:end w:w="68" w:type="dxa"/>
            </w:tcMar>
            <w:vAlign w:val="center"/>
            <w:shd w:val="clear" w:color="auto" w:fill="E8F0F8"/>
          </w:tcPr>
          <w:p w14:paraId="50CA3208">
            <w:pPr>
              <w:spacing w:before="0" w:after="0" w:line="240" w:lineRule="auto"/>
              <w:jc w:val="center"/>
            </w:pPr>
            <w:r>
              <w:rPr>
                <w:rFonts w:ascii="Times New Roman" w:hAnsi="Times New Roman" w:eastAsia="Times New Roman" w:cs="Times New Roman"/>
                <w:b/>
                <w:color w:val="1E364D"/>
                <w:sz w:val="15"/>
              </w:rPr>
              <w:t>Fleiss κ (95% CI)</w:t>
            </w:r>
          </w:p>
        </w:tc>
        <w:tc>
          <w:tcPr>
            <w:tcW w:w="1800" w:type="dxa"/>
            <w:tcMar>
              <w:top w:w="65" w:type="dxa"/>
              <w:left w:w="55" w:type="dxa"/>
              <w:bottom w:w="65" w:type="dxa"/>
              <w:right w:w="55" w:type="dxa"/>
              <w:start w:w="68" w:type="dxa"/>
              <w:end w:w="68" w:type="dxa"/>
            </w:tcMar>
            <w:vAlign w:val="center"/>
            <w:shd w:val="clear" w:color="auto" w:fill="E8F0F8"/>
          </w:tcPr>
          <w:p w14:paraId="4F837426">
            <w:pPr>
              <w:spacing w:before="0" w:after="0" w:line="240" w:lineRule="auto"/>
              <w:jc w:val="center"/>
            </w:pPr>
            <w:r>
              <w:rPr>
                <w:rFonts w:ascii="Times New Roman" w:hAnsi="Times New Roman" w:eastAsia="Times New Roman" w:cs="Times New Roman"/>
                <w:b/>
                <w:color w:val="1E364D"/>
                <w:sz w:val="15"/>
              </w:rPr>
              <w:t>Krippendorff α (95% CI)</w:t>
            </w:r>
          </w:p>
        </w:tc>
        <w:tc>
          <w:tcPr>
            <w:tcW w:w="1656" w:type="dxa"/>
            <w:tcMar>
              <w:top w:w="65" w:type="dxa"/>
              <w:left w:w="55" w:type="dxa"/>
              <w:bottom w:w="65" w:type="dxa"/>
              <w:right w:w="55" w:type="dxa"/>
              <w:start w:w="68" w:type="dxa"/>
              <w:end w:w="68" w:type="dxa"/>
            </w:tcMar>
            <w:vAlign w:val="center"/>
            <w:shd w:val="clear" w:color="auto" w:fill="E8F0F8"/>
          </w:tcPr>
          <w:p w14:paraId="4304DF4D">
            <w:pPr>
              <w:spacing w:before="0" w:after="0" w:line="240" w:lineRule="auto"/>
              <w:jc w:val="center"/>
            </w:pPr>
            <w:r>
              <w:rPr>
                <w:rFonts w:ascii="Times New Roman" w:hAnsi="Times New Roman" w:eastAsia="Times New Roman" w:cs="Times New Roman"/>
                <w:b/>
                <w:color w:val="1E364D"/>
                <w:sz w:val="15"/>
              </w:rPr>
              <w:t>Gwet AC1 (95% CI)</w:t>
            </w:r>
          </w:p>
        </w:tc>
      </w:tr>
      <w:tr w14:paraId="4C1D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65" w:type="dxa"/>
              <w:left w:w="55" w:type="dxa"/>
              <w:bottom w:w="65" w:type="dxa"/>
              <w:right w:w="55" w:type="dxa"/>
              <w:start w:w="68" w:type="dxa"/>
              <w:end w:w="68" w:type="dxa"/>
            </w:tcMar>
            <w:vAlign w:val="center"/>
          </w:tcPr>
          <w:p w14:paraId="3FC056F4">
            <w:pPr>
              <w:spacing w:before="0" w:after="0" w:line="240" w:lineRule="auto"/>
            </w:pPr>
            <w:r>
              <w:rPr>
                <w:rFonts w:ascii="Times New Roman" w:hAnsi="Times New Roman" w:eastAsia="Times New Roman" w:cs="Times New Roman"/>
                <w:b w:val="0"/>
                <w:sz w:val="15"/>
              </w:rPr>
              <w:t>Fine-grained primary labels</w:t>
            </w:r>
          </w:p>
        </w:tc>
        <w:tc>
          <w:tcPr>
            <w:tcW w:w="792" w:type="dxa"/>
            <w:tcMar>
              <w:top w:w="65" w:type="dxa"/>
              <w:left w:w="55" w:type="dxa"/>
              <w:bottom w:w="65" w:type="dxa"/>
              <w:right w:w="55" w:type="dxa"/>
              <w:start w:w="68" w:type="dxa"/>
              <w:end w:w="68" w:type="dxa"/>
            </w:tcMar>
            <w:vAlign w:val="center"/>
          </w:tcPr>
          <w:p w14:paraId="5ACE8B3E">
            <w:pPr>
              <w:spacing w:before="0" w:after="0" w:line="240" w:lineRule="auto"/>
            </w:pPr>
            <w:r>
              <w:rPr>
                <w:rFonts w:ascii="Times New Roman" w:hAnsi="Times New Roman" w:eastAsia="Times New Roman" w:cs="Times New Roman"/>
                <w:b w:val="0"/>
                <w:sz w:val="15"/>
              </w:rPr>
              <w:t>720</w:t>
            </w:r>
          </w:p>
        </w:tc>
        <w:tc>
          <w:tcPr>
            <w:tcW w:w="1224" w:type="dxa"/>
            <w:tcMar>
              <w:top w:w="65" w:type="dxa"/>
              <w:left w:w="55" w:type="dxa"/>
              <w:bottom w:w="65" w:type="dxa"/>
              <w:right w:w="55" w:type="dxa"/>
              <w:start w:w="68" w:type="dxa"/>
              <w:end w:w="68" w:type="dxa"/>
            </w:tcMar>
            <w:vAlign w:val="center"/>
          </w:tcPr>
          <w:p w14:paraId="3C36C777">
            <w:pPr>
              <w:spacing w:before="0" w:after="0" w:line="240" w:lineRule="auto"/>
            </w:pPr>
            <w:r>
              <w:rPr>
                <w:rFonts w:ascii="Times New Roman" w:hAnsi="Times New Roman" w:eastAsia="Times New Roman" w:cs="Times New Roman"/>
                <w:b w:val="0"/>
                <w:sz w:val="15"/>
              </w:rPr>
              <w:t>70.7%</w:t>
            </w:r>
          </w:p>
        </w:tc>
        <w:tc>
          <w:tcPr>
            <w:tcW w:w="1728" w:type="dxa"/>
            <w:tcMar>
              <w:top w:w="65" w:type="dxa"/>
              <w:left w:w="55" w:type="dxa"/>
              <w:bottom w:w="65" w:type="dxa"/>
              <w:right w:w="55" w:type="dxa"/>
              <w:start w:w="68" w:type="dxa"/>
              <w:end w:w="68" w:type="dxa"/>
            </w:tcMar>
            <w:vAlign w:val="center"/>
          </w:tcPr>
          <w:p w14:paraId="455AE415">
            <w:pPr>
              <w:spacing w:before="0" w:after="0" w:line="240" w:lineRule="auto"/>
            </w:pPr>
            <w:r>
              <w:rPr>
                <w:rFonts w:ascii="Times New Roman" w:hAnsi="Times New Roman" w:eastAsia="Times New Roman" w:cs="Times New Roman"/>
                <w:b w:val="0"/>
                <w:sz w:val="15"/>
              </w:rPr>
              <w:t>.703 (.670–.737)</w:t>
            </w:r>
          </w:p>
        </w:tc>
        <w:tc>
          <w:tcPr>
            <w:tcW w:w="1800" w:type="dxa"/>
            <w:tcMar>
              <w:top w:w="65" w:type="dxa"/>
              <w:left w:w="55" w:type="dxa"/>
              <w:bottom w:w="65" w:type="dxa"/>
              <w:right w:w="55" w:type="dxa"/>
              <w:start w:w="68" w:type="dxa"/>
              <w:end w:w="68" w:type="dxa"/>
            </w:tcMar>
            <w:vAlign w:val="center"/>
          </w:tcPr>
          <w:p w14:paraId="3361AB3B">
            <w:pPr>
              <w:spacing w:before="0" w:after="0" w:line="240" w:lineRule="auto"/>
            </w:pPr>
            <w:r>
              <w:rPr>
                <w:rFonts w:ascii="Times New Roman" w:hAnsi="Times New Roman" w:eastAsia="Times New Roman" w:cs="Times New Roman"/>
                <w:b w:val="0"/>
                <w:sz w:val="15"/>
              </w:rPr>
              <w:t>.703 (.670–.737)</w:t>
            </w:r>
          </w:p>
        </w:tc>
        <w:tc>
          <w:tcPr>
            <w:tcW w:w="1656" w:type="dxa"/>
            <w:tcMar>
              <w:top w:w="65" w:type="dxa"/>
              <w:left w:w="55" w:type="dxa"/>
              <w:bottom w:w="65" w:type="dxa"/>
              <w:right w:w="55" w:type="dxa"/>
              <w:start w:w="68" w:type="dxa"/>
              <w:end w:w="68" w:type="dxa"/>
            </w:tcMar>
            <w:vAlign w:val="center"/>
          </w:tcPr>
          <w:p w14:paraId="778E01E1">
            <w:pPr>
              <w:spacing w:before="0" w:after="0" w:line="240" w:lineRule="auto"/>
            </w:pPr>
            <w:r>
              <w:rPr>
                <w:rFonts w:ascii="Times New Roman" w:hAnsi="Times New Roman" w:eastAsia="Times New Roman" w:cs="Times New Roman"/>
                <w:b w:val="0"/>
                <w:sz w:val="15"/>
              </w:rPr>
              <w:t>.763 (.734–.791)</w:t>
            </w:r>
          </w:p>
        </w:tc>
      </w:tr>
      <w:tr w14:paraId="3BA3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65" w:type="dxa"/>
              <w:left w:w="55" w:type="dxa"/>
              <w:bottom w:w="65" w:type="dxa"/>
              <w:right w:w="55" w:type="dxa"/>
              <w:start w:w="68" w:type="dxa"/>
              <w:end w:w="68" w:type="dxa"/>
            </w:tcMar>
            <w:vAlign w:val="center"/>
          </w:tcPr>
          <w:p w14:paraId="06D48B48">
            <w:pPr>
              <w:spacing w:before="0" w:after="0" w:line="240" w:lineRule="auto"/>
            </w:pPr>
            <w:r>
              <w:rPr>
                <w:rFonts w:ascii="Times New Roman" w:hAnsi="Times New Roman" w:eastAsia="Times New Roman" w:cs="Times New Roman"/>
                <w:b w:val="0"/>
                <w:sz w:val="15"/>
              </w:rPr>
              <w:t>Collapsed label families</w:t>
            </w:r>
          </w:p>
        </w:tc>
        <w:tc>
          <w:tcPr>
            <w:tcW w:w="792" w:type="dxa"/>
            <w:tcMar>
              <w:top w:w="65" w:type="dxa"/>
              <w:left w:w="55" w:type="dxa"/>
              <w:bottom w:w="65" w:type="dxa"/>
              <w:right w:w="55" w:type="dxa"/>
              <w:start w:w="68" w:type="dxa"/>
              <w:end w:w="68" w:type="dxa"/>
            </w:tcMar>
            <w:vAlign w:val="center"/>
          </w:tcPr>
          <w:p w14:paraId="0E540129">
            <w:pPr>
              <w:spacing w:before="0" w:after="0" w:line="240" w:lineRule="auto"/>
            </w:pPr>
            <w:r>
              <w:rPr>
                <w:rFonts w:ascii="Times New Roman" w:hAnsi="Times New Roman" w:eastAsia="Times New Roman" w:cs="Times New Roman"/>
                <w:b w:val="0"/>
                <w:sz w:val="15"/>
              </w:rPr>
              <w:t>720</w:t>
            </w:r>
          </w:p>
        </w:tc>
        <w:tc>
          <w:tcPr>
            <w:tcW w:w="1224" w:type="dxa"/>
            <w:tcMar>
              <w:top w:w="65" w:type="dxa"/>
              <w:left w:w="55" w:type="dxa"/>
              <w:bottom w:w="65" w:type="dxa"/>
              <w:right w:w="55" w:type="dxa"/>
              <w:start w:w="68" w:type="dxa"/>
              <w:end w:w="68" w:type="dxa"/>
            </w:tcMar>
            <w:vAlign w:val="center"/>
          </w:tcPr>
          <w:p w14:paraId="514716FD">
            <w:pPr>
              <w:spacing w:before="0" w:after="0" w:line="240" w:lineRule="auto"/>
            </w:pPr>
            <w:r>
              <w:rPr>
                <w:rFonts w:ascii="Times New Roman" w:hAnsi="Times New Roman" w:eastAsia="Times New Roman" w:cs="Times New Roman"/>
                <w:b w:val="0"/>
                <w:sz w:val="15"/>
              </w:rPr>
              <w:t>75.8%</w:t>
            </w:r>
          </w:p>
        </w:tc>
        <w:tc>
          <w:tcPr>
            <w:tcW w:w="1728" w:type="dxa"/>
            <w:tcMar>
              <w:top w:w="65" w:type="dxa"/>
              <w:left w:w="55" w:type="dxa"/>
              <w:bottom w:w="65" w:type="dxa"/>
              <w:right w:w="55" w:type="dxa"/>
              <w:start w:w="68" w:type="dxa"/>
              <w:end w:w="68" w:type="dxa"/>
            </w:tcMar>
            <w:vAlign w:val="center"/>
          </w:tcPr>
          <w:p w14:paraId="3C519B3B">
            <w:pPr>
              <w:spacing w:before="0" w:after="0" w:line="240" w:lineRule="auto"/>
            </w:pPr>
            <w:r>
              <w:rPr>
                <w:rFonts w:ascii="Times New Roman" w:hAnsi="Times New Roman" w:eastAsia="Times New Roman" w:cs="Times New Roman"/>
                <w:b w:val="0"/>
                <w:sz w:val="15"/>
              </w:rPr>
              <w:t>.730 (.695–.766)</w:t>
            </w:r>
          </w:p>
        </w:tc>
        <w:tc>
          <w:tcPr>
            <w:tcW w:w="1800" w:type="dxa"/>
            <w:tcMar>
              <w:top w:w="65" w:type="dxa"/>
              <w:left w:w="55" w:type="dxa"/>
              <w:bottom w:w="65" w:type="dxa"/>
              <w:right w:w="55" w:type="dxa"/>
              <w:start w:w="68" w:type="dxa"/>
              <w:end w:w="68" w:type="dxa"/>
            </w:tcMar>
            <w:vAlign w:val="center"/>
          </w:tcPr>
          <w:p w14:paraId="1CAE4F2B">
            <w:pPr>
              <w:spacing w:before="0" w:after="0" w:line="240" w:lineRule="auto"/>
            </w:pPr>
            <w:r>
              <w:rPr>
                <w:rFonts w:ascii="Times New Roman" w:hAnsi="Times New Roman" w:eastAsia="Times New Roman" w:cs="Times New Roman"/>
                <w:b w:val="0"/>
                <w:sz w:val="15"/>
              </w:rPr>
              <w:t>.731 (.695–.766)</w:t>
            </w:r>
          </w:p>
        </w:tc>
        <w:tc>
          <w:tcPr>
            <w:tcW w:w="1656" w:type="dxa"/>
            <w:tcMar>
              <w:top w:w="65" w:type="dxa"/>
              <w:left w:w="55" w:type="dxa"/>
              <w:bottom w:w="65" w:type="dxa"/>
              <w:right w:w="55" w:type="dxa"/>
              <w:start w:w="68" w:type="dxa"/>
              <w:end w:w="68" w:type="dxa"/>
            </w:tcMar>
            <w:vAlign w:val="center"/>
          </w:tcPr>
          <w:p w14:paraId="68C53293">
            <w:pPr>
              <w:spacing w:before="0" w:after="0" w:line="240" w:lineRule="auto"/>
            </w:pPr>
            <w:r>
              <w:rPr>
                <w:rFonts w:ascii="Times New Roman" w:hAnsi="Times New Roman" w:eastAsia="Times New Roman" w:cs="Times New Roman"/>
                <w:b w:val="0"/>
                <w:sz w:val="15"/>
              </w:rPr>
              <w:t>.780 (.749–.812)</w:t>
            </w:r>
          </w:p>
        </w:tc>
      </w:tr>
      <w:tr w14:paraId="3FB4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65" w:type="dxa"/>
              <w:left w:w="55" w:type="dxa"/>
              <w:bottom w:w="65" w:type="dxa"/>
              <w:right w:w="55" w:type="dxa"/>
              <w:start w:w="68" w:type="dxa"/>
              <w:end w:w="68" w:type="dxa"/>
            </w:tcMar>
            <w:vAlign w:val="center"/>
          </w:tcPr>
          <w:p w14:paraId="3A40F86D">
            <w:pPr>
              <w:spacing w:before="0" w:after="0" w:line="240" w:lineRule="auto"/>
            </w:pPr>
            <w:r>
              <w:rPr>
                <w:rFonts w:ascii="Times New Roman" w:hAnsi="Times New Roman" w:eastAsia="Times New Roman" w:cs="Times New Roman"/>
                <w:b w:val="0"/>
                <w:sz w:val="15"/>
              </w:rPr>
              <w:t>Boundary zones</w:t>
            </w:r>
          </w:p>
        </w:tc>
        <w:tc>
          <w:tcPr>
            <w:tcW w:w="792" w:type="dxa"/>
            <w:tcMar>
              <w:top w:w="65" w:type="dxa"/>
              <w:left w:w="55" w:type="dxa"/>
              <w:bottom w:w="65" w:type="dxa"/>
              <w:right w:w="55" w:type="dxa"/>
              <w:start w:w="68" w:type="dxa"/>
              <w:end w:w="68" w:type="dxa"/>
            </w:tcMar>
            <w:vAlign w:val="center"/>
          </w:tcPr>
          <w:p w14:paraId="432C3949">
            <w:pPr>
              <w:spacing w:before="0" w:after="0" w:line="240" w:lineRule="auto"/>
            </w:pPr>
            <w:r>
              <w:rPr>
                <w:rFonts w:ascii="Times New Roman" w:hAnsi="Times New Roman" w:eastAsia="Times New Roman" w:cs="Times New Roman"/>
                <w:b w:val="0"/>
                <w:sz w:val="15"/>
              </w:rPr>
              <w:t>720</w:t>
            </w:r>
          </w:p>
        </w:tc>
        <w:tc>
          <w:tcPr>
            <w:tcW w:w="1224" w:type="dxa"/>
            <w:tcMar>
              <w:top w:w="65" w:type="dxa"/>
              <w:left w:w="55" w:type="dxa"/>
              <w:bottom w:w="65" w:type="dxa"/>
              <w:right w:w="55" w:type="dxa"/>
              <w:start w:w="68" w:type="dxa"/>
              <w:end w:w="68" w:type="dxa"/>
            </w:tcMar>
            <w:vAlign w:val="center"/>
          </w:tcPr>
          <w:p w14:paraId="0E1EAFA1">
            <w:pPr>
              <w:spacing w:before="0" w:after="0" w:line="240" w:lineRule="auto"/>
            </w:pPr>
            <w:r>
              <w:rPr>
                <w:rFonts w:ascii="Times New Roman" w:hAnsi="Times New Roman" w:eastAsia="Times New Roman" w:cs="Times New Roman"/>
                <w:b w:val="0"/>
                <w:sz w:val="15"/>
              </w:rPr>
              <w:t>74.4%</w:t>
            </w:r>
          </w:p>
        </w:tc>
        <w:tc>
          <w:tcPr>
            <w:tcW w:w="1728" w:type="dxa"/>
            <w:tcMar>
              <w:top w:w="65" w:type="dxa"/>
              <w:left w:w="55" w:type="dxa"/>
              <w:bottom w:w="65" w:type="dxa"/>
              <w:right w:w="55" w:type="dxa"/>
              <w:start w:w="68" w:type="dxa"/>
              <w:end w:w="68" w:type="dxa"/>
            </w:tcMar>
            <w:vAlign w:val="center"/>
          </w:tcPr>
          <w:p w14:paraId="74C005C7">
            <w:pPr>
              <w:spacing w:before="0" w:after="0" w:line="240" w:lineRule="auto"/>
            </w:pPr>
            <w:r>
              <w:rPr>
                <w:rFonts w:ascii="Times New Roman" w:hAnsi="Times New Roman" w:eastAsia="Times New Roman" w:cs="Times New Roman"/>
                <w:b w:val="0"/>
                <w:sz w:val="15"/>
              </w:rPr>
              <w:t>.723 (.692–.753)</w:t>
            </w:r>
          </w:p>
        </w:tc>
        <w:tc>
          <w:tcPr>
            <w:tcW w:w="1800" w:type="dxa"/>
            <w:tcMar>
              <w:top w:w="65" w:type="dxa"/>
              <w:left w:w="55" w:type="dxa"/>
              <w:bottom w:w="65" w:type="dxa"/>
              <w:right w:w="55" w:type="dxa"/>
              <w:start w:w="68" w:type="dxa"/>
              <w:end w:w="68" w:type="dxa"/>
            </w:tcMar>
            <w:vAlign w:val="center"/>
          </w:tcPr>
          <w:p w14:paraId="5F04A8B9">
            <w:pPr>
              <w:spacing w:before="0" w:after="0" w:line="240" w:lineRule="auto"/>
            </w:pPr>
            <w:r>
              <w:rPr>
                <w:rFonts w:ascii="Times New Roman" w:hAnsi="Times New Roman" w:eastAsia="Times New Roman" w:cs="Times New Roman"/>
                <w:b w:val="0"/>
                <w:sz w:val="15"/>
              </w:rPr>
              <w:t>.723 (.692–.754)</w:t>
            </w:r>
          </w:p>
        </w:tc>
        <w:tc>
          <w:tcPr>
            <w:tcW w:w="1656" w:type="dxa"/>
            <w:tcMar>
              <w:top w:w="65" w:type="dxa"/>
              <w:left w:w="55" w:type="dxa"/>
              <w:bottom w:w="65" w:type="dxa"/>
              <w:right w:w="55" w:type="dxa"/>
              <w:start w:w="68" w:type="dxa"/>
              <w:end w:w="68" w:type="dxa"/>
            </w:tcMar>
            <w:vAlign w:val="center"/>
          </w:tcPr>
          <w:p w14:paraId="7370E684">
            <w:pPr>
              <w:spacing w:before="0" w:after="0" w:line="240" w:lineRule="auto"/>
            </w:pPr>
            <w:r>
              <w:rPr>
                <w:rFonts w:ascii="Times New Roman" w:hAnsi="Times New Roman" w:eastAsia="Times New Roman" w:cs="Times New Roman"/>
                <w:b w:val="0"/>
                <w:sz w:val="15"/>
              </w:rPr>
              <w:t>.766 (.738–.793)</w:t>
            </w:r>
          </w:p>
        </w:tc>
      </w:tr>
    </w:tbl>
    <w:p w14:paraId="5B14F599">
      <w:pPr>
        <w:spacing w:after="20"/>
      </w:pPr>
    </w:p>
    <w:p w14:paraId="1F209FAF">
      <w:pPr>
        <w:pStyle w:val="3"/>
        <w:keepNext/>
        <w:keepLines/>
      </w:pPr>
      <w:r>
        <w:rPr>
          <w:color w:val="000000"/>
        </w:rPr>
        <w:t>5.2 RQ2: Disagreement and boundary difficulty</w:t>
      </w:r>
    </w:p>
    <w:p w14:paraId="7F9C9FCA">
      <w:pPr>
        <w:widowControl/>
        <w:spacing w:after="80"/>
      </w:pPr>
      <w:r>
        <w:t>Fine-grained labels produced 509 full-agreement cases (70.7%), 148 two-label cases (20.6%), and 63 three-way disagreements (8.8%). Three-way disagreement fell to 3.5% for collapsed families and 3.8% for boundary zones, indicating that some disagreements concerned broader failure and grounding boundaries, not only fine-label distinctions.</w:t>
      </w:r>
    </w:p>
    <w:p w14:paraId="3ACA67A2">
      <w:pPr>
        <w:widowControl/>
        <w:spacing w:after="80"/>
      </w:pPr>
      <w:r>
        <w:t>The leading primary-label contrasts were NONE–SCF-03 (query/goal drift; 75), NONE–SCF-04 (discourse-structure failure; 65), NONE–OVR-02 (context inconsistency; 40), SCF-03–SCF-04 (39), and NONE–HREF (33). Boundary disagreements concentrated on no_failure–semantic_only (160/395), no_failure–overlap (92), and semantic_only–overlap (89). Table 9 localises these pooled contrasts; resolution burden is interpreted from the locked pre-resolution layer rather than final distributions.</w:t>
      </w:r>
    </w:p>
    <w:p w14:paraId="6FC29F8C">
      <w:pPr>
        <w:keepNext/>
        <w:spacing w:before="100" w:after="40"/>
        <w:jc w:val="left"/>
      </w:pPr>
      <w:r>
        <w:t>Table 9. Principal pooled disagreement contrasts from A1–A3 locked ratings.</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872"/>
        <w:gridCol w:w="4608"/>
        <w:gridCol w:w="2304"/>
      </w:tblGrid>
      <w:tr w14:paraId="7328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872" w:type="dxa"/>
            <w:tcMar>
              <w:top w:w="65" w:type="dxa"/>
              <w:left w:w="55" w:type="dxa"/>
              <w:bottom w:w="65" w:type="dxa"/>
              <w:right w:w="55" w:type="dxa"/>
              <w:start w:w="68" w:type="dxa"/>
              <w:end w:w="68" w:type="dxa"/>
            </w:tcMar>
            <w:vAlign w:val="center"/>
            <w:shd w:val="clear" w:color="auto" w:fill="E8F0F8"/>
          </w:tcPr>
          <w:p w14:paraId="2AC7A013">
            <w:pPr>
              <w:spacing w:before="0" w:after="0" w:line="240" w:lineRule="auto"/>
              <w:jc w:val="center"/>
            </w:pPr>
            <w:r>
              <w:rPr>
                <w:rFonts w:ascii="Times New Roman" w:hAnsi="Times New Roman" w:eastAsia="Times New Roman" w:cs="Times New Roman"/>
                <w:b/>
                <w:color w:val="1E364D"/>
                <w:sz w:val="16"/>
              </w:rPr>
              <w:t>Level</w:t>
            </w:r>
          </w:p>
        </w:tc>
        <w:tc>
          <w:tcPr>
            <w:tcW w:w="4608" w:type="dxa"/>
            <w:tcMar>
              <w:top w:w="65" w:type="dxa"/>
              <w:left w:w="55" w:type="dxa"/>
              <w:bottom w:w="65" w:type="dxa"/>
              <w:right w:w="55" w:type="dxa"/>
              <w:start w:w="68" w:type="dxa"/>
              <w:end w:w="68" w:type="dxa"/>
            </w:tcMar>
            <w:vAlign w:val="center"/>
            <w:shd w:val="clear" w:color="auto" w:fill="E8F0F8"/>
          </w:tcPr>
          <w:p w14:paraId="0E5B9EE4">
            <w:pPr>
              <w:spacing w:before="0" w:after="0" w:line="240" w:lineRule="auto"/>
              <w:jc w:val="center"/>
            </w:pPr>
            <w:r>
              <w:rPr>
                <w:rFonts w:ascii="Times New Roman" w:hAnsi="Times New Roman" w:eastAsia="Times New Roman" w:cs="Times New Roman"/>
                <w:b/>
                <w:color w:val="1E364D"/>
                <w:sz w:val="16"/>
              </w:rPr>
              <w:t>Contrast</w:t>
            </w:r>
          </w:p>
        </w:tc>
        <w:tc>
          <w:tcPr>
            <w:tcW w:w="2304" w:type="dxa"/>
            <w:tcMar>
              <w:top w:w="65" w:type="dxa"/>
              <w:left w:w="55" w:type="dxa"/>
              <w:bottom w:w="65" w:type="dxa"/>
              <w:right w:w="55" w:type="dxa"/>
              <w:start w:w="68" w:type="dxa"/>
              <w:end w:w="68" w:type="dxa"/>
            </w:tcMar>
            <w:vAlign w:val="center"/>
            <w:shd w:val="clear" w:color="auto" w:fill="E8F0F8"/>
          </w:tcPr>
          <w:p w14:paraId="02593081">
            <w:pPr>
              <w:spacing w:before="0" w:after="0" w:line="240" w:lineRule="auto"/>
              <w:jc w:val="center"/>
            </w:pPr>
            <w:r>
              <w:rPr>
                <w:rFonts w:ascii="Times New Roman" w:hAnsi="Times New Roman" w:eastAsia="Times New Roman" w:cs="Times New Roman"/>
                <w:b/>
                <w:color w:val="1E364D"/>
                <w:sz w:val="16"/>
              </w:rPr>
              <w:t>Pairwise disagreement count</w:t>
            </w:r>
          </w:p>
        </w:tc>
      </w:tr>
      <w:tr w14:paraId="0D3F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3137A330">
            <w:pPr>
              <w:spacing w:before="0" w:after="0" w:line="240" w:lineRule="auto"/>
            </w:pPr>
            <w:r>
              <w:rPr>
                <w:rFonts w:ascii="Times New Roman" w:hAnsi="Times New Roman" w:eastAsia="Times New Roman" w:cs="Times New Roman"/>
                <w:b w:val="0"/>
                <w:sz w:val="16"/>
              </w:rPr>
              <w:t>Primary label</w:t>
            </w:r>
          </w:p>
        </w:tc>
        <w:tc>
          <w:tcPr>
            <w:tcW w:w="4608" w:type="dxa"/>
            <w:tcMar>
              <w:top w:w="65" w:type="dxa"/>
              <w:left w:w="55" w:type="dxa"/>
              <w:bottom w:w="65" w:type="dxa"/>
              <w:right w:w="55" w:type="dxa"/>
              <w:start w:w="68" w:type="dxa"/>
              <w:end w:w="68" w:type="dxa"/>
            </w:tcMar>
            <w:vAlign w:val="center"/>
          </w:tcPr>
          <w:p w14:paraId="2C5650FD">
            <w:pPr>
              <w:spacing w:before="0" w:after="0" w:line="240" w:lineRule="auto"/>
            </w:pPr>
            <w:r>
              <w:rPr>
                <w:rFonts w:ascii="Times New Roman" w:hAnsi="Times New Roman" w:eastAsia="Times New Roman" w:cs="Times New Roman"/>
                <w:b w:val="0"/>
                <w:sz w:val="16"/>
              </w:rPr>
              <w:t>NONE – SCF-03</w:t>
            </w:r>
          </w:p>
        </w:tc>
        <w:tc>
          <w:tcPr>
            <w:tcW w:w="2304" w:type="dxa"/>
            <w:tcMar>
              <w:top w:w="65" w:type="dxa"/>
              <w:left w:w="55" w:type="dxa"/>
              <w:bottom w:w="65" w:type="dxa"/>
              <w:right w:w="55" w:type="dxa"/>
              <w:start w:w="68" w:type="dxa"/>
              <w:end w:w="68" w:type="dxa"/>
            </w:tcMar>
            <w:vAlign w:val="center"/>
          </w:tcPr>
          <w:p w14:paraId="724943B4">
            <w:pPr>
              <w:spacing w:before="0" w:after="0" w:line="240" w:lineRule="auto"/>
            </w:pPr>
            <w:r>
              <w:rPr>
                <w:rFonts w:ascii="Times New Roman" w:hAnsi="Times New Roman" w:eastAsia="Times New Roman" w:cs="Times New Roman"/>
                <w:b w:val="0"/>
                <w:sz w:val="16"/>
              </w:rPr>
              <w:t>75</w:t>
            </w:r>
          </w:p>
        </w:tc>
      </w:tr>
      <w:tr w14:paraId="582F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260C5524">
            <w:pPr>
              <w:spacing w:before="0" w:after="0" w:line="240" w:lineRule="auto"/>
            </w:pPr>
            <w:r>
              <w:rPr>
                <w:rFonts w:ascii="Times New Roman" w:hAnsi="Times New Roman" w:eastAsia="Times New Roman" w:cs="Times New Roman"/>
                <w:b w:val="0"/>
                <w:sz w:val="16"/>
              </w:rPr>
              <w:t>Primary label</w:t>
            </w:r>
          </w:p>
        </w:tc>
        <w:tc>
          <w:tcPr>
            <w:tcW w:w="4608" w:type="dxa"/>
            <w:tcMar>
              <w:top w:w="65" w:type="dxa"/>
              <w:left w:w="55" w:type="dxa"/>
              <w:bottom w:w="65" w:type="dxa"/>
              <w:right w:w="55" w:type="dxa"/>
              <w:start w:w="68" w:type="dxa"/>
              <w:end w:w="68" w:type="dxa"/>
            </w:tcMar>
            <w:vAlign w:val="center"/>
          </w:tcPr>
          <w:p w14:paraId="4BE6458F">
            <w:pPr>
              <w:spacing w:before="0" w:after="0" w:line="240" w:lineRule="auto"/>
            </w:pPr>
            <w:r>
              <w:rPr>
                <w:rFonts w:ascii="Times New Roman" w:hAnsi="Times New Roman" w:eastAsia="Times New Roman" w:cs="Times New Roman"/>
                <w:b w:val="0"/>
                <w:sz w:val="16"/>
              </w:rPr>
              <w:t>NONE – SCF-04</w:t>
            </w:r>
          </w:p>
        </w:tc>
        <w:tc>
          <w:tcPr>
            <w:tcW w:w="2304" w:type="dxa"/>
            <w:tcMar>
              <w:top w:w="65" w:type="dxa"/>
              <w:left w:w="55" w:type="dxa"/>
              <w:bottom w:w="65" w:type="dxa"/>
              <w:right w:w="55" w:type="dxa"/>
              <w:start w:w="68" w:type="dxa"/>
              <w:end w:w="68" w:type="dxa"/>
            </w:tcMar>
            <w:vAlign w:val="center"/>
          </w:tcPr>
          <w:p w14:paraId="3FADBF70">
            <w:pPr>
              <w:spacing w:before="0" w:after="0" w:line="240" w:lineRule="auto"/>
            </w:pPr>
            <w:r>
              <w:rPr>
                <w:rFonts w:ascii="Times New Roman" w:hAnsi="Times New Roman" w:eastAsia="Times New Roman" w:cs="Times New Roman"/>
                <w:b w:val="0"/>
                <w:sz w:val="16"/>
              </w:rPr>
              <w:t>65</w:t>
            </w:r>
          </w:p>
        </w:tc>
      </w:tr>
      <w:tr w14:paraId="600E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0AA9A551">
            <w:pPr>
              <w:spacing w:before="0" w:after="0" w:line="240" w:lineRule="auto"/>
            </w:pPr>
            <w:r>
              <w:rPr>
                <w:rFonts w:ascii="Times New Roman" w:hAnsi="Times New Roman" w:eastAsia="Times New Roman" w:cs="Times New Roman"/>
                <w:b w:val="0"/>
                <w:sz w:val="16"/>
              </w:rPr>
              <w:t>Primary label</w:t>
            </w:r>
          </w:p>
        </w:tc>
        <w:tc>
          <w:tcPr>
            <w:tcW w:w="4608" w:type="dxa"/>
            <w:tcMar>
              <w:top w:w="65" w:type="dxa"/>
              <w:left w:w="55" w:type="dxa"/>
              <w:bottom w:w="65" w:type="dxa"/>
              <w:right w:w="55" w:type="dxa"/>
              <w:start w:w="68" w:type="dxa"/>
              <w:end w:w="68" w:type="dxa"/>
            </w:tcMar>
            <w:vAlign w:val="center"/>
          </w:tcPr>
          <w:p w14:paraId="75A5D07E">
            <w:pPr>
              <w:spacing w:before="0" w:after="0" w:line="240" w:lineRule="auto"/>
            </w:pPr>
            <w:r>
              <w:rPr>
                <w:rFonts w:ascii="Times New Roman" w:hAnsi="Times New Roman" w:eastAsia="Times New Roman" w:cs="Times New Roman"/>
                <w:b w:val="0"/>
                <w:sz w:val="16"/>
              </w:rPr>
              <w:t>NONE – OVR-02</w:t>
            </w:r>
          </w:p>
        </w:tc>
        <w:tc>
          <w:tcPr>
            <w:tcW w:w="2304" w:type="dxa"/>
            <w:tcMar>
              <w:top w:w="65" w:type="dxa"/>
              <w:left w:w="55" w:type="dxa"/>
              <w:bottom w:w="65" w:type="dxa"/>
              <w:right w:w="55" w:type="dxa"/>
              <w:start w:w="68" w:type="dxa"/>
              <w:end w:w="68" w:type="dxa"/>
            </w:tcMar>
            <w:vAlign w:val="center"/>
          </w:tcPr>
          <w:p w14:paraId="4483E4D2">
            <w:pPr>
              <w:spacing w:before="0" w:after="0" w:line="240" w:lineRule="auto"/>
            </w:pPr>
            <w:r>
              <w:rPr>
                <w:rFonts w:ascii="Times New Roman" w:hAnsi="Times New Roman" w:eastAsia="Times New Roman" w:cs="Times New Roman"/>
                <w:b w:val="0"/>
                <w:sz w:val="16"/>
              </w:rPr>
              <w:t>40</w:t>
            </w:r>
          </w:p>
        </w:tc>
      </w:tr>
      <w:tr w14:paraId="6881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3ACEE413">
            <w:pPr>
              <w:spacing w:before="0" w:after="0" w:line="240" w:lineRule="auto"/>
            </w:pPr>
            <w:r>
              <w:rPr>
                <w:rFonts w:ascii="Times New Roman" w:hAnsi="Times New Roman" w:eastAsia="Times New Roman" w:cs="Times New Roman"/>
                <w:b w:val="0"/>
                <w:sz w:val="16"/>
              </w:rPr>
              <w:t>Primary label</w:t>
            </w:r>
          </w:p>
        </w:tc>
        <w:tc>
          <w:tcPr>
            <w:tcW w:w="4608" w:type="dxa"/>
            <w:tcMar>
              <w:top w:w="65" w:type="dxa"/>
              <w:left w:w="55" w:type="dxa"/>
              <w:bottom w:w="65" w:type="dxa"/>
              <w:right w:w="55" w:type="dxa"/>
              <w:start w:w="68" w:type="dxa"/>
              <w:end w:w="68" w:type="dxa"/>
            </w:tcMar>
            <w:vAlign w:val="center"/>
          </w:tcPr>
          <w:p w14:paraId="7818234F">
            <w:pPr>
              <w:spacing w:before="0" w:after="0" w:line="240" w:lineRule="auto"/>
            </w:pPr>
            <w:r>
              <w:rPr>
                <w:rFonts w:ascii="Times New Roman" w:hAnsi="Times New Roman" w:eastAsia="Times New Roman" w:cs="Times New Roman"/>
                <w:b w:val="0"/>
                <w:sz w:val="16"/>
              </w:rPr>
              <w:t>SCF-03 – SCF-04</w:t>
            </w:r>
          </w:p>
        </w:tc>
        <w:tc>
          <w:tcPr>
            <w:tcW w:w="2304" w:type="dxa"/>
            <w:tcMar>
              <w:top w:w="65" w:type="dxa"/>
              <w:left w:w="55" w:type="dxa"/>
              <w:bottom w:w="65" w:type="dxa"/>
              <w:right w:w="55" w:type="dxa"/>
              <w:start w:w="68" w:type="dxa"/>
              <w:end w:w="68" w:type="dxa"/>
            </w:tcMar>
            <w:vAlign w:val="center"/>
          </w:tcPr>
          <w:p w14:paraId="3B63B1B5">
            <w:pPr>
              <w:spacing w:before="0" w:after="0" w:line="240" w:lineRule="auto"/>
            </w:pPr>
            <w:r>
              <w:rPr>
                <w:rFonts w:ascii="Times New Roman" w:hAnsi="Times New Roman" w:eastAsia="Times New Roman" w:cs="Times New Roman"/>
                <w:b w:val="0"/>
                <w:sz w:val="16"/>
              </w:rPr>
              <w:t>39</w:t>
            </w:r>
          </w:p>
        </w:tc>
      </w:tr>
      <w:tr w14:paraId="4746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334F084D">
            <w:pPr>
              <w:spacing w:before="0" w:after="0" w:line="240" w:lineRule="auto"/>
            </w:pPr>
            <w:r>
              <w:rPr>
                <w:rFonts w:ascii="Times New Roman" w:hAnsi="Times New Roman" w:eastAsia="Times New Roman" w:cs="Times New Roman"/>
                <w:b w:val="0"/>
                <w:sz w:val="16"/>
              </w:rPr>
              <w:t>Primary label</w:t>
            </w:r>
          </w:p>
        </w:tc>
        <w:tc>
          <w:tcPr>
            <w:tcW w:w="4608" w:type="dxa"/>
            <w:tcMar>
              <w:top w:w="65" w:type="dxa"/>
              <w:left w:w="55" w:type="dxa"/>
              <w:bottom w:w="65" w:type="dxa"/>
              <w:right w:w="55" w:type="dxa"/>
              <w:start w:w="68" w:type="dxa"/>
              <w:end w:w="68" w:type="dxa"/>
            </w:tcMar>
            <w:vAlign w:val="center"/>
          </w:tcPr>
          <w:p w14:paraId="63ED116E">
            <w:pPr>
              <w:spacing w:before="0" w:after="0" w:line="240" w:lineRule="auto"/>
            </w:pPr>
            <w:r>
              <w:rPr>
                <w:rFonts w:ascii="Times New Roman" w:hAnsi="Times New Roman" w:eastAsia="Times New Roman" w:cs="Times New Roman"/>
                <w:b w:val="0"/>
                <w:sz w:val="16"/>
              </w:rPr>
              <w:t>NONE – HREF</w:t>
            </w:r>
          </w:p>
        </w:tc>
        <w:tc>
          <w:tcPr>
            <w:tcW w:w="2304" w:type="dxa"/>
            <w:tcMar>
              <w:top w:w="65" w:type="dxa"/>
              <w:left w:w="55" w:type="dxa"/>
              <w:bottom w:w="65" w:type="dxa"/>
              <w:right w:w="55" w:type="dxa"/>
              <w:start w:w="68" w:type="dxa"/>
              <w:end w:w="68" w:type="dxa"/>
            </w:tcMar>
            <w:vAlign w:val="center"/>
          </w:tcPr>
          <w:p w14:paraId="587F054D">
            <w:pPr>
              <w:spacing w:before="0" w:after="0" w:line="240" w:lineRule="auto"/>
            </w:pPr>
            <w:r>
              <w:rPr>
                <w:rFonts w:ascii="Times New Roman" w:hAnsi="Times New Roman" w:eastAsia="Times New Roman" w:cs="Times New Roman"/>
                <w:b w:val="0"/>
                <w:sz w:val="16"/>
              </w:rPr>
              <w:t>33</w:t>
            </w:r>
          </w:p>
        </w:tc>
      </w:tr>
      <w:tr w14:paraId="711B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1ED95831">
            <w:pPr>
              <w:spacing w:before="0" w:after="0" w:line="240" w:lineRule="auto"/>
            </w:pPr>
            <w:r>
              <w:rPr>
                <w:rFonts w:ascii="Times New Roman" w:hAnsi="Times New Roman" w:eastAsia="Times New Roman" w:cs="Times New Roman"/>
                <w:b w:val="0"/>
                <w:sz w:val="16"/>
              </w:rPr>
              <w:t>Boundary</w:t>
            </w:r>
          </w:p>
        </w:tc>
        <w:tc>
          <w:tcPr>
            <w:tcW w:w="4608" w:type="dxa"/>
            <w:tcMar>
              <w:top w:w="65" w:type="dxa"/>
              <w:left w:w="55" w:type="dxa"/>
              <w:bottom w:w="65" w:type="dxa"/>
              <w:right w:w="55" w:type="dxa"/>
              <w:start w:w="68" w:type="dxa"/>
              <w:end w:w="68" w:type="dxa"/>
            </w:tcMar>
            <w:vAlign w:val="center"/>
          </w:tcPr>
          <w:p w14:paraId="035665F2">
            <w:pPr>
              <w:spacing w:before="0" w:after="0" w:line="240" w:lineRule="auto"/>
            </w:pPr>
            <w:r>
              <w:rPr>
                <w:rFonts w:ascii="Times New Roman" w:hAnsi="Times New Roman" w:eastAsia="Times New Roman" w:cs="Times New Roman"/>
                <w:b w:val="0"/>
                <w:sz w:val="16"/>
              </w:rPr>
              <w:t>no_failure – semantic_only</w:t>
            </w:r>
          </w:p>
        </w:tc>
        <w:tc>
          <w:tcPr>
            <w:tcW w:w="2304" w:type="dxa"/>
            <w:tcMar>
              <w:top w:w="65" w:type="dxa"/>
              <w:left w:w="55" w:type="dxa"/>
              <w:bottom w:w="65" w:type="dxa"/>
              <w:right w:w="55" w:type="dxa"/>
              <w:start w:w="68" w:type="dxa"/>
              <w:end w:w="68" w:type="dxa"/>
            </w:tcMar>
            <w:vAlign w:val="center"/>
          </w:tcPr>
          <w:p w14:paraId="22980D06">
            <w:pPr>
              <w:spacing w:before="0" w:after="0" w:line="240" w:lineRule="auto"/>
            </w:pPr>
            <w:r>
              <w:rPr>
                <w:rFonts w:ascii="Times New Roman" w:hAnsi="Times New Roman" w:eastAsia="Times New Roman" w:cs="Times New Roman"/>
                <w:b w:val="0"/>
                <w:sz w:val="16"/>
              </w:rPr>
              <w:t>160</w:t>
            </w:r>
          </w:p>
        </w:tc>
      </w:tr>
      <w:tr w14:paraId="2D74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3F622904">
            <w:pPr>
              <w:spacing w:before="0" w:after="0" w:line="240" w:lineRule="auto"/>
            </w:pPr>
            <w:r>
              <w:rPr>
                <w:rFonts w:ascii="Times New Roman" w:hAnsi="Times New Roman" w:eastAsia="Times New Roman" w:cs="Times New Roman"/>
                <w:b w:val="0"/>
                <w:sz w:val="16"/>
              </w:rPr>
              <w:t>Boundary</w:t>
            </w:r>
          </w:p>
        </w:tc>
        <w:tc>
          <w:tcPr>
            <w:tcW w:w="4608" w:type="dxa"/>
            <w:tcMar>
              <w:top w:w="65" w:type="dxa"/>
              <w:left w:w="55" w:type="dxa"/>
              <w:bottom w:w="65" w:type="dxa"/>
              <w:right w:w="55" w:type="dxa"/>
              <w:start w:w="68" w:type="dxa"/>
              <w:end w:w="68" w:type="dxa"/>
            </w:tcMar>
            <w:vAlign w:val="center"/>
          </w:tcPr>
          <w:p w14:paraId="612CB81F">
            <w:pPr>
              <w:spacing w:before="0" w:after="0" w:line="240" w:lineRule="auto"/>
            </w:pPr>
            <w:r>
              <w:rPr>
                <w:rFonts w:ascii="Times New Roman" w:hAnsi="Times New Roman" w:eastAsia="Times New Roman" w:cs="Times New Roman"/>
                <w:b w:val="0"/>
                <w:sz w:val="16"/>
              </w:rPr>
              <w:t>no_failure – overlap</w:t>
            </w:r>
          </w:p>
        </w:tc>
        <w:tc>
          <w:tcPr>
            <w:tcW w:w="2304" w:type="dxa"/>
            <w:tcMar>
              <w:top w:w="65" w:type="dxa"/>
              <w:left w:w="55" w:type="dxa"/>
              <w:bottom w:w="65" w:type="dxa"/>
              <w:right w:w="55" w:type="dxa"/>
              <w:start w:w="68" w:type="dxa"/>
              <w:end w:w="68" w:type="dxa"/>
            </w:tcMar>
            <w:vAlign w:val="center"/>
          </w:tcPr>
          <w:p w14:paraId="004B9EA9">
            <w:pPr>
              <w:spacing w:before="0" w:after="0" w:line="240" w:lineRule="auto"/>
            </w:pPr>
            <w:r>
              <w:rPr>
                <w:rFonts w:ascii="Times New Roman" w:hAnsi="Times New Roman" w:eastAsia="Times New Roman" w:cs="Times New Roman"/>
                <w:b w:val="0"/>
                <w:sz w:val="16"/>
              </w:rPr>
              <w:t>92</w:t>
            </w:r>
          </w:p>
        </w:tc>
      </w:tr>
      <w:tr w14:paraId="1E5E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Mar>
              <w:top w:w="65" w:type="dxa"/>
              <w:left w:w="55" w:type="dxa"/>
              <w:bottom w:w="65" w:type="dxa"/>
              <w:right w:w="55" w:type="dxa"/>
              <w:start w:w="68" w:type="dxa"/>
              <w:end w:w="68" w:type="dxa"/>
            </w:tcMar>
            <w:vAlign w:val="center"/>
          </w:tcPr>
          <w:p w14:paraId="6FBDE33D">
            <w:pPr>
              <w:spacing w:before="0" w:after="0" w:line="240" w:lineRule="auto"/>
            </w:pPr>
            <w:r>
              <w:rPr>
                <w:rFonts w:ascii="Times New Roman" w:hAnsi="Times New Roman" w:eastAsia="Times New Roman" w:cs="Times New Roman"/>
                <w:b w:val="0"/>
                <w:sz w:val="16"/>
              </w:rPr>
              <w:t>Boundary</w:t>
            </w:r>
          </w:p>
        </w:tc>
        <w:tc>
          <w:tcPr>
            <w:tcW w:w="4608" w:type="dxa"/>
            <w:tcMar>
              <w:top w:w="65" w:type="dxa"/>
              <w:left w:w="55" w:type="dxa"/>
              <w:bottom w:w="65" w:type="dxa"/>
              <w:right w:w="55" w:type="dxa"/>
              <w:start w:w="68" w:type="dxa"/>
              <w:end w:w="68" w:type="dxa"/>
            </w:tcMar>
            <w:vAlign w:val="center"/>
          </w:tcPr>
          <w:p w14:paraId="28AD435C">
            <w:pPr>
              <w:spacing w:before="0" w:after="0" w:line="240" w:lineRule="auto"/>
            </w:pPr>
            <w:r>
              <w:rPr>
                <w:rFonts w:ascii="Times New Roman" w:hAnsi="Times New Roman" w:eastAsia="Times New Roman" w:cs="Times New Roman"/>
                <w:b w:val="0"/>
                <w:sz w:val="16"/>
              </w:rPr>
              <w:t>semantic_only – overlap</w:t>
            </w:r>
          </w:p>
        </w:tc>
        <w:tc>
          <w:tcPr>
            <w:tcW w:w="2304" w:type="dxa"/>
            <w:tcMar>
              <w:top w:w="65" w:type="dxa"/>
              <w:left w:w="55" w:type="dxa"/>
              <w:bottom w:w="65" w:type="dxa"/>
              <w:right w:w="55" w:type="dxa"/>
              <w:start w:w="68" w:type="dxa"/>
              <w:end w:w="68" w:type="dxa"/>
            </w:tcMar>
            <w:vAlign w:val="center"/>
          </w:tcPr>
          <w:p w14:paraId="052F3BE6">
            <w:pPr>
              <w:spacing w:before="0" w:after="0" w:line="240" w:lineRule="auto"/>
            </w:pPr>
            <w:r>
              <w:rPr>
                <w:rFonts w:ascii="Times New Roman" w:hAnsi="Times New Roman" w:eastAsia="Times New Roman" w:cs="Times New Roman"/>
                <w:b w:val="0"/>
                <w:sz w:val="16"/>
              </w:rPr>
              <w:t>89</w:t>
            </w:r>
          </w:p>
        </w:tc>
      </w:tr>
    </w:tbl>
    <w:p w14:paraId="5C218840">
      <w:pPr>
        <w:spacing w:after="20"/>
      </w:pPr>
    </w:p>
    <w:p w14:paraId="2F8C1B0C">
      <w:pPr>
        <w:pStyle w:val="3"/>
        <w:keepNext/>
        <w:keepLines/>
      </w:pPr>
      <w:r>
        <w:rPr>
          <w:color w:val="000000"/>
        </w:rPr>
        <w:t>5.3 RQ1–RQ2: Severity rubric reliability and difficulty</w:t>
      </w:r>
    </w:p>
    <w:p w14:paraId="4F575077">
      <w:pPr>
        <w:widowControl/>
        <w:spacing w:after="80"/>
      </w:pPr>
      <w:r>
        <w:t>Across all 720 cases, exact severity agreement was 60.6%, within-one agreement 85.0%, and mean spread .597. Krippendorff’s ordinal α was .784 (95% CI .752–.814), AC2 .752 (.716–.787), and mean pairwise QWK .790 (.760–.819). In the 445-case majority-failure subset, exact agreement fell to 50.1%, α to .528 (.470–.586), and mean pairwise QWK to .454 (.401–.509), consistent with a contribution from shared score-0 decisions to the higher full-sample estimates, although the subset comparison also changes case composition. A post-hoc exclusion of the 36 cases carrying any explicit ambiguity flag produced only small increases in framework-level α: fine labels .703→.713, families .731→.741, grounding boundaries .723→.729, and full-sample severity .784→.793; majority-failure severity α changed only .528→.532. This post-hoc exclusion conditions on rater-generated flags, not an independent ambiguity criterion; it does not account for most of the recorded change in agreement and cannot establish the unflagged cases as unambiguous (Supplementary Tables S27 and S28). The 445-case subset is selected by majority pre-resolution failure ratings, whereas T4 evaluates 474 adjudicated GOLD failures; these are different denominators and must not be compared as if the same items or estimands were used. Because the rubric anchors 0 to no_failure, full-sample severity agreement partly reflects the failure-presence decision.</w:t>
      </w:r>
    </w:p>
    <w:p w14:paraId="60CAB6E8">
      <w:pPr>
        <w:widowControl/>
      </w:pPr>
      <w:r>
        <w:t>Pair-specific ordinal severity agreement also showed threshold-use heterogeneity: exact agreement ranged from 67.6% to 77.1%, within-one agreement from 89.0% to 94.6%, and pair-specific QWK from .737 to .856. The relatively high within-one values alongside lower exact agreement reinforce that much of the remaining severity disagreement concerns adjacent levels rather than unrestricted scale disagreement (Supplementary Table S32).</w:t>
      </w:r>
    </w:p>
    <w:p w14:paraId="76F9BDC3">
      <w:pPr>
        <w:widowControl/>
        <w:spacing w:after="80"/>
      </w:pPr>
      <w:r>
        <w:t>The most frequent non-identical severity contrast was 2–3 (226 pooled pairwise disagreements). This distribution is consistent with difficulty distinguishing adjacent non-zero severity levels; T4 consequently evaluates ordinal severity levels 1–3 (Table 10).</w:t>
        <w:t xml:space="preserve"> Severity 1–3 represent ordered, task-relative impact judgments rather than objectively calibrated equal-step losses; comparisons based on QWK or numeric error distance inherit weighting/spacing assumptions and are read alongside per-class recovery.</w:t>
      </w:r>
    </w:p>
    <w:p w14:paraId="2A40582A">
      <w:pPr>
        <w:keepNext/>
        <w:spacing w:before="100" w:after="40"/>
        <w:jc w:val="left"/>
      </w:pPr>
      <w:r>
        <w:t>Table 10. Locked pre-resolution ordinal severity agreement.</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669"/>
        <w:gridCol w:w="612"/>
        <w:gridCol w:w="760"/>
        <w:gridCol w:w="894"/>
        <w:gridCol w:w="955"/>
        <w:gridCol w:w="1559"/>
        <w:gridCol w:w="1433"/>
        <w:gridCol w:w="1686"/>
      </w:tblGrid>
      <w:tr w14:paraId="1B5C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800" w:type="dxa"/>
            <w:tcMar>
              <w:top w:w="65" w:type="dxa"/>
              <w:left w:w="55" w:type="dxa"/>
              <w:bottom w:w="65" w:type="dxa"/>
              <w:right w:w="55" w:type="dxa"/>
              <w:start w:w="68" w:type="dxa"/>
              <w:end w:w="68" w:type="dxa"/>
            </w:tcMar>
            <w:vAlign w:val="center"/>
            <w:shd w:val="clear" w:color="auto" w:fill="E8F0F8"/>
          </w:tcPr>
          <w:p w14:paraId="1F40E701">
            <w:pPr>
              <w:spacing w:before="0" w:after="0" w:line="240" w:lineRule="auto"/>
              <w:jc w:val="center"/>
            </w:pPr>
            <w:r>
              <w:rPr>
                <w:rFonts w:ascii="Times New Roman" w:hAnsi="Times New Roman" w:eastAsia="Times New Roman" w:cs="Times New Roman"/>
                <w:b/>
                <w:color w:val="1E364D"/>
                <w:sz w:val="14"/>
              </w:rPr>
              <w:t>Analysis set</w:t>
            </w:r>
          </w:p>
        </w:tc>
        <w:tc>
          <w:tcPr>
            <w:tcW w:w="648" w:type="dxa"/>
            <w:tcMar>
              <w:top w:w="65" w:type="dxa"/>
              <w:left w:w="55" w:type="dxa"/>
              <w:bottom w:w="65" w:type="dxa"/>
              <w:right w:w="55" w:type="dxa"/>
              <w:start w:w="68" w:type="dxa"/>
              <w:end w:w="68" w:type="dxa"/>
            </w:tcMar>
            <w:vAlign w:val="center"/>
            <w:shd w:val="clear" w:color="auto" w:fill="E8F0F8"/>
          </w:tcPr>
          <w:p w14:paraId="4D21FBE1">
            <w:pPr>
              <w:spacing w:before="0" w:after="0" w:line="240" w:lineRule="auto"/>
              <w:jc w:val="center"/>
            </w:pPr>
            <w:r>
              <w:rPr>
                <w:rFonts w:ascii="Times New Roman" w:hAnsi="Times New Roman" w:eastAsia="Times New Roman" w:cs="Times New Roman"/>
                <w:b/>
                <w:color w:val="1E364D"/>
                <w:sz w:val="14"/>
              </w:rPr>
              <w:t>N</w:t>
            </w:r>
          </w:p>
        </w:tc>
        <w:tc>
          <w:tcPr>
            <w:tcW w:w="792" w:type="dxa"/>
            <w:tcMar>
              <w:top w:w="65" w:type="dxa"/>
              <w:left w:w="55" w:type="dxa"/>
              <w:bottom w:w="65" w:type="dxa"/>
              <w:right w:w="55" w:type="dxa"/>
              <w:start w:w="68" w:type="dxa"/>
              <w:end w:w="68" w:type="dxa"/>
            </w:tcMar>
            <w:vAlign w:val="center"/>
            <w:shd w:val="clear" w:color="auto" w:fill="E8F0F8"/>
          </w:tcPr>
          <w:p w14:paraId="7ED4DE84">
            <w:pPr>
              <w:spacing w:before="0" w:after="0" w:line="240" w:lineRule="auto"/>
              <w:jc w:val="center"/>
            </w:pPr>
            <w:r>
              <w:rPr>
                <w:rFonts w:ascii="Times New Roman" w:hAnsi="Times New Roman" w:eastAsia="Times New Roman" w:cs="Times New Roman"/>
                <w:b/>
                <w:color w:val="1E364D"/>
                <w:sz w:val="14"/>
              </w:rPr>
              <w:t>Exact</w:t>
            </w:r>
          </w:p>
        </w:tc>
        <w:tc>
          <w:tcPr>
            <w:tcW w:w="936" w:type="dxa"/>
            <w:tcMar>
              <w:top w:w="65" w:type="dxa"/>
              <w:left w:w="55" w:type="dxa"/>
              <w:bottom w:w="65" w:type="dxa"/>
              <w:right w:w="55" w:type="dxa"/>
              <w:start w:w="68" w:type="dxa"/>
              <w:end w:w="68" w:type="dxa"/>
            </w:tcMar>
            <w:vAlign w:val="center"/>
            <w:shd w:val="clear" w:color="auto" w:fill="E8F0F8"/>
          </w:tcPr>
          <w:p w14:paraId="4243057A">
            <w:pPr>
              <w:spacing w:before="0" w:after="0" w:line="240" w:lineRule="auto"/>
              <w:jc w:val="center"/>
            </w:pPr>
            <w:r>
              <w:rPr>
                <w:rFonts w:ascii="Times New Roman" w:hAnsi="Times New Roman" w:eastAsia="Times New Roman" w:cs="Times New Roman"/>
                <w:b/>
                <w:color w:val="1E364D"/>
                <w:sz w:val="14"/>
              </w:rPr>
              <w:t>Within one</w:t>
            </w:r>
          </w:p>
        </w:tc>
        <w:tc>
          <w:tcPr>
            <w:tcW w:w="1008" w:type="dxa"/>
            <w:tcMar>
              <w:top w:w="65" w:type="dxa"/>
              <w:left w:w="55" w:type="dxa"/>
              <w:bottom w:w="65" w:type="dxa"/>
              <w:right w:w="55" w:type="dxa"/>
              <w:start w:w="68" w:type="dxa"/>
              <w:end w:w="68" w:type="dxa"/>
            </w:tcMar>
            <w:vAlign w:val="center"/>
            <w:shd w:val="clear" w:color="auto" w:fill="E8F0F8"/>
          </w:tcPr>
          <w:p w14:paraId="1C110D9C">
            <w:pPr>
              <w:spacing w:before="0" w:after="0" w:line="240" w:lineRule="auto"/>
              <w:jc w:val="center"/>
            </w:pPr>
            <w:r>
              <w:rPr>
                <w:rFonts w:ascii="Times New Roman" w:hAnsi="Times New Roman" w:eastAsia="Times New Roman" w:cs="Times New Roman"/>
                <w:b/>
                <w:color w:val="1E364D"/>
                <w:sz w:val="14"/>
              </w:rPr>
              <w:t>Mean spread</w:t>
            </w:r>
          </w:p>
        </w:tc>
        <w:tc>
          <w:tcPr>
            <w:tcW w:w="1656" w:type="dxa"/>
            <w:tcMar>
              <w:top w:w="65" w:type="dxa"/>
              <w:left w:w="55" w:type="dxa"/>
              <w:bottom w:w="65" w:type="dxa"/>
              <w:right w:w="55" w:type="dxa"/>
              <w:start w:w="68" w:type="dxa"/>
              <w:end w:w="68" w:type="dxa"/>
            </w:tcMar>
            <w:vAlign w:val="center"/>
            <w:shd w:val="clear" w:color="auto" w:fill="E8F0F8"/>
          </w:tcPr>
          <w:p w14:paraId="5D2E66B1">
            <w:pPr>
              <w:spacing w:before="0" w:after="0" w:line="240" w:lineRule="auto"/>
              <w:jc w:val="center"/>
            </w:pPr>
            <w:r>
              <w:rPr>
                <w:rFonts w:ascii="Times New Roman" w:hAnsi="Times New Roman" w:eastAsia="Times New Roman" w:cs="Times New Roman"/>
                <w:b/>
                <w:color w:val="1E364D"/>
                <w:sz w:val="14"/>
              </w:rPr>
              <w:t>Ordinal α (95% CI)</w:t>
            </w:r>
          </w:p>
        </w:tc>
        <w:tc>
          <w:tcPr>
            <w:tcW w:w="1512" w:type="dxa"/>
            <w:tcMar>
              <w:top w:w="65" w:type="dxa"/>
              <w:left w:w="55" w:type="dxa"/>
              <w:bottom w:w="65" w:type="dxa"/>
              <w:right w:w="55" w:type="dxa"/>
              <w:start w:w="68" w:type="dxa"/>
              <w:end w:w="68" w:type="dxa"/>
            </w:tcMar>
            <w:vAlign w:val="center"/>
            <w:shd w:val="clear" w:color="auto" w:fill="E8F0F8"/>
          </w:tcPr>
          <w:p w14:paraId="3CB3FB76">
            <w:pPr>
              <w:spacing w:before="0" w:after="0" w:line="240" w:lineRule="auto"/>
              <w:jc w:val="center"/>
            </w:pPr>
            <w:r>
              <w:rPr>
                <w:rFonts w:ascii="Times New Roman" w:hAnsi="Times New Roman" w:eastAsia="Times New Roman" w:cs="Times New Roman"/>
                <w:b/>
                <w:color w:val="1E364D"/>
                <w:sz w:val="14"/>
              </w:rPr>
              <w:t>AC2 (95% CI)</w:t>
            </w:r>
          </w:p>
        </w:tc>
        <w:tc>
          <w:tcPr>
            <w:tcW w:w="1800" w:type="dxa"/>
            <w:tcMar>
              <w:top w:w="65" w:type="dxa"/>
              <w:left w:w="55" w:type="dxa"/>
              <w:bottom w:w="65" w:type="dxa"/>
              <w:right w:w="55" w:type="dxa"/>
              <w:start w:w="68" w:type="dxa"/>
              <w:end w:w="68" w:type="dxa"/>
            </w:tcMar>
            <w:vAlign w:val="center"/>
            <w:shd w:val="clear" w:color="auto" w:fill="E8F0F8"/>
          </w:tcPr>
          <w:p w14:paraId="419E26C2">
            <w:pPr>
              <w:spacing w:before="0" w:after="0" w:line="240" w:lineRule="auto"/>
              <w:jc w:val="center"/>
            </w:pPr>
            <w:r>
              <w:rPr>
                <w:rFonts w:ascii="Times New Roman" w:hAnsi="Times New Roman" w:eastAsia="Times New Roman" w:cs="Times New Roman"/>
                <w:b/>
                <w:color w:val="1E364D"/>
                <w:sz w:val="14"/>
              </w:rPr>
              <w:t>Mean pairwise QWK (95% CI)</w:t>
            </w:r>
          </w:p>
        </w:tc>
      </w:tr>
      <w:tr w14:paraId="6D07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65" w:type="dxa"/>
              <w:left w:w="55" w:type="dxa"/>
              <w:bottom w:w="65" w:type="dxa"/>
              <w:right w:w="55" w:type="dxa"/>
              <w:start w:w="68" w:type="dxa"/>
              <w:end w:w="68" w:type="dxa"/>
            </w:tcMar>
            <w:vAlign w:val="center"/>
          </w:tcPr>
          <w:p w14:paraId="1E6F72D8">
            <w:pPr>
              <w:spacing w:before="0" w:after="0" w:line="240" w:lineRule="auto"/>
            </w:pPr>
            <w:r>
              <w:rPr>
                <w:rFonts w:ascii="Times New Roman" w:hAnsi="Times New Roman" w:eastAsia="Times New Roman" w:cs="Times New Roman"/>
                <w:b w:val="0"/>
                <w:sz w:val="14"/>
              </w:rPr>
              <w:t>All cases</w:t>
            </w:r>
          </w:p>
        </w:tc>
        <w:tc>
          <w:tcPr>
            <w:tcW w:w="648" w:type="dxa"/>
            <w:tcMar>
              <w:top w:w="65" w:type="dxa"/>
              <w:left w:w="55" w:type="dxa"/>
              <w:bottom w:w="65" w:type="dxa"/>
              <w:right w:w="55" w:type="dxa"/>
              <w:start w:w="68" w:type="dxa"/>
              <w:end w:w="68" w:type="dxa"/>
            </w:tcMar>
            <w:vAlign w:val="center"/>
          </w:tcPr>
          <w:p w14:paraId="36EC8C98">
            <w:pPr>
              <w:spacing w:before="0" w:after="0" w:line="240" w:lineRule="auto"/>
            </w:pPr>
            <w:r>
              <w:rPr>
                <w:rFonts w:ascii="Times New Roman" w:hAnsi="Times New Roman" w:eastAsia="Times New Roman" w:cs="Times New Roman"/>
                <w:b w:val="0"/>
                <w:sz w:val="14"/>
              </w:rPr>
              <w:t>720</w:t>
            </w:r>
          </w:p>
        </w:tc>
        <w:tc>
          <w:tcPr>
            <w:tcW w:w="792" w:type="dxa"/>
            <w:tcMar>
              <w:top w:w="65" w:type="dxa"/>
              <w:left w:w="55" w:type="dxa"/>
              <w:bottom w:w="65" w:type="dxa"/>
              <w:right w:w="55" w:type="dxa"/>
              <w:start w:w="68" w:type="dxa"/>
              <w:end w:w="68" w:type="dxa"/>
            </w:tcMar>
            <w:vAlign w:val="center"/>
          </w:tcPr>
          <w:p w14:paraId="00C3766C">
            <w:pPr>
              <w:spacing w:before="0" w:after="0" w:line="240" w:lineRule="auto"/>
            </w:pPr>
            <w:r>
              <w:rPr>
                <w:rFonts w:ascii="Times New Roman" w:hAnsi="Times New Roman" w:eastAsia="Times New Roman" w:cs="Times New Roman"/>
                <w:b w:val="0"/>
                <w:sz w:val="14"/>
              </w:rPr>
              <w:t>60.6%</w:t>
            </w:r>
          </w:p>
        </w:tc>
        <w:tc>
          <w:tcPr>
            <w:tcW w:w="936" w:type="dxa"/>
            <w:tcMar>
              <w:top w:w="65" w:type="dxa"/>
              <w:left w:w="55" w:type="dxa"/>
              <w:bottom w:w="65" w:type="dxa"/>
              <w:right w:w="55" w:type="dxa"/>
              <w:start w:w="68" w:type="dxa"/>
              <w:end w:w="68" w:type="dxa"/>
            </w:tcMar>
            <w:vAlign w:val="center"/>
          </w:tcPr>
          <w:p w14:paraId="28396753">
            <w:pPr>
              <w:spacing w:before="0" w:after="0" w:line="240" w:lineRule="auto"/>
            </w:pPr>
            <w:r>
              <w:rPr>
                <w:rFonts w:ascii="Times New Roman" w:hAnsi="Times New Roman" w:eastAsia="Times New Roman" w:cs="Times New Roman"/>
                <w:b w:val="0"/>
                <w:sz w:val="14"/>
              </w:rPr>
              <w:t>85.0%</w:t>
            </w:r>
          </w:p>
        </w:tc>
        <w:tc>
          <w:tcPr>
            <w:tcW w:w="1008" w:type="dxa"/>
            <w:tcMar>
              <w:top w:w="65" w:type="dxa"/>
              <w:left w:w="55" w:type="dxa"/>
              <w:bottom w:w="65" w:type="dxa"/>
              <w:right w:w="55" w:type="dxa"/>
              <w:start w:w="68" w:type="dxa"/>
              <w:end w:w="68" w:type="dxa"/>
            </w:tcMar>
            <w:vAlign w:val="center"/>
          </w:tcPr>
          <w:p w14:paraId="08D0E939">
            <w:pPr>
              <w:spacing w:before="0" w:after="0" w:line="240" w:lineRule="auto"/>
            </w:pPr>
            <w:r>
              <w:rPr>
                <w:rFonts w:ascii="Times New Roman" w:hAnsi="Times New Roman" w:eastAsia="Times New Roman" w:cs="Times New Roman"/>
                <w:b w:val="0"/>
                <w:sz w:val="14"/>
              </w:rPr>
              <w:t>.597</w:t>
            </w:r>
          </w:p>
        </w:tc>
        <w:tc>
          <w:tcPr>
            <w:tcW w:w="1656" w:type="dxa"/>
            <w:tcMar>
              <w:top w:w="65" w:type="dxa"/>
              <w:left w:w="55" w:type="dxa"/>
              <w:bottom w:w="65" w:type="dxa"/>
              <w:right w:w="55" w:type="dxa"/>
              <w:start w:w="68" w:type="dxa"/>
              <w:end w:w="68" w:type="dxa"/>
            </w:tcMar>
            <w:vAlign w:val="center"/>
          </w:tcPr>
          <w:p w14:paraId="1F71C9D1">
            <w:pPr>
              <w:spacing w:before="0" w:after="0" w:line="240" w:lineRule="auto"/>
            </w:pPr>
            <w:r>
              <w:rPr>
                <w:rFonts w:ascii="Times New Roman" w:hAnsi="Times New Roman" w:eastAsia="Times New Roman" w:cs="Times New Roman"/>
                <w:b w:val="0"/>
                <w:sz w:val="14"/>
              </w:rPr>
              <w:t>.784 (.752–.814)</w:t>
            </w:r>
          </w:p>
        </w:tc>
        <w:tc>
          <w:tcPr>
            <w:tcW w:w="1512" w:type="dxa"/>
            <w:tcMar>
              <w:top w:w="65" w:type="dxa"/>
              <w:left w:w="55" w:type="dxa"/>
              <w:bottom w:w="65" w:type="dxa"/>
              <w:right w:w="55" w:type="dxa"/>
              <w:start w:w="68" w:type="dxa"/>
              <w:end w:w="68" w:type="dxa"/>
            </w:tcMar>
            <w:vAlign w:val="center"/>
          </w:tcPr>
          <w:p w14:paraId="3B18A158">
            <w:pPr>
              <w:spacing w:before="0" w:after="0" w:line="240" w:lineRule="auto"/>
            </w:pPr>
            <w:r>
              <w:rPr>
                <w:rFonts w:ascii="Times New Roman" w:hAnsi="Times New Roman" w:eastAsia="Times New Roman" w:cs="Times New Roman"/>
                <w:b w:val="0"/>
                <w:sz w:val="14"/>
              </w:rPr>
              <w:t>.752 (.716–.787)</w:t>
            </w:r>
          </w:p>
        </w:tc>
        <w:tc>
          <w:tcPr>
            <w:tcW w:w="1800" w:type="dxa"/>
            <w:tcMar>
              <w:top w:w="65" w:type="dxa"/>
              <w:left w:w="55" w:type="dxa"/>
              <w:bottom w:w="65" w:type="dxa"/>
              <w:right w:w="55" w:type="dxa"/>
              <w:start w:w="68" w:type="dxa"/>
              <w:end w:w="68" w:type="dxa"/>
            </w:tcMar>
            <w:vAlign w:val="center"/>
          </w:tcPr>
          <w:p w14:paraId="5B3DF99C">
            <w:pPr>
              <w:spacing w:before="0" w:after="0" w:line="240" w:lineRule="auto"/>
            </w:pPr>
            <w:r>
              <w:rPr>
                <w:rFonts w:ascii="Times New Roman" w:hAnsi="Times New Roman" w:eastAsia="Times New Roman" w:cs="Times New Roman"/>
                <w:b w:val="0"/>
                <w:sz w:val="14"/>
              </w:rPr>
              <w:t>.790 (.760–.819)</w:t>
            </w:r>
          </w:p>
        </w:tc>
      </w:tr>
      <w:tr w14:paraId="29C4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65" w:type="dxa"/>
              <w:left w:w="55" w:type="dxa"/>
              <w:bottom w:w="65" w:type="dxa"/>
              <w:right w:w="55" w:type="dxa"/>
              <w:start w:w="68" w:type="dxa"/>
              <w:end w:w="68" w:type="dxa"/>
            </w:tcMar>
            <w:vAlign w:val="center"/>
          </w:tcPr>
          <w:p w14:paraId="61E58D54">
            <w:pPr>
              <w:spacing w:before="0" w:after="0" w:line="240" w:lineRule="auto"/>
            </w:pPr>
            <w:r>
              <w:rPr>
                <w:rFonts w:ascii="Times New Roman" w:hAnsi="Times New Roman" w:eastAsia="Times New Roman" w:cs="Times New Roman"/>
                <w:b w:val="0"/>
                <w:sz w:val="14"/>
              </w:rPr>
              <w:t>Majority-failure subset</w:t>
            </w:r>
          </w:p>
        </w:tc>
        <w:tc>
          <w:tcPr>
            <w:tcW w:w="648" w:type="dxa"/>
            <w:tcMar>
              <w:top w:w="65" w:type="dxa"/>
              <w:left w:w="55" w:type="dxa"/>
              <w:bottom w:w="65" w:type="dxa"/>
              <w:right w:w="55" w:type="dxa"/>
              <w:start w:w="68" w:type="dxa"/>
              <w:end w:w="68" w:type="dxa"/>
            </w:tcMar>
            <w:vAlign w:val="center"/>
          </w:tcPr>
          <w:p w14:paraId="568D7A56">
            <w:pPr>
              <w:spacing w:before="0" w:after="0" w:line="240" w:lineRule="auto"/>
            </w:pPr>
            <w:r>
              <w:rPr>
                <w:rFonts w:ascii="Times New Roman" w:hAnsi="Times New Roman" w:eastAsia="Times New Roman" w:cs="Times New Roman"/>
                <w:b w:val="0"/>
                <w:sz w:val="14"/>
              </w:rPr>
              <w:t>445</w:t>
            </w:r>
          </w:p>
        </w:tc>
        <w:tc>
          <w:tcPr>
            <w:tcW w:w="792" w:type="dxa"/>
            <w:tcMar>
              <w:top w:w="65" w:type="dxa"/>
              <w:left w:w="55" w:type="dxa"/>
              <w:bottom w:w="65" w:type="dxa"/>
              <w:right w:w="55" w:type="dxa"/>
              <w:start w:w="68" w:type="dxa"/>
              <w:end w:w="68" w:type="dxa"/>
            </w:tcMar>
            <w:vAlign w:val="center"/>
          </w:tcPr>
          <w:p w14:paraId="181F0365">
            <w:pPr>
              <w:spacing w:before="0" w:after="0" w:line="240" w:lineRule="auto"/>
            </w:pPr>
            <w:r>
              <w:rPr>
                <w:rFonts w:ascii="Times New Roman" w:hAnsi="Times New Roman" w:eastAsia="Times New Roman" w:cs="Times New Roman"/>
                <w:b w:val="0"/>
                <w:sz w:val="14"/>
              </w:rPr>
              <w:t>50.1%</w:t>
            </w:r>
          </w:p>
        </w:tc>
        <w:tc>
          <w:tcPr>
            <w:tcW w:w="936" w:type="dxa"/>
            <w:tcMar>
              <w:top w:w="65" w:type="dxa"/>
              <w:left w:w="55" w:type="dxa"/>
              <w:bottom w:w="65" w:type="dxa"/>
              <w:right w:w="55" w:type="dxa"/>
              <w:start w:w="68" w:type="dxa"/>
              <w:end w:w="68" w:type="dxa"/>
            </w:tcMar>
            <w:vAlign w:val="center"/>
          </w:tcPr>
          <w:p w14:paraId="1B62F20C">
            <w:pPr>
              <w:spacing w:before="0" w:after="0" w:line="240" w:lineRule="auto"/>
            </w:pPr>
            <w:r>
              <w:rPr>
                <w:rFonts w:ascii="Times New Roman" w:hAnsi="Times New Roman" w:eastAsia="Times New Roman" w:cs="Times New Roman"/>
                <w:b w:val="0"/>
                <w:sz w:val="14"/>
              </w:rPr>
              <w:t>81.8%</w:t>
            </w:r>
          </w:p>
        </w:tc>
        <w:tc>
          <w:tcPr>
            <w:tcW w:w="1008" w:type="dxa"/>
            <w:tcMar>
              <w:top w:w="65" w:type="dxa"/>
              <w:left w:w="55" w:type="dxa"/>
              <w:bottom w:w="65" w:type="dxa"/>
              <w:right w:w="55" w:type="dxa"/>
              <w:start w:w="68" w:type="dxa"/>
              <w:end w:w="68" w:type="dxa"/>
            </w:tcMar>
            <w:vAlign w:val="center"/>
          </w:tcPr>
          <w:p w14:paraId="65530B25">
            <w:pPr>
              <w:spacing w:before="0" w:after="0" w:line="240" w:lineRule="auto"/>
            </w:pPr>
            <w:r>
              <w:rPr>
                <w:rFonts w:ascii="Times New Roman" w:hAnsi="Times New Roman" w:eastAsia="Times New Roman" w:cs="Times New Roman"/>
                <w:b w:val="0"/>
                <w:sz w:val="14"/>
              </w:rPr>
              <w:t>.766</w:t>
            </w:r>
          </w:p>
        </w:tc>
        <w:tc>
          <w:tcPr>
            <w:tcW w:w="1656" w:type="dxa"/>
            <w:tcMar>
              <w:top w:w="65" w:type="dxa"/>
              <w:left w:w="55" w:type="dxa"/>
              <w:bottom w:w="65" w:type="dxa"/>
              <w:right w:w="55" w:type="dxa"/>
              <w:start w:w="68" w:type="dxa"/>
              <w:end w:w="68" w:type="dxa"/>
            </w:tcMar>
            <w:vAlign w:val="center"/>
          </w:tcPr>
          <w:p w14:paraId="178230DD">
            <w:pPr>
              <w:spacing w:before="0" w:after="0" w:line="240" w:lineRule="auto"/>
            </w:pPr>
            <w:r>
              <w:rPr>
                <w:rFonts w:ascii="Times New Roman" w:hAnsi="Times New Roman" w:eastAsia="Times New Roman" w:cs="Times New Roman"/>
                <w:b w:val="0"/>
                <w:sz w:val="14"/>
              </w:rPr>
              <w:t>.528 (.470–.586)</w:t>
            </w:r>
          </w:p>
        </w:tc>
        <w:tc>
          <w:tcPr>
            <w:tcW w:w="1512" w:type="dxa"/>
            <w:tcMar>
              <w:top w:w="65" w:type="dxa"/>
              <w:left w:w="55" w:type="dxa"/>
              <w:bottom w:w="65" w:type="dxa"/>
              <w:right w:w="55" w:type="dxa"/>
              <w:start w:w="68" w:type="dxa"/>
              <w:end w:w="68" w:type="dxa"/>
            </w:tcMar>
            <w:vAlign w:val="center"/>
          </w:tcPr>
          <w:p w14:paraId="56EFB888">
            <w:pPr>
              <w:spacing w:before="0" w:after="0" w:line="240" w:lineRule="auto"/>
            </w:pPr>
            <w:r>
              <w:rPr>
                <w:rFonts w:ascii="Times New Roman" w:hAnsi="Times New Roman" w:eastAsia="Times New Roman" w:cs="Times New Roman"/>
                <w:b w:val="0"/>
                <w:sz w:val="14"/>
              </w:rPr>
              <w:t>.695 (.647–.744)</w:t>
            </w:r>
          </w:p>
        </w:tc>
        <w:tc>
          <w:tcPr>
            <w:tcW w:w="1800" w:type="dxa"/>
            <w:tcMar>
              <w:top w:w="65" w:type="dxa"/>
              <w:left w:w="55" w:type="dxa"/>
              <w:bottom w:w="65" w:type="dxa"/>
              <w:right w:w="55" w:type="dxa"/>
              <w:start w:w="68" w:type="dxa"/>
              <w:end w:w="68" w:type="dxa"/>
            </w:tcMar>
            <w:vAlign w:val="center"/>
          </w:tcPr>
          <w:p w14:paraId="56B3B43E">
            <w:pPr>
              <w:spacing w:before="0" w:after="0" w:line="240" w:lineRule="auto"/>
            </w:pPr>
            <w:r>
              <w:rPr>
                <w:rFonts w:ascii="Times New Roman" w:hAnsi="Times New Roman" w:eastAsia="Times New Roman" w:cs="Times New Roman"/>
                <w:b w:val="0"/>
                <w:sz w:val="14"/>
              </w:rPr>
              <w:t>.454 (.401–.509)</w:t>
            </w:r>
          </w:p>
        </w:tc>
      </w:tr>
    </w:tbl>
    <w:p w14:paraId="451329CB">
      <w:pPr>
        <w:spacing w:after="20"/>
      </w:pPr>
    </w:p>
    <w:p w14:paraId="4805FB29">
      <w:pPr>
        <w:pStyle w:val="3"/>
        <w:keepNext/>
        <w:keepLines/>
      </w:pPr>
      <w:r>
        <w:rPr>
          <w:color w:val="000000"/>
        </w:rPr>
        <w:t>5.4 Final senior-adjudicated publication-layer distributions</w:t>
      </w:r>
    </w:p>
    <w:p w14:paraId="6FB527EB">
      <w:pPr>
        <w:widowControl/>
        <w:spacing w:after="80"/>
      </w:pPr>
      <w:r>
        <w:t>FINAL GOLD v1.0 contains 474 failures (65.8%) and 246 no-failure cases (34.2%). Family counts are Core SCF = 333, OVR = 127, HREF = 14, NONE = 246; boundary counts are semantic_only = 296, overlap = 164, hallucination_only = 14, no_failure = 246; severity counts are 0/1/2/3 = 246/66/196/212. Thus, 86.1% of final failures are moderate or severe. These counts define the targets in Table 6.</w:t>
        <w:t xml:space="preserve"> For T2, the 178 grounding-involved GOLD failures comprise 164 overlap and 14 hallucination_only cases; this target identifies involvement relative to visible authorised evidence, not whether a claim is factually false in the external world.</w:t>
      </w:r>
    </w:p>
    <w:p w14:paraId="69E27720">
      <w:pPr>
        <w:widowControl/>
        <w:spacing w:after="80"/>
      </w:pPr>
      <w:r>
        <w:t>The adjudication sequence and the provenance of the final reference are specified in Section 3.7 and Table 5; no new inter-rater coefficient is inferred from the same-adjudicator re-review.</w:t>
      </w:r>
    </w:p>
    <w:p w14:paraId="6B382202">
      <w:pPr>
        <w:pStyle w:val="3"/>
        <w:keepNext/>
        <w:keepLines/>
      </w:pPr>
      <w:r>
        <w:rPr>
          <w:color w:val="000000"/>
        </w:rPr>
        <w:t>5.5 Post-hoc construct-structure diagnostics: family, grounding, and task</w:t>
      </w:r>
    </w:p>
    <w:p w14:paraId="0395A2EB">
      <w:pPr>
        <w:widowControl/>
      </w:pPr>
      <w:r>
        <w:t>Two frozen-reference cross-tabs were added to clarify the linguistic interpretation of the operational families without changing any label. Among the 460 T3-eligible Core-SCF/OVR cases, Core SCF is 286/333 (85.9%) semantic_only and 47/333 (14.1%) overlap, whereas OVR is 10/127 (7.9%) semantic_only and 117/127 (92.1%) overlap. The descriptive association is Cramér’s V = .728 with a 95% task-stratified Prompt_ID-cluster bootstrap interval [.675, .776]. Family membership is therefore strongly associated with grounding status but is not identical to it; this directly bounds T3 as an operational code-family target rather than a grounding-independent latent mechanism contrast.</w:t>
      </w:r>
      <w:r>
        <w:t xml:space="preserve"> The paired contrasts concern the exact frozen eligible populations and executed evaluator protocols; nominal intervals are conditional on saved OOF predictions and are not family-wise multiplicity-adjusted.</w:t>
      </w:r>
    </w:p>
    <w:p w14:paraId="711A213C">
      <w:pPr>
        <w:widowControl/>
      </w:pPr>
      <w:r>
        <w:t>Task type is also associated with the four final mechanism families (Core SCF, OVR, HREF, NONE): Cramér’s V = .251, 95% task-stratified Prompt_ID-cluster bootstrap interval [.227, .295]. Explanation and instruction-following outputs are dominated by Core SCF (72.5% and 63.3%), whereas multi-entity/context tracking and question answering contain larger OVR shares (30.8% and 28.3%); HREF is concentrated most visibly in source-grounded generation (7.5%). These distributions are descriptive properties of the deliberately balanced corpus, not natural prevalence estimates. They help explain why leave-one-task-out recovery is an internal cross-task robustness test rather than evidence of task-independent semantic abstraction. Full cross-tabs, the association equation, and reproducibility details appear in Supplementary Tables S35 and S36.</w:t>
      </w:r>
    </w:p>
    <w:p w14:paraId="62431B59">
      <w:pPr>
        <w:pStyle w:val="2"/>
        <w:keepNext/>
        <w:keepLines/>
      </w:pPr>
      <w:r>
        <w:rPr>
          <w:color w:val="000000"/>
        </w:rPr>
        <w:t>6. Computational Results</w:t>
      </w:r>
    </w:p>
    <w:p w14:paraId="1E7201C3">
      <w:pPr>
        <w:pStyle w:val="3"/>
        <w:keepNext/>
        <w:keepLines/>
      </w:pPr>
      <w:r>
        <w:rPr>
          <w:color w:val="000000"/>
        </w:rPr>
        <w:t>6.1 RQ3: Reference evaluator performance under Condition C</w:t>
      </w:r>
    </w:p>
    <w:p w14:paraId="0109D880">
      <w:pPr>
        <w:keepNext/>
        <w:widowControl/>
        <w:spacing w:before="100" w:after="40"/>
      </w:pPr>
      <w:r>
        <w:t>Under Condition C, M3 exceeds M1 by .108 macro-F1 on T2 (95% CI [.060, .156]), .069 on T3 ([.018, .118]), and .070 on T4 ([.009, .130]); the .041 T1 difference includes zero ([-.013, .097]). Paired intervals use the dependence-aware Prompt_ID-cluster bootstrap described in Section 4.5 and Supplementary Section S9.4.1. The implemented M3 protocol shows its largest observed improvements over M1 for grounding, mechanism family, and severity; because the protocols differ in model and training design, these differences do not isolate the benefit of contextual fine-tuning (Table 11).</w:t>
      </w:r>
      <w:r>
        <w:t xml:space="preserve"> All estimates are GOLD-eligibility-conditional (T1 N=720; T2/T4 N=474; T3 N=460); condition contrasts for separately fitted M3 runs are descriptive, not isolated source effects.</w:t>
      </w:r>
    </w:p>
    <w:p w14:paraId="1C43871F">
      <w:pPr>
        <w:keepNext/>
        <w:widowControl/>
        <w:spacing w:before="100" w:after="40"/>
        <w:jc w:val="left"/>
      </w:pPr>
      <w:r>
        <w:t>Table 11. Reference evaluator performance under Condition C (prompt + authorised context where available + output). Values are macro-F1 with 95% Prompt_ID-cluster bootstrap CIs; T4 also reports QWK. T2–T4 are conditional diagnostic tasks defined on gold-eligible populations, not end-to-end cascade performance; M4 values correspond to the archived P1/identity reference protocol.</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924"/>
        <w:gridCol w:w="1808"/>
        <w:gridCol w:w="1808"/>
        <w:gridCol w:w="1808"/>
        <w:gridCol w:w="2220"/>
      </w:tblGrid>
      <w:tr w14:paraId="6BDA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088" w:type="dxa"/>
            <w:tcMar>
              <w:top w:w="65" w:type="dxa"/>
              <w:left w:w="55" w:type="dxa"/>
              <w:bottom w:w="65" w:type="dxa"/>
              <w:right w:w="55" w:type="dxa"/>
              <w:start w:w="68" w:type="dxa"/>
              <w:end w:w="68" w:type="dxa"/>
            </w:tcMar>
            <w:vAlign w:val="center"/>
            <w:shd w:val="clear" w:color="auto" w:fill="E8F0F8"/>
          </w:tcPr>
          <w:p w14:paraId="5A4ECC07">
            <w:pPr>
              <w:spacing w:before="0" w:after="0" w:line="240" w:lineRule="auto"/>
              <w:jc w:val="center"/>
            </w:pPr>
            <w:r>
              <w:rPr>
                <w:rFonts w:ascii="Times New Roman" w:hAnsi="Times New Roman" w:eastAsia="Times New Roman" w:cs="Times New Roman"/>
                <w:b/>
                <w:color w:val="1E364D"/>
                <w:sz w:val="15"/>
              </w:rPr>
              <w:t>Model</w:t>
            </w:r>
          </w:p>
        </w:tc>
        <w:tc>
          <w:tcPr>
            <w:tcW w:w="2088" w:type="dxa"/>
            <w:tcMar>
              <w:top w:w="65" w:type="dxa"/>
              <w:left w:w="55" w:type="dxa"/>
              <w:bottom w:w="65" w:type="dxa"/>
              <w:right w:w="55" w:type="dxa"/>
              <w:start w:w="68" w:type="dxa"/>
              <w:end w:w="68" w:type="dxa"/>
            </w:tcMar>
            <w:vAlign w:val="center"/>
            <w:shd w:val="clear" w:color="auto" w:fill="E8F0F8"/>
          </w:tcPr>
          <w:p w14:paraId="5F4E8542">
            <w:pPr>
              <w:spacing w:before="0" w:after="0" w:line="240" w:lineRule="auto"/>
              <w:jc w:val="center"/>
            </w:pPr>
            <w:r>
              <w:rPr>
                <w:rFonts w:ascii="Times New Roman" w:hAnsi="Times New Roman" w:eastAsia="Times New Roman" w:cs="Times New Roman"/>
                <w:b/>
                <w:color w:val="1E364D"/>
                <w:sz w:val="15"/>
              </w:rPr>
              <w:t>T1</w:t>
            </w:r>
          </w:p>
        </w:tc>
        <w:tc>
          <w:tcPr>
            <w:tcW w:w="2088" w:type="dxa"/>
            <w:tcMar>
              <w:top w:w="65" w:type="dxa"/>
              <w:left w:w="55" w:type="dxa"/>
              <w:bottom w:w="65" w:type="dxa"/>
              <w:right w:w="55" w:type="dxa"/>
              <w:start w:w="68" w:type="dxa"/>
              <w:end w:w="68" w:type="dxa"/>
            </w:tcMar>
            <w:vAlign w:val="center"/>
            <w:shd w:val="clear" w:color="auto" w:fill="E8F0F8"/>
          </w:tcPr>
          <w:p w14:paraId="25713FCD">
            <w:pPr>
              <w:spacing w:before="0" w:after="0" w:line="240" w:lineRule="auto"/>
              <w:jc w:val="center"/>
            </w:pPr>
            <w:r>
              <w:rPr>
                <w:rFonts w:ascii="Times New Roman" w:hAnsi="Times New Roman" w:eastAsia="Times New Roman" w:cs="Times New Roman"/>
                <w:b/>
                <w:color w:val="1E364D"/>
                <w:sz w:val="15"/>
              </w:rPr>
              <w:t>T2</w:t>
            </w:r>
          </w:p>
        </w:tc>
        <w:tc>
          <w:tcPr>
            <w:tcW w:w="2088" w:type="dxa"/>
            <w:tcMar>
              <w:top w:w="65" w:type="dxa"/>
              <w:left w:w="55" w:type="dxa"/>
              <w:bottom w:w="65" w:type="dxa"/>
              <w:right w:w="55" w:type="dxa"/>
              <w:start w:w="68" w:type="dxa"/>
              <w:end w:w="68" w:type="dxa"/>
            </w:tcMar>
            <w:vAlign w:val="center"/>
            <w:shd w:val="clear" w:color="auto" w:fill="E8F0F8"/>
          </w:tcPr>
          <w:p w14:paraId="52DA4DCC">
            <w:pPr>
              <w:spacing w:before="0" w:after="0" w:line="240" w:lineRule="auto"/>
              <w:jc w:val="center"/>
            </w:pPr>
            <w:r>
              <w:rPr>
                <w:rFonts w:ascii="Times New Roman" w:hAnsi="Times New Roman" w:eastAsia="Times New Roman" w:cs="Times New Roman"/>
                <w:b/>
                <w:color w:val="1E364D"/>
                <w:sz w:val="15"/>
              </w:rPr>
              <w:t>T3</w:t>
            </w:r>
          </w:p>
        </w:tc>
        <w:tc>
          <w:tcPr>
            <w:tcW w:w="2592" w:type="dxa"/>
            <w:tcMar>
              <w:top w:w="65" w:type="dxa"/>
              <w:left w:w="55" w:type="dxa"/>
              <w:bottom w:w="65" w:type="dxa"/>
              <w:right w:w="55" w:type="dxa"/>
              <w:start w:w="68" w:type="dxa"/>
              <w:end w:w="68" w:type="dxa"/>
            </w:tcMar>
            <w:vAlign w:val="center"/>
            <w:shd w:val="clear" w:color="auto" w:fill="E8F0F8"/>
          </w:tcPr>
          <w:p w14:paraId="5CDA8B56">
            <w:pPr>
              <w:spacing w:before="0" w:after="0" w:line="240" w:lineRule="auto"/>
              <w:jc w:val="center"/>
            </w:pPr>
            <w:r>
              <w:rPr>
                <w:rFonts w:ascii="Times New Roman" w:hAnsi="Times New Roman" w:eastAsia="Times New Roman" w:cs="Times New Roman"/>
                <w:b/>
                <w:color w:val="1E364D"/>
                <w:sz w:val="15"/>
              </w:rPr>
              <w:t>T4</w:t>
            </w:r>
          </w:p>
        </w:tc>
      </w:tr>
      <w:tr w14:paraId="1204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65" w:type="dxa"/>
              <w:left w:w="55" w:type="dxa"/>
              <w:bottom w:w="65" w:type="dxa"/>
              <w:right w:w="55" w:type="dxa"/>
              <w:start w:w="68" w:type="dxa"/>
              <w:end w:w="68" w:type="dxa"/>
            </w:tcMar>
            <w:vAlign w:val="center"/>
          </w:tcPr>
          <w:p w14:paraId="1E9C549E">
            <w:pPr>
              <w:spacing w:before="0" w:after="0" w:line="240" w:lineRule="auto"/>
            </w:pPr>
            <w:r>
              <w:rPr>
                <w:rFonts w:ascii="Times New Roman" w:hAnsi="Times New Roman" w:eastAsia="Times New Roman" w:cs="Times New Roman"/>
                <w:b w:val="0"/>
                <w:sz w:val="15"/>
              </w:rPr>
              <w:t>M0 Majority/dummy</w:t>
            </w:r>
          </w:p>
        </w:tc>
        <w:tc>
          <w:tcPr>
            <w:tcW w:w="2088" w:type="dxa"/>
            <w:tcMar>
              <w:top w:w="65" w:type="dxa"/>
              <w:left w:w="55" w:type="dxa"/>
              <w:bottom w:w="65" w:type="dxa"/>
              <w:right w:w="55" w:type="dxa"/>
              <w:start w:w="68" w:type="dxa"/>
              <w:end w:w="68" w:type="dxa"/>
            </w:tcMar>
            <w:vAlign w:val="center"/>
          </w:tcPr>
          <w:p w14:paraId="51A88774">
            <w:pPr>
              <w:spacing w:before="0" w:after="0" w:line="240" w:lineRule="auto"/>
            </w:pPr>
            <w:r>
              <w:rPr>
                <w:rFonts w:ascii="Times New Roman" w:hAnsi="Times New Roman" w:eastAsia="Times New Roman" w:cs="Times New Roman"/>
                <w:b w:val="0"/>
                <w:sz w:val="15"/>
              </w:rPr>
              <w:t>0.397 [0.384, 0.409]</w:t>
            </w:r>
          </w:p>
        </w:tc>
        <w:tc>
          <w:tcPr>
            <w:tcW w:w="2088" w:type="dxa"/>
            <w:tcMar>
              <w:top w:w="65" w:type="dxa"/>
              <w:left w:w="55" w:type="dxa"/>
              <w:bottom w:w="65" w:type="dxa"/>
              <w:right w:w="55" w:type="dxa"/>
              <w:start w:w="68" w:type="dxa"/>
              <w:end w:w="68" w:type="dxa"/>
            </w:tcMar>
            <w:vAlign w:val="center"/>
          </w:tcPr>
          <w:p w14:paraId="084C76F9">
            <w:pPr>
              <w:spacing w:before="0" w:after="0" w:line="240" w:lineRule="auto"/>
            </w:pPr>
            <w:r>
              <w:rPr>
                <w:rFonts w:ascii="Times New Roman" w:hAnsi="Times New Roman" w:eastAsia="Times New Roman" w:cs="Times New Roman"/>
                <w:b w:val="0"/>
                <w:sz w:val="15"/>
              </w:rPr>
              <w:t>0.384 [0.362, 0.405]</w:t>
            </w:r>
          </w:p>
        </w:tc>
        <w:tc>
          <w:tcPr>
            <w:tcW w:w="2088" w:type="dxa"/>
            <w:tcMar>
              <w:top w:w="65" w:type="dxa"/>
              <w:left w:w="55" w:type="dxa"/>
              <w:bottom w:w="65" w:type="dxa"/>
              <w:right w:w="55" w:type="dxa"/>
              <w:start w:w="68" w:type="dxa"/>
              <w:end w:w="68" w:type="dxa"/>
            </w:tcMar>
            <w:vAlign w:val="center"/>
          </w:tcPr>
          <w:p w14:paraId="20C7FA49">
            <w:pPr>
              <w:spacing w:before="0" w:after="0" w:line="240" w:lineRule="auto"/>
            </w:pPr>
            <w:r>
              <w:rPr>
                <w:rFonts w:ascii="Times New Roman" w:hAnsi="Times New Roman" w:eastAsia="Times New Roman" w:cs="Times New Roman"/>
                <w:b w:val="0"/>
                <w:sz w:val="15"/>
              </w:rPr>
              <w:t>0.420 [0.403, 0.436]</w:t>
            </w:r>
          </w:p>
        </w:tc>
        <w:tc>
          <w:tcPr>
            <w:tcW w:w="2592" w:type="dxa"/>
            <w:tcMar>
              <w:top w:w="65" w:type="dxa"/>
              <w:left w:w="55" w:type="dxa"/>
              <w:bottom w:w="65" w:type="dxa"/>
              <w:right w:w="55" w:type="dxa"/>
              <w:start w:w="68" w:type="dxa"/>
              <w:end w:w="68" w:type="dxa"/>
            </w:tcMar>
            <w:vAlign w:val="center"/>
          </w:tcPr>
          <w:p w14:paraId="2CC166C3">
            <w:pPr>
              <w:spacing w:before="0" w:after="0" w:line="240" w:lineRule="auto"/>
            </w:pPr>
            <w:r>
              <w:rPr>
                <w:rFonts w:ascii="Times New Roman" w:hAnsi="Times New Roman" w:eastAsia="Times New Roman" w:cs="Times New Roman"/>
                <w:b w:val="0"/>
                <w:sz w:val="15"/>
              </w:rPr>
              <w:t>F1 0.206 [0.195, 0.216]; QWK 0.000</w:t>
            </w:r>
          </w:p>
        </w:tc>
      </w:tr>
      <w:tr w14:paraId="08F9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65" w:type="dxa"/>
              <w:left w:w="55" w:type="dxa"/>
              <w:bottom w:w="65" w:type="dxa"/>
              <w:right w:w="55" w:type="dxa"/>
              <w:start w:w="68" w:type="dxa"/>
              <w:end w:w="68" w:type="dxa"/>
            </w:tcMar>
            <w:vAlign w:val="center"/>
          </w:tcPr>
          <w:p w14:paraId="502B7A73">
            <w:pPr>
              <w:spacing w:before="0" w:after="0" w:line="240" w:lineRule="auto"/>
            </w:pPr>
            <w:r>
              <w:rPr>
                <w:rFonts w:ascii="Times New Roman" w:hAnsi="Times New Roman" w:eastAsia="Times New Roman" w:cs="Times New Roman"/>
                <w:b w:val="0"/>
                <w:sz w:val="15"/>
              </w:rPr>
              <w:t>M1 TF-IDF + LinearSVC</w:t>
            </w:r>
          </w:p>
        </w:tc>
        <w:tc>
          <w:tcPr>
            <w:tcW w:w="2088" w:type="dxa"/>
            <w:tcMar>
              <w:top w:w="65" w:type="dxa"/>
              <w:left w:w="55" w:type="dxa"/>
              <w:bottom w:w="65" w:type="dxa"/>
              <w:right w:w="55" w:type="dxa"/>
              <w:start w:w="68" w:type="dxa"/>
              <w:end w:w="68" w:type="dxa"/>
            </w:tcMar>
            <w:vAlign w:val="center"/>
          </w:tcPr>
          <w:p w14:paraId="3E38A832">
            <w:pPr>
              <w:spacing w:before="0" w:after="0" w:line="240" w:lineRule="auto"/>
            </w:pPr>
            <w:r>
              <w:rPr>
                <w:rFonts w:ascii="Times New Roman" w:hAnsi="Times New Roman" w:eastAsia="Times New Roman" w:cs="Times New Roman"/>
                <w:b w:val="0"/>
                <w:sz w:val="15"/>
              </w:rPr>
              <w:t>0.614 [0.569, 0.656]</w:t>
            </w:r>
          </w:p>
        </w:tc>
        <w:tc>
          <w:tcPr>
            <w:tcW w:w="2088" w:type="dxa"/>
            <w:tcMar>
              <w:top w:w="65" w:type="dxa"/>
              <w:left w:w="55" w:type="dxa"/>
              <w:bottom w:w="65" w:type="dxa"/>
              <w:right w:w="55" w:type="dxa"/>
              <w:start w:w="68" w:type="dxa"/>
              <w:end w:w="68" w:type="dxa"/>
            </w:tcMar>
            <w:vAlign w:val="center"/>
          </w:tcPr>
          <w:p w14:paraId="3EF46905">
            <w:pPr>
              <w:spacing w:before="0" w:after="0" w:line="240" w:lineRule="auto"/>
            </w:pPr>
            <w:r>
              <w:rPr>
                <w:rFonts w:ascii="Times New Roman" w:hAnsi="Times New Roman" w:eastAsia="Times New Roman" w:cs="Times New Roman"/>
                <w:b w:val="0"/>
                <w:sz w:val="15"/>
              </w:rPr>
              <w:t>0.669 [0.619, 0.716]</w:t>
            </w:r>
          </w:p>
        </w:tc>
        <w:tc>
          <w:tcPr>
            <w:tcW w:w="2088" w:type="dxa"/>
            <w:tcMar>
              <w:top w:w="65" w:type="dxa"/>
              <w:left w:w="55" w:type="dxa"/>
              <w:bottom w:w="65" w:type="dxa"/>
              <w:right w:w="55" w:type="dxa"/>
              <w:start w:w="68" w:type="dxa"/>
              <w:end w:w="68" w:type="dxa"/>
            </w:tcMar>
            <w:vAlign w:val="center"/>
          </w:tcPr>
          <w:p w14:paraId="6356B562">
            <w:pPr>
              <w:spacing w:before="0" w:after="0" w:line="240" w:lineRule="auto"/>
            </w:pPr>
            <w:r>
              <w:rPr>
                <w:rFonts w:ascii="Times New Roman" w:hAnsi="Times New Roman" w:eastAsia="Times New Roman" w:cs="Times New Roman"/>
                <w:b w:val="0"/>
                <w:sz w:val="15"/>
              </w:rPr>
              <w:t>0.722 [0.676, 0.764]</w:t>
            </w:r>
          </w:p>
        </w:tc>
        <w:tc>
          <w:tcPr>
            <w:tcW w:w="2592" w:type="dxa"/>
            <w:tcMar>
              <w:top w:w="65" w:type="dxa"/>
              <w:left w:w="55" w:type="dxa"/>
              <w:bottom w:w="65" w:type="dxa"/>
              <w:right w:w="55" w:type="dxa"/>
              <w:start w:w="68" w:type="dxa"/>
              <w:end w:w="68" w:type="dxa"/>
            </w:tcMar>
            <w:vAlign w:val="center"/>
          </w:tcPr>
          <w:p w14:paraId="387BBFD3">
            <w:pPr>
              <w:spacing w:before="0" w:after="0" w:line="240" w:lineRule="auto"/>
            </w:pPr>
            <w:r>
              <w:rPr>
                <w:rFonts w:ascii="Times New Roman" w:hAnsi="Times New Roman" w:eastAsia="Times New Roman" w:cs="Times New Roman"/>
                <w:b w:val="0"/>
                <w:sz w:val="15"/>
              </w:rPr>
              <w:t>F1 0.567 [0.502, 0.627]; QWK 0.487 [0.393, 0.574]</w:t>
            </w:r>
          </w:p>
        </w:tc>
      </w:tr>
      <w:tr w14:paraId="5AAE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65" w:type="dxa"/>
              <w:left w:w="55" w:type="dxa"/>
              <w:bottom w:w="65" w:type="dxa"/>
              <w:right w:w="55" w:type="dxa"/>
              <w:start w:w="68" w:type="dxa"/>
              <w:end w:w="68" w:type="dxa"/>
            </w:tcMar>
            <w:vAlign w:val="center"/>
          </w:tcPr>
          <w:p w14:paraId="3AEA50CE">
            <w:pPr>
              <w:spacing w:before="0" w:after="0" w:line="240" w:lineRule="auto"/>
            </w:pPr>
            <w:r>
              <w:rPr>
                <w:rFonts w:ascii="Times New Roman" w:hAnsi="Times New Roman" w:eastAsia="Times New Roman" w:cs="Times New Roman"/>
                <w:b w:val="0"/>
                <w:sz w:val="15"/>
              </w:rPr>
              <w:t>M2 LSA + logistic regression</w:t>
            </w:r>
          </w:p>
        </w:tc>
        <w:tc>
          <w:tcPr>
            <w:tcW w:w="2088" w:type="dxa"/>
            <w:tcMar>
              <w:top w:w="65" w:type="dxa"/>
              <w:left w:w="55" w:type="dxa"/>
              <w:bottom w:w="65" w:type="dxa"/>
              <w:right w:w="55" w:type="dxa"/>
              <w:start w:w="68" w:type="dxa"/>
              <w:end w:w="68" w:type="dxa"/>
            </w:tcMar>
            <w:vAlign w:val="center"/>
          </w:tcPr>
          <w:p w14:paraId="3CC778C3">
            <w:pPr>
              <w:spacing w:before="0" w:after="0" w:line="240" w:lineRule="auto"/>
            </w:pPr>
            <w:r>
              <w:rPr>
                <w:rFonts w:ascii="Times New Roman" w:hAnsi="Times New Roman" w:eastAsia="Times New Roman" w:cs="Times New Roman"/>
                <w:b w:val="0"/>
                <w:sz w:val="15"/>
              </w:rPr>
              <w:t>0.608 [0.568, 0.647]</w:t>
            </w:r>
          </w:p>
        </w:tc>
        <w:tc>
          <w:tcPr>
            <w:tcW w:w="2088" w:type="dxa"/>
            <w:tcMar>
              <w:top w:w="65" w:type="dxa"/>
              <w:left w:w="55" w:type="dxa"/>
              <w:bottom w:w="65" w:type="dxa"/>
              <w:right w:w="55" w:type="dxa"/>
              <w:start w:w="68" w:type="dxa"/>
              <w:end w:w="68" w:type="dxa"/>
            </w:tcMar>
            <w:vAlign w:val="center"/>
          </w:tcPr>
          <w:p w14:paraId="22F0EF4D">
            <w:pPr>
              <w:spacing w:before="0" w:after="0" w:line="240" w:lineRule="auto"/>
            </w:pPr>
            <w:r>
              <w:rPr>
                <w:rFonts w:ascii="Times New Roman" w:hAnsi="Times New Roman" w:eastAsia="Times New Roman" w:cs="Times New Roman"/>
                <w:b w:val="0"/>
                <w:sz w:val="15"/>
              </w:rPr>
              <w:t>0.668 [0.610, 0.719]</w:t>
            </w:r>
          </w:p>
        </w:tc>
        <w:tc>
          <w:tcPr>
            <w:tcW w:w="2088" w:type="dxa"/>
            <w:tcMar>
              <w:top w:w="65" w:type="dxa"/>
              <w:left w:w="55" w:type="dxa"/>
              <w:bottom w:w="65" w:type="dxa"/>
              <w:right w:w="55" w:type="dxa"/>
              <w:start w:w="68" w:type="dxa"/>
              <w:end w:w="68" w:type="dxa"/>
            </w:tcMar>
            <w:vAlign w:val="center"/>
          </w:tcPr>
          <w:p w14:paraId="758F5BE3">
            <w:pPr>
              <w:spacing w:before="0" w:after="0" w:line="240" w:lineRule="auto"/>
            </w:pPr>
            <w:r>
              <w:rPr>
                <w:rFonts w:ascii="Times New Roman" w:hAnsi="Times New Roman" w:eastAsia="Times New Roman" w:cs="Times New Roman"/>
                <w:b w:val="0"/>
                <w:sz w:val="15"/>
              </w:rPr>
              <w:t>0.677 [0.632, 0.719]</w:t>
            </w:r>
          </w:p>
        </w:tc>
        <w:tc>
          <w:tcPr>
            <w:tcW w:w="2592" w:type="dxa"/>
            <w:tcMar>
              <w:top w:w="65" w:type="dxa"/>
              <w:left w:w="55" w:type="dxa"/>
              <w:bottom w:w="65" w:type="dxa"/>
              <w:right w:w="55" w:type="dxa"/>
              <w:start w:w="68" w:type="dxa"/>
              <w:end w:w="68" w:type="dxa"/>
            </w:tcMar>
            <w:vAlign w:val="center"/>
          </w:tcPr>
          <w:p w14:paraId="55474B35">
            <w:pPr>
              <w:spacing w:before="0" w:after="0" w:line="240" w:lineRule="auto"/>
            </w:pPr>
            <w:r>
              <w:rPr>
                <w:rFonts w:ascii="Times New Roman" w:hAnsi="Times New Roman" w:eastAsia="Times New Roman" w:cs="Times New Roman"/>
                <w:b w:val="0"/>
                <w:sz w:val="15"/>
              </w:rPr>
              <w:t>F1 0.482 [0.429, 0.532]; QWK 0.375 [0.296, 0.452]</w:t>
            </w:r>
          </w:p>
        </w:tc>
      </w:tr>
      <w:tr w14:paraId="405A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65" w:type="dxa"/>
              <w:left w:w="55" w:type="dxa"/>
              <w:bottom w:w="65" w:type="dxa"/>
              <w:right w:w="55" w:type="dxa"/>
              <w:start w:w="68" w:type="dxa"/>
              <w:end w:w="68" w:type="dxa"/>
            </w:tcMar>
            <w:vAlign w:val="center"/>
          </w:tcPr>
          <w:p w14:paraId="6B95E5C9">
            <w:pPr>
              <w:spacing w:before="0" w:after="0" w:line="240" w:lineRule="auto"/>
            </w:pPr>
            <w:r>
              <w:rPr>
                <w:rFonts w:ascii="Times New Roman" w:hAnsi="Times New Roman" w:eastAsia="Times New Roman" w:cs="Times New Roman"/>
                <w:b w:val="0"/>
                <w:sz w:val="15"/>
              </w:rPr>
              <w:t>M3 ModernBERT-base</w:t>
            </w:r>
          </w:p>
        </w:tc>
        <w:tc>
          <w:tcPr>
            <w:tcW w:w="2088" w:type="dxa"/>
            <w:tcMar>
              <w:top w:w="65" w:type="dxa"/>
              <w:left w:w="55" w:type="dxa"/>
              <w:bottom w:w="65" w:type="dxa"/>
              <w:right w:w="55" w:type="dxa"/>
              <w:start w:w="68" w:type="dxa"/>
              <w:end w:w="68" w:type="dxa"/>
            </w:tcMar>
            <w:vAlign w:val="center"/>
          </w:tcPr>
          <w:p w14:paraId="0CCF6B09">
            <w:pPr>
              <w:spacing w:before="0" w:after="0" w:line="240" w:lineRule="auto"/>
            </w:pPr>
            <w:r>
              <w:rPr>
                <w:rFonts w:ascii="Times New Roman" w:hAnsi="Times New Roman" w:eastAsia="Times New Roman" w:cs="Times New Roman"/>
                <w:b w:val="0"/>
                <w:sz w:val="15"/>
              </w:rPr>
              <w:t>0.655 [0.615, 0.696]</w:t>
            </w:r>
          </w:p>
        </w:tc>
        <w:tc>
          <w:tcPr>
            <w:tcW w:w="2088" w:type="dxa"/>
            <w:tcMar>
              <w:top w:w="65" w:type="dxa"/>
              <w:left w:w="55" w:type="dxa"/>
              <w:bottom w:w="65" w:type="dxa"/>
              <w:right w:w="55" w:type="dxa"/>
              <w:start w:w="68" w:type="dxa"/>
              <w:end w:w="68" w:type="dxa"/>
            </w:tcMar>
            <w:vAlign w:val="center"/>
          </w:tcPr>
          <w:p w14:paraId="11B2BC8B">
            <w:pPr>
              <w:spacing w:before="0" w:after="0" w:line="240" w:lineRule="auto"/>
            </w:pPr>
            <w:r>
              <w:rPr>
                <w:rFonts w:ascii="Times New Roman" w:hAnsi="Times New Roman" w:eastAsia="Times New Roman" w:cs="Times New Roman"/>
                <w:b w:val="0"/>
                <w:sz w:val="15"/>
              </w:rPr>
              <w:t>0.777 [0.732, 0.818]</w:t>
            </w:r>
          </w:p>
        </w:tc>
        <w:tc>
          <w:tcPr>
            <w:tcW w:w="2088" w:type="dxa"/>
            <w:tcMar>
              <w:top w:w="65" w:type="dxa"/>
              <w:left w:w="55" w:type="dxa"/>
              <w:bottom w:w="65" w:type="dxa"/>
              <w:right w:w="55" w:type="dxa"/>
              <w:start w:w="68" w:type="dxa"/>
              <w:end w:w="68" w:type="dxa"/>
            </w:tcMar>
            <w:vAlign w:val="center"/>
          </w:tcPr>
          <w:p w14:paraId="417D0134">
            <w:pPr>
              <w:spacing w:before="0" w:after="0" w:line="240" w:lineRule="auto"/>
            </w:pPr>
            <w:r>
              <w:rPr>
                <w:rFonts w:ascii="Times New Roman" w:hAnsi="Times New Roman" w:eastAsia="Times New Roman" w:cs="Times New Roman"/>
                <w:b w:val="0"/>
                <w:sz w:val="15"/>
              </w:rPr>
              <w:t>0.791 [0.747, 0.832]</w:t>
            </w:r>
          </w:p>
        </w:tc>
        <w:tc>
          <w:tcPr>
            <w:tcW w:w="2592" w:type="dxa"/>
            <w:tcMar>
              <w:top w:w="65" w:type="dxa"/>
              <w:left w:w="55" w:type="dxa"/>
              <w:bottom w:w="65" w:type="dxa"/>
              <w:right w:w="55" w:type="dxa"/>
              <w:start w:w="68" w:type="dxa"/>
              <w:end w:w="68" w:type="dxa"/>
            </w:tcMar>
            <w:vAlign w:val="center"/>
          </w:tcPr>
          <w:p w14:paraId="10CD4DA5">
            <w:pPr>
              <w:spacing w:before="0" w:after="0" w:line="240" w:lineRule="auto"/>
            </w:pPr>
            <w:r>
              <w:rPr>
                <w:rFonts w:ascii="Times New Roman" w:hAnsi="Times New Roman" w:eastAsia="Times New Roman" w:cs="Times New Roman"/>
                <w:b w:val="0"/>
                <w:sz w:val="15"/>
              </w:rPr>
              <w:t>F1 0.637 [0.582, 0.686]; QWK 0.597 [0.527, 0.660]</w:t>
            </w:r>
          </w:p>
        </w:tc>
      </w:tr>
      <w:tr w14:paraId="0D7D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88" w:type="dxa"/>
            <w:tcMar>
              <w:top w:w="65" w:type="dxa"/>
              <w:left w:w="55" w:type="dxa"/>
              <w:bottom w:w="65" w:type="dxa"/>
              <w:right w:w="55" w:type="dxa"/>
              <w:start w:w="68" w:type="dxa"/>
              <w:end w:w="68" w:type="dxa"/>
            </w:tcMar>
            <w:vAlign w:val="center"/>
          </w:tcPr>
          <w:p w14:paraId="60BD39BF">
            <w:pPr>
              <w:spacing w:before="0" w:after="0" w:line="240" w:lineRule="auto"/>
            </w:pPr>
            <w:r>
              <w:rPr>
                <w:rFonts w:ascii="Times New Roman" w:hAnsi="Times New Roman" w:eastAsia="Times New Roman" w:cs="Times New Roman"/>
                <w:b w:val="0"/>
                <w:sz w:val="15"/>
              </w:rPr>
              <w:t>M4 Qwen3-8B (P1/identity)</w:t>
            </w:r>
          </w:p>
        </w:tc>
        <w:tc>
          <w:tcPr>
            <w:tcW w:w="2088" w:type="dxa"/>
            <w:tcMar>
              <w:top w:w="65" w:type="dxa"/>
              <w:left w:w="55" w:type="dxa"/>
              <w:bottom w:w="65" w:type="dxa"/>
              <w:right w:w="55" w:type="dxa"/>
              <w:start w:w="68" w:type="dxa"/>
              <w:end w:w="68" w:type="dxa"/>
            </w:tcMar>
            <w:vAlign w:val="center"/>
          </w:tcPr>
          <w:p w14:paraId="5496B94D">
            <w:pPr>
              <w:spacing w:before="0" w:after="0" w:line="240" w:lineRule="auto"/>
            </w:pPr>
            <w:r>
              <w:rPr>
                <w:rFonts w:ascii="Times New Roman" w:hAnsi="Times New Roman" w:eastAsia="Times New Roman" w:cs="Times New Roman"/>
                <w:b w:val="0"/>
                <w:sz w:val="15"/>
              </w:rPr>
              <w:t>0.741 [0.708, 0.774]</w:t>
            </w:r>
          </w:p>
        </w:tc>
        <w:tc>
          <w:tcPr>
            <w:tcW w:w="2088" w:type="dxa"/>
            <w:tcMar>
              <w:top w:w="65" w:type="dxa"/>
              <w:left w:w="55" w:type="dxa"/>
              <w:bottom w:w="65" w:type="dxa"/>
              <w:right w:w="55" w:type="dxa"/>
              <w:start w:w="68" w:type="dxa"/>
              <w:end w:w="68" w:type="dxa"/>
            </w:tcMar>
            <w:vAlign w:val="center"/>
          </w:tcPr>
          <w:p w14:paraId="12912FF2">
            <w:pPr>
              <w:spacing w:before="0" w:after="0" w:line="240" w:lineRule="auto"/>
            </w:pPr>
            <w:r>
              <w:rPr>
                <w:rFonts w:ascii="Times New Roman" w:hAnsi="Times New Roman" w:eastAsia="Times New Roman" w:cs="Times New Roman"/>
                <w:b w:val="0"/>
                <w:sz w:val="15"/>
              </w:rPr>
              <w:t>0.609 [0.559, 0.658]</w:t>
            </w:r>
          </w:p>
        </w:tc>
        <w:tc>
          <w:tcPr>
            <w:tcW w:w="2088" w:type="dxa"/>
            <w:tcMar>
              <w:top w:w="65" w:type="dxa"/>
              <w:left w:w="55" w:type="dxa"/>
              <w:bottom w:w="65" w:type="dxa"/>
              <w:right w:w="55" w:type="dxa"/>
              <w:start w:w="68" w:type="dxa"/>
              <w:end w:w="68" w:type="dxa"/>
            </w:tcMar>
            <w:vAlign w:val="center"/>
          </w:tcPr>
          <w:p w14:paraId="3F20B94F">
            <w:pPr>
              <w:spacing w:before="0" w:after="0" w:line="240" w:lineRule="auto"/>
            </w:pPr>
            <w:r>
              <w:rPr>
                <w:rFonts w:ascii="Times New Roman" w:hAnsi="Times New Roman" w:eastAsia="Times New Roman" w:cs="Times New Roman"/>
                <w:b w:val="0"/>
                <w:sz w:val="15"/>
              </w:rPr>
              <w:t>0.530 [0.475, 0.580]</w:t>
            </w:r>
          </w:p>
        </w:tc>
        <w:tc>
          <w:tcPr>
            <w:tcW w:w="2592" w:type="dxa"/>
            <w:tcMar>
              <w:top w:w="65" w:type="dxa"/>
              <w:left w:w="55" w:type="dxa"/>
              <w:bottom w:w="65" w:type="dxa"/>
              <w:right w:w="55" w:type="dxa"/>
              <w:start w:w="68" w:type="dxa"/>
              <w:end w:w="68" w:type="dxa"/>
            </w:tcMar>
            <w:vAlign w:val="center"/>
          </w:tcPr>
          <w:p w14:paraId="5718D8C4">
            <w:pPr>
              <w:spacing w:before="0" w:after="0" w:line="240" w:lineRule="auto"/>
            </w:pPr>
            <w:r>
              <w:rPr>
                <w:rFonts w:ascii="Times New Roman" w:hAnsi="Times New Roman" w:eastAsia="Times New Roman" w:cs="Times New Roman"/>
                <w:b w:val="0"/>
                <w:sz w:val="15"/>
              </w:rPr>
              <w:t>F1 0.391 [0.351, 0.429]; QWK 0.401 [0.337, 0.469]</w:t>
            </w:r>
          </w:p>
        </w:tc>
      </w:tr>
    </w:tbl>
    <w:p w14:paraId="71AD7F8C">
      <w:pPr>
        <w:widowControl/>
      </w:pPr>
      <w:r>
        <w:t>Under the archived P1/identity M4 reference protocol, Qwen3-8B yields a higher macro-F1 than M3 on T1 (Δ = .086, 95% CI [.042, .132]) but lower values on T2 (Δ = −.168 [−.238, −.090]), T3 (Δ = −.261 [−.326, −.201]), and T4 (Δ = −.246 [−.304, −.185]). These paired differences describe an in-corpus supervised M3 protocol and a zero-shot Qwen3-8B-NF4 judge protocol; they do not isolate a model-family or architecture effect (Table 12).</w:t>
      </w:r>
    </w:p>
    <w:p w14:paraId="08D99C1E">
      <w:pPr>
        <w:keepNext/>
        <w:spacing w:before="100" w:after="40"/>
        <w:jc w:val="left"/>
      </w:pPr>
      <w:r>
        <w:t>Table 12. Paired macro-F1 contrasts among the implemented reference protocols.</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584"/>
        <w:gridCol w:w="3024"/>
        <w:gridCol w:w="3024"/>
      </w:tblGrid>
      <w:tr w14:paraId="6090A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584" w:type="dxa"/>
            <w:tcMar>
              <w:top w:w="65" w:type="dxa"/>
              <w:left w:w="55" w:type="dxa"/>
              <w:bottom w:w="65" w:type="dxa"/>
              <w:right w:w="55" w:type="dxa"/>
              <w:start w:w="68" w:type="dxa"/>
              <w:end w:w="68" w:type="dxa"/>
            </w:tcMar>
            <w:vAlign w:val="center"/>
            <w:shd w:val="clear" w:color="auto" w:fill="E8F0F8"/>
          </w:tcPr>
          <w:p w14:paraId="7AD53167">
            <w:pPr>
              <w:spacing w:before="0" w:after="0" w:line="240" w:lineRule="auto"/>
              <w:jc w:val="center"/>
            </w:pPr>
            <w:r>
              <w:rPr>
                <w:rFonts w:ascii="Times New Roman" w:hAnsi="Times New Roman" w:eastAsia="Times New Roman" w:cs="Times New Roman"/>
                <w:b/>
                <w:color w:val="1E364D"/>
                <w:sz w:val="16"/>
              </w:rPr>
              <w:t>Target</w:t>
            </w:r>
          </w:p>
        </w:tc>
        <w:tc>
          <w:tcPr>
            <w:tcW w:w="3024" w:type="dxa"/>
            <w:tcMar>
              <w:top w:w="65" w:type="dxa"/>
              <w:left w:w="55" w:type="dxa"/>
              <w:bottom w:w="65" w:type="dxa"/>
              <w:right w:w="55" w:type="dxa"/>
              <w:start w:w="68" w:type="dxa"/>
              <w:end w:w="68" w:type="dxa"/>
            </w:tcMar>
            <w:vAlign w:val="center"/>
            <w:shd w:val="clear" w:color="auto" w:fill="E8F0F8"/>
          </w:tcPr>
          <w:p w14:paraId="32C6D148">
            <w:pPr>
              <w:spacing w:before="0" w:after="0" w:line="240" w:lineRule="auto"/>
              <w:jc w:val="center"/>
            </w:pPr>
            <w:r>
              <w:rPr>
                <w:rFonts w:ascii="Times New Roman" w:hAnsi="Times New Roman" w:eastAsia="Times New Roman" w:cs="Times New Roman"/>
                <w:b/>
                <w:color w:val="1E364D"/>
                <w:sz w:val="16"/>
              </w:rPr>
              <w:t>M3 − M1</w:t>
            </w:r>
          </w:p>
        </w:tc>
        <w:tc>
          <w:tcPr>
            <w:tcW w:w="3024" w:type="dxa"/>
            <w:tcMar>
              <w:top w:w="65" w:type="dxa"/>
              <w:left w:w="55" w:type="dxa"/>
              <w:bottom w:w="65" w:type="dxa"/>
              <w:right w:w="55" w:type="dxa"/>
              <w:start w:w="68" w:type="dxa"/>
              <w:end w:w="68" w:type="dxa"/>
            </w:tcMar>
            <w:vAlign w:val="center"/>
            <w:shd w:val="clear" w:color="auto" w:fill="E8F0F8"/>
          </w:tcPr>
          <w:p w14:paraId="32EC9B6F">
            <w:pPr>
              <w:spacing w:before="0" w:after="0" w:line="240" w:lineRule="auto"/>
              <w:jc w:val="center"/>
            </w:pPr>
            <w:r>
              <w:rPr>
                <w:rFonts w:ascii="Times New Roman" w:hAnsi="Times New Roman" w:eastAsia="Times New Roman" w:cs="Times New Roman"/>
                <w:b/>
                <w:color w:val="1E364D"/>
                <w:sz w:val="16"/>
              </w:rPr>
              <w:t>M4 − M3</w:t>
            </w:r>
          </w:p>
        </w:tc>
      </w:tr>
      <w:tr w14:paraId="48BA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65" w:type="dxa"/>
              <w:left w:w="55" w:type="dxa"/>
              <w:bottom w:w="65" w:type="dxa"/>
              <w:right w:w="55" w:type="dxa"/>
              <w:start w:w="68" w:type="dxa"/>
              <w:end w:w="68" w:type="dxa"/>
            </w:tcMar>
            <w:vAlign w:val="center"/>
          </w:tcPr>
          <w:p w14:paraId="56FD1F3A">
            <w:pPr>
              <w:spacing w:before="0" w:after="0" w:line="240" w:lineRule="auto"/>
            </w:pPr>
            <w:r>
              <w:rPr>
                <w:rFonts w:ascii="Times New Roman" w:hAnsi="Times New Roman" w:eastAsia="Times New Roman" w:cs="Times New Roman"/>
                <w:b w:val="0"/>
                <w:sz w:val="16"/>
              </w:rPr>
              <w:t>T1</w:t>
            </w:r>
          </w:p>
        </w:tc>
        <w:tc>
          <w:tcPr>
            <w:tcW w:w="3024" w:type="dxa"/>
            <w:tcMar>
              <w:top w:w="65" w:type="dxa"/>
              <w:left w:w="55" w:type="dxa"/>
              <w:bottom w:w="65" w:type="dxa"/>
              <w:right w:w="55" w:type="dxa"/>
              <w:start w:w="68" w:type="dxa"/>
              <w:end w:w="68" w:type="dxa"/>
            </w:tcMar>
            <w:vAlign w:val="center"/>
          </w:tcPr>
          <w:p w14:paraId="7DB6FD17">
            <w:pPr>
              <w:spacing w:before="0" w:after="0" w:line="240" w:lineRule="auto"/>
            </w:pPr>
            <w:r>
              <w:rPr>
                <w:rFonts w:ascii="Times New Roman" w:hAnsi="Times New Roman" w:eastAsia="Times New Roman" w:cs="Times New Roman"/>
                <w:b w:val="0"/>
                <w:sz w:val="16"/>
              </w:rPr>
              <w:t>+0.041 [-0.013, 0.097]</w:t>
            </w:r>
          </w:p>
        </w:tc>
        <w:tc>
          <w:tcPr>
            <w:tcW w:w="3024" w:type="dxa"/>
            <w:tcMar>
              <w:top w:w="65" w:type="dxa"/>
              <w:left w:w="55" w:type="dxa"/>
              <w:bottom w:w="65" w:type="dxa"/>
              <w:right w:w="55" w:type="dxa"/>
              <w:start w:w="68" w:type="dxa"/>
              <w:end w:w="68" w:type="dxa"/>
            </w:tcMar>
            <w:vAlign w:val="center"/>
          </w:tcPr>
          <w:p w14:paraId="0CC24343">
            <w:pPr>
              <w:spacing w:before="0" w:after="0" w:line="240" w:lineRule="auto"/>
            </w:pPr>
            <w:r>
              <w:rPr>
                <w:rFonts w:ascii="Times New Roman" w:hAnsi="Times New Roman" w:eastAsia="Times New Roman" w:cs="Times New Roman"/>
                <w:b w:val="0"/>
                <w:sz w:val="16"/>
              </w:rPr>
              <w:t>+0.086 [0.042, 0.132]</w:t>
            </w:r>
          </w:p>
        </w:tc>
      </w:tr>
      <w:tr w14:paraId="7782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65" w:type="dxa"/>
              <w:left w:w="55" w:type="dxa"/>
              <w:bottom w:w="65" w:type="dxa"/>
              <w:right w:w="55" w:type="dxa"/>
              <w:start w:w="68" w:type="dxa"/>
              <w:end w:w="68" w:type="dxa"/>
            </w:tcMar>
            <w:vAlign w:val="center"/>
          </w:tcPr>
          <w:p w14:paraId="0B6D34CB">
            <w:pPr>
              <w:spacing w:before="0" w:after="0" w:line="240" w:lineRule="auto"/>
            </w:pPr>
            <w:r>
              <w:rPr>
                <w:rFonts w:ascii="Times New Roman" w:hAnsi="Times New Roman" w:eastAsia="Times New Roman" w:cs="Times New Roman"/>
                <w:b w:val="0"/>
                <w:sz w:val="16"/>
              </w:rPr>
              <w:t>T2</w:t>
            </w:r>
          </w:p>
        </w:tc>
        <w:tc>
          <w:tcPr>
            <w:tcW w:w="3024" w:type="dxa"/>
            <w:tcMar>
              <w:top w:w="65" w:type="dxa"/>
              <w:left w:w="55" w:type="dxa"/>
              <w:bottom w:w="65" w:type="dxa"/>
              <w:right w:w="55" w:type="dxa"/>
              <w:start w:w="68" w:type="dxa"/>
              <w:end w:w="68" w:type="dxa"/>
            </w:tcMar>
            <w:vAlign w:val="center"/>
          </w:tcPr>
          <w:p w14:paraId="13332479">
            <w:pPr>
              <w:spacing w:before="0" w:after="0" w:line="240" w:lineRule="auto"/>
            </w:pPr>
            <w:r>
              <w:rPr>
                <w:rFonts w:ascii="Times New Roman" w:hAnsi="Times New Roman" w:eastAsia="Times New Roman" w:cs="Times New Roman"/>
                <w:b w:val="0"/>
                <w:sz w:val="16"/>
              </w:rPr>
              <w:t>+0.108 [0.060, 0.156]</w:t>
            </w:r>
          </w:p>
        </w:tc>
        <w:tc>
          <w:tcPr>
            <w:tcW w:w="3024" w:type="dxa"/>
            <w:tcMar>
              <w:top w:w="65" w:type="dxa"/>
              <w:left w:w="55" w:type="dxa"/>
              <w:bottom w:w="65" w:type="dxa"/>
              <w:right w:w="55" w:type="dxa"/>
              <w:start w:w="68" w:type="dxa"/>
              <w:end w:w="68" w:type="dxa"/>
            </w:tcMar>
            <w:vAlign w:val="center"/>
          </w:tcPr>
          <w:p w14:paraId="0F68CE95">
            <w:pPr>
              <w:spacing w:before="0" w:after="0" w:line="240" w:lineRule="auto"/>
            </w:pPr>
            <w:r>
              <w:rPr>
                <w:rFonts w:ascii="Times New Roman" w:hAnsi="Times New Roman" w:eastAsia="Times New Roman" w:cs="Times New Roman"/>
                <w:b w:val="0"/>
                <w:sz w:val="16"/>
              </w:rPr>
              <w:t>-0.168 [-0.238, -0.090]</w:t>
            </w:r>
          </w:p>
        </w:tc>
      </w:tr>
      <w:tr w14:paraId="0F4D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65" w:type="dxa"/>
              <w:left w:w="55" w:type="dxa"/>
              <w:bottom w:w="65" w:type="dxa"/>
              <w:right w:w="55" w:type="dxa"/>
              <w:start w:w="68" w:type="dxa"/>
              <w:end w:w="68" w:type="dxa"/>
            </w:tcMar>
            <w:vAlign w:val="center"/>
          </w:tcPr>
          <w:p w14:paraId="0BA6C334">
            <w:pPr>
              <w:spacing w:before="0" w:after="0" w:line="240" w:lineRule="auto"/>
            </w:pPr>
            <w:r>
              <w:rPr>
                <w:rFonts w:ascii="Times New Roman" w:hAnsi="Times New Roman" w:eastAsia="Times New Roman" w:cs="Times New Roman"/>
                <w:b w:val="0"/>
                <w:sz w:val="16"/>
              </w:rPr>
              <w:t>T3</w:t>
            </w:r>
          </w:p>
        </w:tc>
        <w:tc>
          <w:tcPr>
            <w:tcW w:w="3024" w:type="dxa"/>
            <w:tcMar>
              <w:top w:w="65" w:type="dxa"/>
              <w:left w:w="55" w:type="dxa"/>
              <w:bottom w:w="65" w:type="dxa"/>
              <w:right w:w="55" w:type="dxa"/>
              <w:start w:w="68" w:type="dxa"/>
              <w:end w:w="68" w:type="dxa"/>
            </w:tcMar>
            <w:vAlign w:val="center"/>
          </w:tcPr>
          <w:p w14:paraId="3F34DE16">
            <w:pPr>
              <w:spacing w:before="0" w:after="0" w:line="240" w:lineRule="auto"/>
            </w:pPr>
            <w:r>
              <w:rPr>
                <w:rFonts w:ascii="Times New Roman" w:hAnsi="Times New Roman" w:eastAsia="Times New Roman" w:cs="Times New Roman"/>
                <w:b w:val="0"/>
                <w:sz w:val="16"/>
              </w:rPr>
              <w:t>+0.069 [0.018, 0.118]</w:t>
            </w:r>
          </w:p>
        </w:tc>
        <w:tc>
          <w:tcPr>
            <w:tcW w:w="3024" w:type="dxa"/>
            <w:tcMar>
              <w:top w:w="65" w:type="dxa"/>
              <w:left w:w="55" w:type="dxa"/>
              <w:bottom w:w="65" w:type="dxa"/>
              <w:right w:w="55" w:type="dxa"/>
              <w:start w:w="68" w:type="dxa"/>
              <w:end w:w="68" w:type="dxa"/>
            </w:tcMar>
            <w:vAlign w:val="center"/>
          </w:tcPr>
          <w:p w14:paraId="74E0C6B1">
            <w:pPr>
              <w:spacing w:before="0" w:after="0" w:line="240" w:lineRule="auto"/>
            </w:pPr>
            <w:r>
              <w:rPr>
                <w:rFonts w:ascii="Times New Roman" w:hAnsi="Times New Roman" w:eastAsia="Times New Roman" w:cs="Times New Roman"/>
                <w:b w:val="0"/>
                <w:sz w:val="16"/>
              </w:rPr>
              <w:t>-0.261 [-0.326, -0.201]</w:t>
            </w:r>
          </w:p>
        </w:tc>
      </w:tr>
      <w:tr w14:paraId="0783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65" w:type="dxa"/>
              <w:left w:w="55" w:type="dxa"/>
              <w:bottom w:w="65" w:type="dxa"/>
              <w:right w:w="55" w:type="dxa"/>
              <w:start w:w="68" w:type="dxa"/>
              <w:end w:w="68" w:type="dxa"/>
            </w:tcMar>
            <w:vAlign w:val="center"/>
          </w:tcPr>
          <w:p w14:paraId="34663AE5">
            <w:pPr>
              <w:spacing w:before="0" w:after="0" w:line="240" w:lineRule="auto"/>
            </w:pPr>
            <w:r>
              <w:rPr>
                <w:rFonts w:ascii="Times New Roman" w:hAnsi="Times New Roman" w:eastAsia="Times New Roman" w:cs="Times New Roman"/>
                <w:b w:val="0"/>
                <w:sz w:val="16"/>
              </w:rPr>
              <w:t>T4</w:t>
            </w:r>
          </w:p>
        </w:tc>
        <w:tc>
          <w:tcPr>
            <w:tcW w:w="3024" w:type="dxa"/>
            <w:tcMar>
              <w:top w:w="65" w:type="dxa"/>
              <w:left w:w="55" w:type="dxa"/>
              <w:bottom w:w="65" w:type="dxa"/>
              <w:right w:w="55" w:type="dxa"/>
              <w:start w:w="68" w:type="dxa"/>
              <w:end w:w="68" w:type="dxa"/>
            </w:tcMar>
            <w:vAlign w:val="center"/>
          </w:tcPr>
          <w:p w14:paraId="585F39AE">
            <w:pPr>
              <w:spacing w:before="0" w:after="0" w:line="240" w:lineRule="auto"/>
            </w:pPr>
            <w:r>
              <w:rPr>
                <w:rFonts w:ascii="Times New Roman" w:hAnsi="Times New Roman" w:eastAsia="Times New Roman" w:cs="Times New Roman"/>
                <w:b w:val="0"/>
                <w:sz w:val="16"/>
              </w:rPr>
              <w:t>+0.070 [0.009, 0.130]</w:t>
            </w:r>
          </w:p>
        </w:tc>
        <w:tc>
          <w:tcPr>
            <w:tcW w:w="3024" w:type="dxa"/>
            <w:tcMar>
              <w:top w:w="65" w:type="dxa"/>
              <w:left w:w="55" w:type="dxa"/>
              <w:bottom w:w="65" w:type="dxa"/>
              <w:right w:w="55" w:type="dxa"/>
              <w:start w:w="68" w:type="dxa"/>
              <w:end w:w="68" w:type="dxa"/>
            </w:tcMar>
            <w:vAlign w:val="center"/>
          </w:tcPr>
          <w:p w14:paraId="17B7FE97">
            <w:pPr>
              <w:spacing w:before="0" w:after="0" w:line="240" w:lineRule="auto"/>
            </w:pPr>
            <w:r>
              <w:rPr>
                <w:rFonts w:ascii="Times New Roman" w:hAnsi="Times New Roman" w:eastAsia="Times New Roman" w:cs="Times New Roman"/>
                <w:b w:val="0"/>
                <w:sz w:val="16"/>
              </w:rPr>
              <w:t>-0.246 [-0.304, -0.185]</w:t>
            </w:r>
          </w:p>
        </w:tc>
      </w:tr>
    </w:tbl>
    <w:p w14:paraId="5282CB5C">
      <w:pPr>
        <w:spacing w:before="120" w:after="40"/>
        <w:jc w:val="center"/>
      </w:pPr>
    </w:p>
    <w:p w14:paraId="6D4D5328">
      <w:pPr>
        <w:pStyle w:val="3"/>
        <w:keepNext/>
        <w:keepLines/>
      </w:pPr>
      <w:r>
        <w:rPr>
          <w:color w:val="000000"/>
        </w:rPr>
        <w:t>6.2 RQ4: Evidence-condition performance is evaluator- and target-dependent</w:t>
      </w:r>
    </w:p>
    <w:p w14:paraId="7DABAA2B">
      <w:pPr>
        <w:widowControl/>
      </w:pPr>
      <w:r>
        <w:t>The reported primary contrasts in Eq. (5) show non-uniform evidence-condition differences (Table 13). For M3, Condition B exceeds Condition A on T3 macro-F1 (.072 [.021, .125]); the separately trained C model is lower than B on T1 (−.037 [−.071, −.001]) and T4 (−.041 [−.073, −.013]), while T2–T3 B-to-C intervals include zero. Because B and C are independently trained, these are not pure causal source effects. A later post-hoc source-bearing restriction removes cases where B=C textually: for fixed-weight M4, Δ(C−B) is .104 [.068, .142] for T1, .179 [.125, .233] for T2, .088 [.040, .137] for T3, and .085 [.049, .121] for T4. The corresponding M3 source-bearing differences are −.065 [−.107, −.021], .009 [−.035, .056], −.025 [−.069, .023], and −.074 [−.121, −.030], and remain descriptive because the B/C models were trained separately.</w:t>
      </w:r>
    </w:p>
    <w:p w14:paraId="500627BB">
      <w:pPr>
        <w:keepNext/>
        <w:widowControl/>
        <w:spacing w:before="100" w:after="40"/>
        <w:jc w:val="left"/>
      </w:pPr>
      <w:r>
        <w:t>Table 13. Evidence-condition performance for M3 and the archived P1/identity M4 reference protocol. A=output only; B=prompt+output; C=prompt+authorised source/context+output.</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008"/>
        <w:gridCol w:w="864"/>
        <w:gridCol w:w="1008"/>
        <w:gridCol w:w="1008"/>
        <w:gridCol w:w="1008"/>
        <w:gridCol w:w="2016"/>
        <w:gridCol w:w="2016"/>
      </w:tblGrid>
      <w:tr w14:paraId="0876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008" w:type="dxa"/>
            <w:tcMar>
              <w:top w:w="65" w:type="dxa"/>
              <w:left w:w="55" w:type="dxa"/>
              <w:bottom w:w="65" w:type="dxa"/>
              <w:right w:w="55" w:type="dxa"/>
              <w:start w:w="68" w:type="dxa"/>
              <w:end w:w="68" w:type="dxa"/>
            </w:tcMar>
            <w:vAlign w:val="center"/>
            <w:shd w:val="clear" w:color="auto" w:fill="E8F0F8"/>
          </w:tcPr>
          <w:p w14:paraId="5CD424A8">
            <w:pPr>
              <w:spacing w:before="0" w:after="0" w:line="240" w:lineRule="auto"/>
              <w:jc w:val="center"/>
            </w:pPr>
            <w:r>
              <w:rPr>
                <w:rFonts w:ascii="Times New Roman" w:hAnsi="Times New Roman" w:eastAsia="Times New Roman" w:cs="Times New Roman"/>
                <w:b/>
                <w:color w:val="1E364D"/>
                <w:sz w:val="14"/>
              </w:rPr>
              <w:t>Model</w:t>
            </w:r>
          </w:p>
        </w:tc>
        <w:tc>
          <w:tcPr>
            <w:tcW w:w="864" w:type="dxa"/>
            <w:tcMar>
              <w:top w:w="65" w:type="dxa"/>
              <w:left w:w="55" w:type="dxa"/>
              <w:bottom w:w="65" w:type="dxa"/>
              <w:right w:w="55" w:type="dxa"/>
              <w:start w:w="68" w:type="dxa"/>
              <w:end w:w="68" w:type="dxa"/>
            </w:tcMar>
            <w:vAlign w:val="center"/>
            <w:shd w:val="clear" w:color="auto" w:fill="E8F0F8"/>
          </w:tcPr>
          <w:p w14:paraId="3A12F9CE">
            <w:pPr>
              <w:spacing w:before="0" w:after="0" w:line="240" w:lineRule="auto"/>
              <w:jc w:val="center"/>
            </w:pPr>
            <w:r>
              <w:rPr>
                <w:rFonts w:ascii="Times New Roman" w:hAnsi="Times New Roman" w:eastAsia="Times New Roman" w:cs="Times New Roman"/>
                <w:b/>
                <w:color w:val="1E364D"/>
                <w:sz w:val="14"/>
              </w:rPr>
              <w:t>Target</w:t>
            </w:r>
          </w:p>
        </w:tc>
        <w:tc>
          <w:tcPr>
            <w:tcW w:w="1008" w:type="dxa"/>
            <w:tcMar>
              <w:top w:w="65" w:type="dxa"/>
              <w:left w:w="55" w:type="dxa"/>
              <w:bottom w:w="65" w:type="dxa"/>
              <w:right w:w="55" w:type="dxa"/>
              <w:start w:w="68" w:type="dxa"/>
              <w:end w:w="68" w:type="dxa"/>
            </w:tcMar>
            <w:vAlign w:val="center"/>
            <w:shd w:val="clear" w:color="auto" w:fill="E8F0F8"/>
          </w:tcPr>
          <w:p w14:paraId="29CA1DF0">
            <w:pPr>
              <w:spacing w:before="0" w:after="0" w:line="240" w:lineRule="auto"/>
              <w:jc w:val="center"/>
            </w:pPr>
            <w:r>
              <w:rPr>
                <w:rFonts w:ascii="Times New Roman" w:hAnsi="Times New Roman" w:eastAsia="Times New Roman" w:cs="Times New Roman"/>
                <w:b/>
                <w:color w:val="1E364D"/>
                <w:sz w:val="14"/>
              </w:rPr>
              <w:t>A</w:t>
            </w:r>
          </w:p>
        </w:tc>
        <w:tc>
          <w:tcPr>
            <w:tcW w:w="1008" w:type="dxa"/>
            <w:tcMar>
              <w:top w:w="65" w:type="dxa"/>
              <w:left w:w="55" w:type="dxa"/>
              <w:bottom w:w="65" w:type="dxa"/>
              <w:right w:w="55" w:type="dxa"/>
              <w:start w:w="68" w:type="dxa"/>
              <w:end w:w="68" w:type="dxa"/>
            </w:tcMar>
            <w:vAlign w:val="center"/>
            <w:shd w:val="clear" w:color="auto" w:fill="E8F0F8"/>
          </w:tcPr>
          <w:p w14:paraId="220145E6">
            <w:pPr>
              <w:spacing w:before="0" w:after="0" w:line="240" w:lineRule="auto"/>
              <w:jc w:val="center"/>
            </w:pPr>
            <w:r>
              <w:rPr>
                <w:rFonts w:ascii="Times New Roman" w:hAnsi="Times New Roman" w:eastAsia="Times New Roman" w:cs="Times New Roman"/>
                <w:b/>
                <w:color w:val="1E364D"/>
                <w:sz w:val="14"/>
              </w:rPr>
              <w:t>B</w:t>
            </w:r>
          </w:p>
        </w:tc>
        <w:tc>
          <w:tcPr>
            <w:tcW w:w="1008" w:type="dxa"/>
            <w:tcMar>
              <w:top w:w="65" w:type="dxa"/>
              <w:left w:w="55" w:type="dxa"/>
              <w:bottom w:w="65" w:type="dxa"/>
              <w:right w:w="55" w:type="dxa"/>
              <w:start w:w="68" w:type="dxa"/>
              <w:end w:w="68" w:type="dxa"/>
            </w:tcMar>
            <w:vAlign w:val="center"/>
            <w:shd w:val="clear" w:color="auto" w:fill="E8F0F8"/>
          </w:tcPr>
          <w:p w14:paraId="19CBF8FC">
            <w:pPr>
              <w:spacing w:before="0" w:after="0" w:line="240" w:lineRule="auto"/>
              <w:jc w:val="center"/>
            </w:pPr>
            <w:r>
              <w:rPr>
                <w:rFonts w:ascii="Times New Roman" w:hAnsi="Times New Roman" w:eastAsia="Times New Roman" w:cs="Times New Roman"/>
                <w:b/>
                <w:color w:val="1E364D"/>
                <w:sz w:val="14"/>
              </w:rPr>
              <w:t>C</w:t>
            </w:r>
          </w:p>
        </w:tc>
        <w:tc>
          <w:tcPr>
            <w:tcW w:w="2016" w:type="dxa"/>
            <w:tcMar>
              <w:top w:w="65" w:type="dxa"/>
              <w:left w:w="55" w:type="dxa"/>
              <w:bottom w:w="65" w:type="dxa"/>
              <w:right w:w="55" w:type="dxa"/>
              <w:start w:w="68" w:type="dxa"/>
              <w:end w:w="68" w:type="dxa"/>
            </w:tcMar>
            <w:vAlign w:val="center"/>
            <w:shd w:val="clear" w:color="auto" w:fill="E8F0F8"/>
          </w:tcPr>
          <w:p w14:paraId="1EC02ABA">
            <w:pPr>
              <w:spacing w:before="0" w:after="0" w:line="240" w:lineRule="auto"/>
              <w:jc w:val="center"/>
            </w:pPr>
            <w:r>
              <w:rPr>
                <w:rFonts w:ascii="Times New Roman" w:hAnsi="Times New Roman" w:eastAsia="Times New Roman" w:cs="Times New Roman"/>
                <w:b/>
                <w:color w:val="1E364D"/>
                <w:sz w:val="14"/>
              </w:rPr>
              <w:t>Δ(B−A)</w:t>
            </w:r>
          </w:p>
        </w:tc>
        <w:tc>
          <w:tcPr>
            <w:tcW w:w="2016" w:type="dxa"/>
            <w:tcMar>
              <w:top w:w="65" w:type="dxa"/>
              <w:left w:w="55" w:type="dxa"/>
              <w:bottom w:w="65" w:type="dxa"/>
              <w:right w:w="55" w:type="dxa"/>
              <w:start w:w="68" w:type="dxa"/>
              <w:end w:w="68" w:type="dxa"/>
            </w:tcMar>
            <w:vAlign w:val="center"/>
            <w:shd w:val="clear" w:color="auto" w:fill="E8F0F8"/>
          </w:tcPr>
          <w:p w14:paraId="2823D712">
            <w:pPr>
              <w:spacing w:before="0" w:after="0" w:line="240" w:lineRule="auto"/>
              <w:jc w:val="center"/>
            </w:pPr>
            <w:r>
              <w:rPr>
                <w:rFonts w:ascii="Times New Roman" w:hAnsi="Times New Roman" w:eastAsia="Times New Roman" w:cs="Times New Roman"/>
                <w:b/>
                <w:color w:val="1E364D"/>
                <w:sz w:val="14"/>
              </w:rPr>
              <w:t>Δ(C−B)</w:t>
            </w:r>
          </w:p>
        </w:tc>
      </w:tr>
      <w:tr w14:paraId="17C4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6504B209">
            <w:pPr>
              <w:spacing w:before="0" w:after="0" w:line="240" w:lineRule="auto"/>
            </w:pPr>
            <w:r>
              <w:rPr>
                <w:rFonts w:ascii="Times New Roman" w:hAnsi="Times New Roman" w:eastAsia="Times New Roman" w:cs="Times New Roman"/>
                <w:b w:val="0"/>
                <w:sz w:val="14"/>
              </w:rPr>
              <w:t>M3</w:t>
            </w:r>
          </w:p>
        </w:tc>
        <w:tc>
          <w:tcPr>
            <w:tcW w:w="864" w:type="dxa"/>
            <w:tcMar>
              <w:top w:w="65" w:type="dxa"/>
              <w:left w:w="55" w:type="dxa"/>
              <w:bottom w:w="65" w:type="dxa"/>
              <w:right w:w="55" w:type="dxa"/>
              <w:start w:w="68" w:type="dxa"/>
              <w:end w:w="68" w:type="dxa"/>
            </w:tcMar>
            <w:vAlign w:val="center"/>
          </w:tcPr>
          <w:p w14:paraId="382123BA">
            <w:pPr>
              <w:spacing w:before="0" w:after="0" w:line="240" w:lineRule="auto"/>
            </w:pPr>
            <w:r>
              <w:rPr>
                <w:rFonts w:ascii="Times New Roman" w:hAnsi="Times New Roman" w:eastAsia="Times New Roman" w:cs="Times New Roman"/>
                <w:b w:val="0"/>
                <w:sz w:val="14"/>
              </w:rPr>
              <w:t>T1</w:t>
            </w:r>
          </w:p>
        </w:tc>
        <w:tc>
          <w:tcPr>
            <w:tcW w:w="1008" w:type="dxa"/>
            <w:tcMar>
              <w:top w:w="65" w:type="dxa"/>
              <w:left w:w="55" w:type="dxa"/>
              <w:bottom w:w="65" w:type="dxa"/>
              <w:right w:w="55" w:type="dxa"/>
              <w:start w:w="68" w:type="dxa"/>
              <w:end w:w="68" w:type="dxa"/>
            </w:tcMar>
            <w:vAlign w:val="center"/>
          </w:tcPr>
          <w:p w14:paraId="537279F6">
            <w:pPr>
              <w:spacing w:before="0" w:after="0" w:line="240" w:lineRule="auto"/>
            </w:pPr>
            <w:r>
              <w:rPr>
                <w:rFonts w:ascii="Times New Roman" w:hAnsi="Times New Roman" w:eastAsia="Times New Roman" w:cs="Times New Roman"/>
                <w:b w:val="0"/>
                <w:sz w:val="14"/>
              </w:rPr>
              <w:t>0.692</w:t>
            </w:r>
          </w:p>
        </w:tc>
        <w:tc>
          <w:tcPr>
            <w:tcW w:w="1008" w:type="dxa"/>
            <w:tcMar>
              <w:top w:w="65" w:type="dxa"/>
              <w:left w:w="55" w:type="dxa"/>
              <w:bottom w:w="65" w:type="dxa"/>
              <w:right w:w="55" w:type="dxa"/>
              <w:start w:w="68" w:type="dxa"/>
              <w:end w:w="68" w:type="dxa"/>
            </w:tcMar>
            <w:vAlign w:val="center"/>
          </w:tcPr>
          <w:p w14:paraId="78891539">
            <w:pPr>
              <w:spacing w:before="0" w:after="0" w:line="240" w:lineRule="auto"/>
            </w:pPr>
            <w:r>
              <w:rPr>
                <w:rFonts w:ascii="Times New Roman" w:hAnsi="Times New Roman" w:eastAsia="Times New Roman" w:cs="Times New Roman"/>
                <w:b w:val="0"/>
                <w:sz w:val="14"/>
              </w:rPr>
              <w:t>0.692</w:t>
            </w:r>
          </w:p>
        </w:tc>
        <w:tc>
          <w:tcPr>
            <w:tcW w:w="1008" w:type="dxa"/>
            <w:tcMar>
              <w:top w:w="65" w:type="dxa"/>
              <w:left w:w="55" w:type="dxa"/>
              <w:bottom w:w="65" w:type="dxa"/>
              <w:right w:w="55" w:type="dxa"/>
              <w:start w:w="68" w:type="dxa"/>
              <w:end w:w="68" w:type="dxa"/>
            </w:tcMar>
            <w:vAlign w:val="center"/>
          </w:tcPr>
          <w:p w14:paraId="6AFFC6ED">
            <w:pPr>
              <w:spacing w:before="0" w:after="0" w:line="240" w:lineRule="auto"/>
            </w:pPr>
            <w:r>
              <w:rPr>
                <w:rFonts w:ascii="Times New Roman" w:hAnsi="Times New Roman" w:eastAsia="Times New Roman" w:cs="Times New Roman"/>
                <w:b w:val="0"/>
                <w:sz w:val="14"/>
              </w:rPr>
              <w:t>0.655</w:t>
            </w:r>
          </w:p>
        </w:tc>
        <w:tc>
          <w:tcPr>
            <w:tcW w:w="2016" w:type="dxa"/>
            <w:tcMar>
              <w:top w:w="65" w:type="dxa"/>
              <w:left w:w="55" w:type="dxa"/>
              <w:bottom w:w="65" w:type="dxa"/>
              <w:right w:w="55" w:type="dxa"/>
              <w:start w:w="68" w:type="dxa"/>
              <w:end w:w="68" w:type="dxa"/>
            </w:tcMar>
            <w:vAlign w:val="center"/>
          </w:tcPr>
          <w:p w14:paraId="6AB29812">
            <w:pPr>
              <w:spacing w:before="0" w:after="0" w:line="240" w:lineRule="auto"/>
            </w:pPr>
            <w:r>
              <w:rPr>
                <w:rFonts w:ascii="Times New Roman" w:hAnsi="Times New Roman" w:eastAsia="Times New Roman" w:cs="Times New Roman"/>
                <w:b w:val="0"/>
                <w:sz w:val="14"/>
              </w:rPr>
              <w:t>+0.000 [-0.041, 0.040]</w:t>
            </w:r>
          </w:p>
        </w:tc>
        <w:tc>
          <w:tcPr>
            <w:tcW w:w="2016" w:type="dxa"/>
            <w:tcMar>
              <w:top w:w="65" w:type="dxa"/>
              <w:left w:w="55" w:type="dxa"/>
              <w:bottom w:w="65" w:type="dxa"/>
              <w:right w:w="55" w:type="dxa"/>
              <w:start w:w="68" w:type="dxa"/>
              <w:end w:w="68" w:type="dxa"/>
            </w:tcMar>
            <w:vAlign w:val="center"/>
          </w:tcPr>
          <w:p w14:paraId="0CE0EDA3">
            <w:pPr>
              <w:spacing w:before="0" w:after="0" w:line="240" w:lineRule="auto"/>
            </w:pPr>
            <w:r>
              <w:rPr>
                <w:rFonts w:ascii="Times New Roman" w:hAnsi="Times New Roman" w:eastAsia="Times New Roman" w:cs="Times New Roman"/>
                <w:b w:val="0"/>
                <w:sz w:val="14"/>
              </w:rPr>
              <w:t>-0.037 [-0.071, -0.001]</w:t>
            </w:r>
          </w:p>
        </w:tc>
      </w:tr>
      <w:tr w14:paraId="5E65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31674EB0">
            <w:pPr>
              <w:spacing w:before="0" w:after="0" w:line="240" w:lineRule="auto"/>
            </w:pPr>
            <w:r>
              <w:rPr>
                <w:rFonts w:ascii="Times New Roman" w:hAnsi="Times New Roman" w:eastAsia="Times New Roman" w:cs="Times New Roman"/>
                <w:b w:val="0"/>
                <w:sz w:val="14"/>
              </w:rPr>
              <w:t>M3</w:t>
            </w:r>
          </w:p>
        </w:tc>
        <w:tc>
          <w:tcPr>
            <w:tcW w:w="864" w:type="dxa"/>
            <w:tcMar>
              <w:top w:w="65" w:type="dxa"/>
              <w:left w:w="55" w:type="dxa"/>
              <w:bottom w:w="65" w:type="dxa"/>
              <w:right w:w="55" w:type="dxa"/>
              <w:start w:w="68" w:type="dxa"/>
              <w:end w:w="68" w:type="dxa"/>
            </w:tcMar>
            <w:vAlign w:val="center"/>
          </w:tcPr>
          <w:p w14:paraId="0E091733">
            <w:pPr>
              <w:spacing w:before="0" w:after="0" w:line="240" w:lineRule="auto"/>
            </w:pPr>
            <w:r>
              <w:rPr>
                <w:rFonts w:ascii="Times New Roman" w:hAnsi="Times New Roman" w:eastAsia="Times New Roman" w:cs="Times New Roman"/>
                <w:b w:val="0"/>
                <w:sz w:val="14"/>
              </w:rPr>
              <w:t>T2</w:t>
            </w:r>
          </w:p>
        </w:tc>
        <w:tc>
          <w:tcPr>
            <w:tcW w:w="1008" w:type="dxa"/>
            <w:tcMar>
              <w:top w:w="65" w:type="dxa"/>
              <w:left w:w="55" w:type="dxa"/>
              <w:bottom w:w="65" w:type="dxa"/>
              <w:right w:w="55" w:type="dxa"/>
              <w:start w:w="68" w:type="dxa"/>
              <w:end w:w="68" w:type="dxa"/>
            </w:tcMar>
            <w:vAlign w:val="center"/>
          </w:tcPr>
          <w:p w14:paraId="3981F544">
            <w:pPr>
              <w:spacing w:before="0" w:after="0" w:line="240" w:lineRule="auto"/>
            </w:pPr>
            <w:r>
              <w:rPr>
                <w:rFonts w:ascii="Times New Roman" w:hAnsi="Times New Roman" w:eastAsia="Times New Roman" w:cs="Times New Roman"/>
                <w:b w:val="0"/>
                <w:sz w:val="14"/>
              </w:rPr>
              <w:t>0.728</w:t>
            </w:r>
          </w:p>
        </w:tc>
        <w:tc>
          <w:tcPr>
            <w:tcW w:w="1008" w:type="dxa"/>
            <w:tcMar>
              <w:top w:w="65" w:type="dxa"/>
              <w:left w:w="55" w:type="dxa"/>
              <w:bottom w:w="65" w:type="dxa"/>
              <w:right w:w="55" w:type="dxa"/>
              <w:start w:w="68" w:type="dxa"/>
              <w:end w:w="68" w:type="dxa"/>
            </w:tcMar>
            <w:vAlign w:val="center"/>
          </w:tcPr>
          <w:p w14:paraId="6F29A601">
            <w:pPr>
              <w:spacing w:before="0" w:after="0" w:line="240" w:lineRule="auto"/>
            </w:pPr>
            <w:r>
              <w:rPr>
                <w:rFonts w:ascii="Times New Roman" w:hAnsi="Times New Roman" w:eastAsia="Times New Roman" w:cs="Times New Roman"/>
                <w:b w:val="0"/>
                <w:sz w:val="14"/>
              </w:rPr>
              <w:t>0.766</w:t>
            </w:r>
          </w:p>
        </w:tc>
        <w:tc>
          <w:tcPr>
            <w:tcW w:w="1008" w:type="dxa"/>
            <w:tcMar>
              <w:top w:w="65" w:type="dxa"/>
              <w:left w:w="55" w:type="dxa"/>
              <w:bottom w:w="65" w:type="dxa"/>
              <w:right w:w="55" w:type="dxa"/>
              <w:start w:w="68" w:type="dxa"/>
              <w:end w:w="68" w:type="dxa"/>
            </w:tcMar>
            <w:vAlign w:val="center"/>
          </w:tcPr>
          <w:p w14:paraId="0D4F2A39">
            <w:pPr>
              <w:spacing w:before="0" w:after="0" w:line="240" w:lineRule="auto"/>
            </w:pPr>
            <w:r>
              <w:rPr>
                <w:rFonts w:ascii="Times New Roman" w:hAnsi="Times New Roman" w:eastAsia="Times New Roman" w:cs="Times New Roman"/>
                <w:b w:val="0"/>
                <w:sz w:val="14"/>
              </w:rPr>
              <w:t>0.777</w:t>
            </w:r>
          </w:p>
        </w:tc>
        <w:tc>
          <w:tcPr>
            <w:tcW w:w="2016" w:type="dxa"/>
            <w:tcMar>
              <w:top w:w="65" w:type="dxa"/>
              <w:left w:w="55" w:type="dxa"/>
              <w:bottom w:w="65" w:type="dxa"/>
              <w:right w:w="55" w:type="dxa"/>
              <w:start w:w="68" w:type="dxa"/>
              <w:end w:w="68" w:type="dxa"/>
            </w:tcMar>
            <w:vAlign w:val="center"/>
          </w:tcPr>
          <w:p w14:paraId="0C1E4201">
            <w:pPr>
              <w:spacing w:before="0" w:after="0" w:line="240" w:lineRule="auto"/>
            </w:pPr>
            <w:r>
              <w:rPr>
                <w:rFonts w:ascii="Times New Roman" w:hAnsi="Times New Roman" w:eastAsia="Times New Roman" w:cs="Times New Roman"/>
                <w:b w:val="0"/>
                <w:sz w:val="14"/>
              </w:rPr>
              <w:t>+0.038 [-0.002, 0.077]</w:t>
            </w:r>
          </w:p>
        </w:tc>
        <w:tc>
          <w:tcPr>
            <w:tcW w:w="2016" w:type="dxa"/>
            <w:tcMar>
              <w:top w:w="65" w:type="dxa"/>
              <w:left w:w="55" w:type="dxa"/>
              <w:bottom w:w="65" w:type="dxa"/>
              <w:right w:w="55" w:type="dxa"/>
              <w:start w:w="68" w:type="dxa"/>
              <w:end w:w="68" w:type="dxa"/>
            </w:tcMar>
            <w:vAlign w:val="center"/>
          </w:tcPr>
          <w:p w14:paraId="4884B9BB">
            <w:pPr>
              <w:spacing w:before="0" w:after="0" w:line="240" w:lineRule="auto"/>
            </w:pPr>
            <w:r>
              <w:rPr>
                <w:rFonts w:ascii="Times New Roman" w:hAnsi="Times New Roman" w:eastAsia="Times New Roman" w:cs="Times New Roman"/>
                <w:b w:val="0"/>
                <w:sz w:val="14"/>
              </w:rPr>
              <w:t>+0.012 [-0.023, 0.043]</w:t>
            </w:r>
          </w:p>
        </w:tc>
      </w:tr>
      <w:tr w14:paraId="5705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40B018C7">
            <w:pPr>
              <w:spacing w:before="0" w:after="0" w:line="240" w:lineRule="auto"/>
            </w:pPr>
            <w:r>
              <w:rPr>
                <w:rFonts w:ascii="Times New Roman" w:hAnsi="Times New Roman" w:eastAsia="Times New Roman" w:cs="Times New Roman"/>
                <w:b w:val="0"/>
                <w:sz w:val="14"/>
              </w:rPr>
              <w:t>M3</w:t>
            </w:r>
          </w:p>
        </w:tc>
        <w:tc>
          <w:tcPr>
            <w:tcW w:w="864" w:type="dxa"/>
            <w:tcMar>
              <w:top w:w="65" w:type="dxa"/>
              <w:left w:w="55" w:type="dxa"/>
              <w:bottom w:w="65" w:type="dxa"/>
              <w:right w:w="55" w:type="dxa"/>
              <w:start w:w="68" w:type="dxa"/>
              <w:end w:w="68" w:type="dxa"/>
            </w:tcMar>
            <w:vAlign w:val="center"/>
          </w:tcPr>
          <w:p w14:paraId="150E6229">
            <w:pPr>
              <w:spacing w:before="0" w:after="0" w:line="240" w:lineRule="auto"/>
            </w:pPr>
            <w:r>
              <w:rPr>
                <w:rFonts w:ascii="Times New Roman" w:hAnsi="Times New Roman" w:eastAsia="Times New Roman" w:cs="Times New Roman"/>
                <w:b w:val="0"/>
                <w:sz w:val="14"/>
              </w:rPr>
              <w:t>T3</w:t>
            </w:r>
          </w:p>
        </w:tc>
        <w:tc>
          <w:tcPr>
            <w:tcW w:w="1008" w:type="dxa"/>
            <w:tcMar>
              <w:top w:w="65" w:type="dxa"/>
              <w:left w:w="55" w:type="dxa"/>
              <w:bottom w:w="65" w:type="dxa"/>
              <w:right w:w="55" w:type="dxa"/>
              <w:start w:w="68" w:type="dxa"/>
              <w:end w:w="68" w:type="dxa"/>
            </w:tcMar>
            <w:vAlign w:val="center"/>
          </w:tcPr>
          <w:p w14:paraId="4E0F0ADE">
            <w:pPr>
              <w:spacing w:before="0" w:after="0" w:line="240" w:lineRule="auto"/>
            </w:pPr>
            <w:r>
              <w:rPr>
                <w:rFonts w:ascii="Times New Roman" w:hAnsi="Times New Roman" w:eastAsia="Times New Roman" w:cs="Times New Roman"/>
                <w:b w:val="0"/>
                <w:sz w:val="14"/>
              </w:rPr>
              <w:t>0.742</w:t>
            </w:r>
          </w:p>
        </w:tc>
        <w:tc>
          <w:tcPr>
            <w:tcW w:w="1008" w:type="dxa"/>
            <w:tcMar>
              <w:top w:w="65" w:type="dxa"/>
              <w:left w:w="55" w:type="dxa"/>
              <w:bottom w:w="65" w:type="dxa"/>
              <w:right w:w="55" w:type="dxa"/>
              <w:start w:w="68" w:type="dxa"/>
              <w:end w:w="68" w:type="dxa"/>
            </w:tcMar>
            <w:vAlign w:val="center"/>
          </w:tcPr>
          <w:p w14:paraId="74D127B9">
            <w:pPr>
              <w:spacing w:before="0" w:after="0" w:line="240" w:lineRule="auto"/>
            </w:pPr>
            <w:r>
              <w:rPr>
                <w:rFonts w:ascii="Times New Roman" w:hAnsi="Times New Roman" w:eastAsia="Times New Roman" w:cs="Times New Roman"/>
                <w:b w:val="0"/>
                <w:sz w:val="14"/>
              </w:rPr>
              <w:t>0.814</w:t>
            </w:r>
          </w:p>
        </w:tc>
        <w:tc>
          <w:tcPr>
            <w:tcW w:w="1008" w:type="dxa"/>
            <w:tcMar>
              <w:top w:w="65" w:type="dxa"/>
              <w:left w:w="55" w:type="dxa"/>
              <w:bottom w:w="65" w:type="dxa"/>
              <w:right w:w="55" w:type="dxa"/>
              <w:start w:w="68" w:type="dxa"/>
              <w:end w:w="68" w:type="dxa"/>
            </w:tcMar>
            <w:vAlign w:val="center"/>
          </w:tcPr>
          <w:p w14:paraId="0E22C7D0">
            <w:pPr>
              <w:spacing w:before="0" w:after="0" w:line="240" w:lineRule="auto"/>
            </w:pPr>
            <w:r>
              <w:rPr>
                <w:rFonts w:ascii="Times New Roman" w:hAnsi="Times New Roman" w:eastAsia="Times New Roman" w:cs="Times New Roman"/>
                <w:b w:val="0"/>
                <w:sz w:val="14"/>
              </w:rPr>
              <w:t>0.791</w:t>
            </w:r>
          </w:p>
        </w:tc>
        <w:tc>
          <w:tcPr>
            <w:tcW w:w="2016" w:type="dxa"/>
            <w:tcMar>
              <w:top w:w="65" w:type="dxa"/>
              <w:left w:w="55" w:type="dxa"/>
              <w:bottom w:w="65" w:type="dxa"/>
              <w:right w:w="55" w:type="dxa"/>
              <w:start w:w="68" w:type="dxa"/>
              <w:end w:w="68" w:type="dxa"/>
            </w:tcMar>
            <w:vAlign w:val="center"/>
          </w:tcPr>
          <w:p w14:paraId="0C833101">
            <w:pPr>
              <w:spacing w:before="0" w:after="0" w:line="240" w:lineRule="auto"/>
            </w:pPr>
            <w:r>
              <w:rPr>
                <w:rFonts w:ascii="Times New Roman" w:hAnsi="Times New Roman" w:eastAsia="Times New Roman" w:cs="Times New Roman"/>
                <w:b w:val="0"/>
                <w:sz w:val="14"/>
              </w:rPr>
              <w:t>+0.072 [0.021, 0.125]</w:t>
            </w:r>
          </w:p>
        </w:tc>
        <w:tc>
          <w:tcPr>
            <w:tcW w:w="2016" w:type="dxa"/>
            <w:tcMar>
              <w:top w:w="65" w:type="dxa"/>
              <w:left w:w="55" w:type="dxa"/>
              <w:bottom w:w="65" w:type="dxa"/>
              <w:right w:w="55" w:type="dxa"/>
              <w:start w:w="68" w:type="dxa"/>
              <w:end w:w="68" w:type="dxa"/>
            </w:tcMar>
            <w:vAlign w:val="center"/>
          </w:tcPr>
          <w:p w14:paraId="616AB93F">
            <w:pPr>
              <w:spacing w:before="0" w:after="0" w:line="240" w:lineRule="auto"/>
            </w:pPr>
            <w:r>
              <w:rPr>
                <w:rFonts w:ascii="Times New Roman" w:hAnsi="Times New Roman" w:eastAsia="Times New Roman" w:cs="Times New Roman"/>
                <w:b w:val="0"/>
                <w:sz w:val="14"/>
              </w:rPr>
              <w:t>-0.023 [-0.062, 0.017]</w:t>
            </w:r>
          </w:p>
        </w:tc>
      </w:tr>
      <w:tr w14:paraId="1487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37465B20">
            <w:pPr>
              <w:spacing w:before="0" w:after="0" w:line="240" w:lineRule="auto"/>
            </w:pPr>
            <w:r>
              <w:rPr>
                <w:rFonts w:ascii="Times New Roman" w:hAnsi="Times New Roman" w:eastAsia="Times New Roman" w:cs="Times New Roman"/>
                <w:b w:val="0"/>
                <w:sz w:val="14"/>
              </w:rPr>
              <w:t>M3</w:t>
            </w:r>
          </w:p>
        </w:tc>
        <w:tc>
          <w:tcPr>
            <w:tcW w:w="864" w:type="dxa"/>
            <w:tcMar>
              <w:top w:w="65" w:type="dxa"/>
              <w:left w:w="55" w:type="dxa"/>
              <w:bottom w:w="65" w:type="dxa"/>
              <w:right w:w="55" w:type="dxa"/>
              <w:start w:w="68" w:type="dxa"/>
              <w:end w:w="68" w:type="dxa"/>
            </w:tcMar>
            <w:vAlign w:val="center"/>
          </w:tcPr>
          <w:p w14:paraId="5911B3A1">
            <w:pPr>
              <w:spacing w:before="0" w:after="0" w:line="240" w:lineRule="auto"/>
            </w:pPr>
            <w:r>
              <w:rPr>
                <w:rFonts w:ascii="Times New Roman" w:hAnsi="Times New Roman" w:eastAsia="Times New Roman" w:cs="Times New Roman"/>
                <w:b w:val="0"/>
                <w:sz w:val="14"/>
              </w:rPr>
              <w:t>T4</w:t>
            </w:r>
          </w:p>
        </w:tc>
        <w:tc>
          <w:tcPr>
            <w:tcW w:w="1008" w:type="dxa"/>
            <w:tcMar>
              <w:top w:w="65" w:type="dxa"/>
              <w:left w:w="55" w:type="dxa"/>
              <w:bottom w:w="65" w:type="dxa"/>
              <w:right w:w="55" w:type="dxa"/>
              <w:start w:w="68" w:type="dxa"/>
              <w:end w:w="68" w:type="dxa"/>
            </w:tcMar>
            <w:vAlign w:val="center"/>
          </w:tcPr>
          <w:p w14:paraId="13F4BEFB">
            <w:pPr>
              <w:spacing w:before="0" w:after="0" w:line="240" w:lineRule="auto"/>
            </w:pPr>
            <w:r>
              <w:rPr>
                <w:rFonts w:ascii="Times New Roman" w:hAnsi="Times New Roman" w:eastAsia="Times New Roman" w:cs="Times New Roman"/>
                <w:b w:val="0"/>
                <w:sz w:val="14"/>
              </w:rPr>
              <w:t>0.671</w:t>
            </w:r>
          </w:p>
        </w:tc>
        <w:tc>
          <w:tcPr>
            <w:tcW w:w="1008" w:type="dxa"/>
            <w:tcMar>
              <w:top w:w="65" w:type="dxa"/>
              <w:left w:w="55" w:type="dxa"/>
              <w:bottom w:w="65" w:type="dxa"/>
              <w:right w:w="55" w:type="dxa"/>
              <w:start w:w="68" w:type="dxa"/>
              <w:end w:w="68" w:type="dxa"/>
            </w:tcMar>
            <w:vAlign w:val="center"/>
          </w:tcPr>
          <w:p w14:paraId="057E1717">
            <w:pPr>
              <w:spacing w:before="0" w:after="0" w:line="240" w:lineRule="auto"/>
            </w:pPr>
            <w:r>
              <w:rPr>
                <w:rFonts w:ascii="Times New Roman" w:hAnsi="Times New Roman" w:eastAsia="Times New Roman" w:cs="Times New Roman"/>
                <w:b w:val="0"/>
                <w:sz w:val="14"/>
              </w:rPr>
              <w:t>0.678</w:t>
            </w:r>
          </w:p>
        </w:tc>
        <w:tc>
          <w:tcPr>
            <w:tcW w:w="1008" w:type="dxa"/>
            <w:tcMar>
              <w:top w:w="65" w:type="dxa"/>
              <w:left w:w="55" w:type="dxa"/>
              <w:bottom w:w="65" w:type="dxa"/>
              <w:right w:w="55" w:type="dxa"/>
              <w:start w:w="68" w:type="dxa"/>
              <w:end w:w="68" w:type="dxa"/>
            </w:tcMar>
            <w:vAlign w:val="center"/>
          </w:tcPr>
          <w:p w14:paraId="68604963">
            <w:pPr>
              <w:spacing w:before="0" w:after="0" w:line="240" w:lineRule="auto"/>
            </w:pPr>
            <w:r>
              <w:rPr>
                <w:rFonts w:ascii="Times New Roman" w:hAnsi="Times New Roman" w:eastAsia="Times New Roman" w:cs="Times New Roman"/>
                <w:b w:val="0"/>
                <w:sz w:val="14"/>
              </w:rPr>
              <w:t>0.637</w:t>
            </w:r>
          </w:p>
        </w:tc>
        <w:tc>
          <w:tcPr>
            <w:tcW w:w="2016" w:type="dxa"/>
            <w:tcMar>
              <w:top w:w="65" w:type="dxa"/>
              <w:left w:w="55" w:type="dxa"/>
              <w:bottom w:w="65" w:type="dxa"/>
              <w:right w:w="55" w:type="dxa"/>
              <w:start w:w="68" w:type="dxa"/>
              <w:end w:w="68" w:type="dxa"/>
            </w:tcMar>
            <w:vAlign w:val="center"/>
          </w:tcPr>
          <w:p w14:paraId="179950D7">
            <w:pPr>
              <w:spacing w:before="0" w:after="0" w:line="240" w:lineRule="auto"/>
            </w:pPr>
            <w:r>
              <w:rPr>
                <w:rFonts w:ascii="Times New Roman" w:hAnsi="Times New Roman" w:eastAsia="Times New Roman" w:cs="Times New Roman"/>
                <w:b w:val="0"/>
                <w:sz w:val="14"/>
              </w:rPr>
              <w:t>+0.007 [-0.030, 0.046]</w:t>
            </w:r>
          </w:p>
        </w:tc>
        <w:tc>
          <w:tcPr>
            <w:tcW w:w="2016" w:type="dxa"/>
            <w:tcMar>
              <w:top w:w="65" w:type="dxa"/>
              <w:left w:w="55" w:type="dxa"/>
              <w:bottom w:w="65" w:type="dxa"/>
              <w:right w:w="55" w:type="dxa"/>
              <w:start w:w="68" w:type="dxa"/>
              <w:end w:w="68" w:type="dxa"/>
            </w:tcMar>
            <w:vAlign w:val="center"/>
          </w:tcPr>
          <w:p w14:paraId="13A9B85B">
            <w:pPr>
              <w:spacing w:before="0" w:after="0" w:line="240" w:lineRule="auto"/>
            </w:pPr>
            <w:r>
              <w:rPr>
                <w:rFonts w:ascii="Times New Roman" w:hAnsi="Times New Roman" w:eastAsia="Times New Roman" w:cs="Times New Roman"/>
                <w:b w:val="0"/>
                <w:sz w:val="14"/>
              </w:rPr>
              <w:t>-0.041 [-0.073, -0.013]</w:t>
            </w:r>
          </w:p>
        </w:tc>
      </w:tr>
      <w:tr w14:paraId="0A83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2FA34F63">
            <w:pPr>
              <w:spacing w:before="0" w:after="0" w:line="240" w:lineRule="auto"/>
            </w:pPr>
            <w:r>
              <w:rPr>
                <w:rFonts w:ascii="Times New Roman" w:hAnsi="Times New Roman" w:eastAsia="Times New Roman" w:cs="Times New Roman"/>
                <w:b w:val="0"/>
                <w:sz w:val="14"/>
              </w:rPr>
              <w:t>M4</w:t>
            </w:r>
          </w:p>
        </w:tc>
        <w:tc>
          <w:tcPr>
            <w:tcW w:w="864" w:type="dxa"/>
            <w:tcMar>
              <w:top w:w="65" w:type="dxa"/>
              <w:left w:w="55" w:type="dxa"/>
              <w:bottom w:w="65" w:type="dxa"/>
              <w:right w:w="55" w:type="dxa"/>
              <w:start w:w="68" w:type="dxa"/>
              <w:end w:w="68" w:type="dxa"/>
            </w:tcMar>
            <w:vAlign w:val="center"/>
          </w:tcPr>
          <w:p w14:paraId="1C6A4F03">
            <w:pPr>
              <w:spacing w:before="0" w:after="0" w:line="240" w:lineRule="auto"/>
            </w:pPr>
            <w:r>
              <w:rPr>
                <w:rFonts w:ascii="Times New Roman" w:hAnsi="Times New Roman" w:eastAsia="Times New Roman" w:cs="Times New Roman"/>
                <w:b w:val="0"/>
                <w:sz w:val="14"/>
              </w:rPr>
              <w:t>T1</w:t>
            </w:r>
          </w:p>
        </w:tc>
        <w:tc>
          <w:tcPr>
            <w:tcW w:w="1008" w:type="dxa"/>
            <w:tcMar>
              <w:top w:w="65" w:type="dxa"/>
              <w:left w:w="55" w:type="dxa"/>
              <w:bottom w:w="65" w:type="dxa"/>
              <w:right w:w="55" w:type="dxa"/>
              <w:start w:w="68" w:type="dxa"/>
              <w:end w:w="68" w:type="dxa"/>
            </w:tcMar>
            <w:vAlign w:val="center"/>
          </w:tcPr>
          <w:p w14:paraId="62FF5D33">
            <w:pPr>
              <w:spacing w:before="0" w:after="0" w:line="240" w:lineRule="auto"/>
            </w:pPr>
            <w:r>
              <w:rPr>
                <w:rFonts w:ascii="Times New Roman" w:hAnsi="Times New Roman" w:eastAsia="Times New Roman" w:cs="Times New Roman"/>
                <w:b w:val="0"/>
                <w:sz w:val="14"/>
              </w:rPr>
              <w:t>0.499</w:t>
            </w:r>
          </w:p>
        </w:tc>
        <w:tc>
          <w:tcPr>
            <w:tcW w:w="1008" w:type="dxa"/>
            <w:tcMar>
              <w:top w:w="65" w:type="dxa"/>
              <w:left w:w="55" w:type="dxa"/>
              <w:bottom w:w="65" w:type="dxa"/>
              <w:right w:w="55" w:type="dxa"/>
              <w:start w:w="68" w:type="dxa"/>
              <w:end w:w="68" w:type="dxa"/>
            </w:tcMar>
            <w:vAlign w:val="center"/>
          </w:tcPr>
          <w:p w14:paraId="20262D4E">
            <w:pPr>
              <w:spacing w:before="0" w:after="0" w:line="240" w:lineRule="auto"/>
            </w:pPr>
            <w:r>
              <w:rPr>
                <w:rFonts w:ascii="Times New Roman" w:hAnsi="Times New Roman" w:eastAsia="Times New Roman" w:cs="Times New Roman"/>
                <w:b w:val="0"/>
                <w:sz w:val="14"/>
              </w:rPr>
              <w:t>0.673</w:t>
            </w:r>
          </w:p>
        </w:tc>
        <w:tc>
          <w:tcPr>
            <w:tcW w:w="1008" w:type="dxa"/>
            <w:tcMar>
              <w:top w:w="65" w:type="dxa"/>
              <w:left w:w="55" w:type="dxa"/>
              <w:bottom w:w="65" w:type="dxa"/>
              <w:right w:w="55" w:type="dxa"/>
              <w:start w:w="68" w:type="dxa"/>
              <w:end w:w="68" w:type="dxa"/>
            </w:tcMar>
            <w:vAlign w:val="center"/>
          </w:tcPr>
          <w:p w14:paraId="4D2AF611">
            <w:pPr>
              <w:spacing w:before="0" w:after="0" w:line="240" w:lineRule="auto"/>
            </w:pPr>
            <w:r>
              <w:rPr>
                <w:rFonts w:ascii="Times New Roman" w:hAnsi="Times New Roman" w:eastAsia="Times New Roman" w:cs="Times New Roman"/>
                <w:b w:val="0"/>
                <w:sz w:val="14"/>
              </w:rPr>
              <w:t>0.741</w:t>
            </w:r>
          </w:p>
        </w:tc>
        <w:tc>
          <w:tcPr>
            <w:tcW w:w="2016" w:type="dxa"/>
            <w:tcMar>
              <w:top w:w="65" w:type="dxa"/>
              <w:left w:w="55" w:type="dxa"/>
              <w:bottom w:w="65" w:type="dxa"/>
              <w:right w:w="55" w:type="dxa"/>
              <w:start w:w="68" w:type="dxa"/>
              <w:end w:w="68" w:type="dxa"/>
            </w:tcMar>
            <w:vAlign w:val="center"/>
          </w:tcPr>
          <w:p w14:paraId="24B22C0A">
            <w:pPr>
              <w:spacing w:before="0" w:after="0" w:line="240" w:lineRule="auto"/>
            </w:pPr>
            <w:r>
              <w:rPr>
                <w:rFonts w:ascii="Times New Roman" w:hAnsi="Times New Roman" w:eastAsia="Times New Roman" w:cs="Times New Roman"/>
                <w:b w:val="0"/>
                <w:sz w:val="14"/>
              </w:rPr>
              <w:t>+0.174 [0.140, 0.209]</w:t>
            </w:r>
          </w:p>
        </w:tc>
        <w:tc>
          <w:tcPr>
            <w:tcW w:w="2016" w:type="dxa"/>
            <w:tcMar>
              <w:top w:w="65" w:type="dxa"/>
              <w:left w:w="55" w:type="dxa"/>
              <w:bottom w:w="65" w:type="dxa"/>
              <w:right w:w="55" w:type="dxa"/>
              <w:start w:w="68" w:type="dxa"/>
              <w:end w:w="68" w:type="dxa"/>
            </w:tcMar>
            <w:vAlign w:val="center"/>
          </w:tcPr>
          <w:p w14:paraId="6EC20C95">
            <w:pPr>
              <w:spacing w:before="0" w:after="0" w:line="240" w:lineRule="auto"/>
            </w:pPr>
            <w:r>
              <w:rPr>
                <w:rFonts w:ascii="Times New Roman" w:hAnsi="Times New Roman" w:eastAsia="Times New Roman" w:cs="Times New Roman"/>
                <w:b w:val="0"/>
                <w:sz w:val="14"/>
              </w:rPr>
              <w:t>+0.068 [0.043, 0.095]</w:t>
            </w:r>
          </w:p>
        </w:tc>
      </w:tr>
      <w:tr w14:paraId="54C6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3A99B847">
            <w:pPr>
              <w:spacing w:before="0" w:after="0" w:line="240" w:lineRule="auto"/>
            </w:pPr>
            <w:r>
              <w:rPr>
                <w:rFonts w:ascii="Times New Roman" w:hAnsi="Times New Roman" w:eastAsia="Times New Roman" w:cs="Times New Roman"/>
                <w:b w:val="0"/>
                <w:sz w:val="14"/>
              </w:rPr>
              <w:t>M4</w:t>
            </w:r>
          </w:p>
        </w:tc>
        <w:tc>
          <w:tcPr>
            <w:tcW w:w="864" w:type="dxa"/>
            <w:tcMar>
              <w:top w:w="65" w:type="dxa"/>
              <w:left w:w="55" w:type="dxa"/>
              <w:bottom w:w="65" w:type="dxa"/>
              <w:right w:w="55" w:type="dxa"/>
              <w:start w:w="68" w:type="dxa"/>
              <w:end w:w="68" w:type="dxa"/>
            </w:tcMar>
            <w:vAlign w:val="center"/>
          </w:tcPr>
          <w:p w14:paraId="35C064F3">
            <w:pPr>
              <w:spacing w:before="0" w:after="0" w:line="240" w:lineRule="auto"/>
            </w:pPr>
            <w:r>
              <w:rPr>
                <w:rFonts w:ascii="Times New Roman" w:hAnsi="Times New Roman" w:eastAsia="Times New Roman" w:cs="Times New Roman"/>
                <w:b w:val="0"/>
                <w:sz w:val="14"/>
              </w:rPr>
              <w:t>T2</w:t>
            </w:r>
          </w:p>
        </w:tc>
        <w:tc>
          <w:tcPr>
            <w:tcW w:w="1008" w:type="dxa"/>
            <w:tcMar>
              <w:top w:w="65" w:type="dxa"/>
              <w:left w:w="55" w:type="dxa"/>
              <w:bottom w:w="65" w:type="dxa"/>
              <w:right w:w="55" w:type="dxa"/>
              <w:start w:w="68" w:type="dxa"/>
              <w:end w:w="68" w:type="dxa"/>
            </w:tcMar>
            <w:vAlign w:val="center"/>
          </w:tcPr>
          <w:p w14:paraId="5E1A09CB">
            <w:pPr>
              <w:spacing w:before="0" w:after="0" w:line="240" w:lineRule="auto"/>
            </w:pPr>
            <w:r>
              <w:rPr>
                <w:rFonts w:ascii="Times New Roman" w:hAnsi="Times New Roman" w:eastAsia="Times New Roman" w:cs="Times New Roman"/>
                <w:b w:val="0"/>
                <w:sz w:val="14"/>
              </w:rPr>
              <w:t>0.499</w:t>
            </w:r>
          </w:p>
        </w:tc>
        <w:tc>
          <w:tcPr>
            <w:tcW w:w="1008" w:type="dxa"/>
            <w:tcMar>
              <w:top w:w="65" w:type="dxa"/>
              <w:left w:w="55" w:type="dxa"/>
              <w:bottom w:w="65" w:type="dxa"/>
              <w:right w:w="55" w:type="dxa"/>
              <w:start w:w="68" w:type="dxa"/>
              <w:end w:w="68" w:type="dxa"/>
            </w:tcMar>
            <w:vAlign w:val="center"/>
          </w:tcPr>
          <w:p w14:paraId="43F42375">
            <w:pPr>
              <w:spacing w:before="0" w:after="0" w:line="240" w:lineRule="auto"/>
            </w:pPr>
            <w:r>
              <w:rPr>
                <w:rFonts w:ascii="Times New Roman" w:hAnsi="Times New Roman" w:eastAsia="Times New Roman" w:cs="Times New Roman"/>
                <w:b w:val="0"/>
                <w:sz w:val="14"/>
              </w:rPr>
              <w:t>0.475</w:t>
            </w:r>
          </w:p>
        </w:tc>
        <w:tc>
          <w:tcPr>
            <w:tcW w:w="1008" w:type="dxa"/>
            <w:tcMar>
              <w:top w:w="65" w:type="dxa"/>
              <w:left w:w="55" w:type="dxa"/>
              <w:bottom w:w="65" w:type="dxa"/>
              <w:right w:w="55" w:type="dxa"/>
              <w:start w:w="68" w:type="dxa"/>
              <w:end w:w="68" w:type="dxa"/>
            </w:tcMar>
            <w:vAlign w:val="center"/>
          </w:tcPr>
          <w:p w14:paraId="355A3A4F">
            <w:pPr>
              <w:spacing w:before="0" w:after="0" w:line="240" w:lineRule="auto"/>
            </w:pPr>
            <w:r>
              <w:rPr>
                <w:rFonts w:ascii="Times New Roman" w:hAnsi="Times New Roman" w:eastAsia="Times New Roman" w:cs="Times New Roman"/>
                <w:b w:val="0"/>
                <w:sz w:val="14"/>
              </w:rPr>
              <w:t>0.609</w:t>
            </w:r>
          </w:p>
        </w:tc>
        <w:tc>
          <w:tcPr>
            <w:tcW w:w="2016" w:type="dxa"/>
            <w:tcMar>
              <w:top w:w="65" w:type="dxa"/>
              <w:left w:w="55" w:type="dxa"/>
              <w:bottom w:w="65" w:type="dxa"/>
              <w:right w:w="55" w:type="dxa"/>
              <w:start w:w="68" w:type="dxa"/>
              <w:end w:w="68" w:type="dxa"/>
            </w:tcMar>
            <w:vAlign w:val="center"/>
          </w:tcPr>
          <w:p w14:paraId="38AC48AB">
            <w:pPr>
              <w:spacing w:before="0" w:after="0" w:line="240" w:lineRule="auto"/>
            </w:pPr>
            <w:r>
              <w:rPr>
                <w:rFonts w:ascii="Times New Roman" w:hAnsi="Times New Roman" w:eastAsia="Times New Roman" w:cs="Times New Roman"/>
                <w:b w:val="0"/>
                <w:sz w:val="14"/>
              </w:rPr>
              <w:t>-0.024 [-0.075, 0.025]</w:t>
            </w:r>
          </w:p>
        </w:tc>
        <w:tc>
          <w:tcPr>
            <w:tcW w:w="2016" w:type="dxa"/>
            <w:tcMar>
              <w:top w:w="65" w:type="dxa"/>
              <w:left w:w="55" w:type="dxa"/>
              <w:bottom w:w="65" w:type="dxa"/>
              <w:right w:w="55" w:type="dxa"/>
              <w:start w:w="68" w:type="dxa"/>
              <w:end w:w="68" w:type="dxa"/>
            </w:tcMar>
            <w:vAlign w:val="center"/>
          </w:tcPr>
          <w:p w14:paraId="4FCCA675">
            <w:pPr>
              <w:spacing w:before="0" w:after="0" w:line="240" w:lineRule="auto"/>
            </w:pPr>
            <w:r>
              <w:rPr>
                <w:rFonts w:ascii="Times New Roman" w:hAnsi="Times New Roman" w:eastAsia="Times New Roman" w:cs="Times New Roman"/>
                <w:b w:val="0"/>
                <w:sz w:val="14"/>
              </w:rPr>
              <w:t>+0.135 [0.093, 0.178]</w:t>
            </w:r>
          </w:p>
        </w:tc>
      </w:tr>
      <w:tr w14:paraId="4372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552BE222">
            <w:pPr>
              <w:spacing w:before="0" w:after="0" w:line="240" w:lineRule="auto"/>
            </w:pPr>
            <w:r>
              <w:rPr>
                <w:rFonts w:ascii="Times New Roman" w:hAnsi="Times New Roman" w:eastAsia="Times New Roman" w:cs="Times New Roman"/>
                <w:b w:val="0"/>
                <w:sz w:val="14"/>
              </w:rPr>
              <w:t>M4</w:t>
            </w:r>
          </w:p>
        </w:tc>
        <w:tc>
          <w:tcPr>
            <w:tcW w:w="864" w:type="dxa"/>
            <w:tcMar>
              <w:top w:w="65" w:type="dxa"/>
              <w:left w:w="55" w:type="dxa"/>
              <w:bottom w:w="65" w:type="dxa"/>
              <w:right w:w="55" w:type="dxa"/>
              <w:start w:w="68" w:type="dxa"/>
              <w:end w:w="68" w:type="dxa"/>
            </w:tcMar>
            <w:vAlign w:val="center"/>
          </w:tcPr>
          <w:p w14:paraId="741A9A73">
            <w:pPr>
              <w:spacing w:before="0" w:after="0" w:line="240" w:lineRule="auto"/>
            </w:pPr>
            <w:r>
              <w:rPr>
                <w:rFonts w:ascii="Times New Roman" w:hAnsi="Times New Roman" w:eastAsia="Times New Roman" w:cs="Times New Roman"/>
                <w:b w:val="0"/>
                <w:sz w:val="14"/>
              </w:rPr>
              <w:t>T3</w:t>
            </w:r>
          </w:p>
        </w:tc>
        <w:tc>
          <w:tcPr>
            <w:tcW w:w="1008" w:type="dxa"/>
            <w:tcMar>
              <w:top w:w="65" w:type="dxa"/>
              <w:left w:w="55" w:type="dxa"/>
              <w:bottom w:w="65" w:type="dxa"/>
              <w:right w:w="55" w:type="dxa"/>
              <w:start w:w="68" w:type="dxa"/>
              <w:end w:w="68" w:type="dxa"/>
            </w:tcMar>
            <w:vAlign w:val="center"/>
          </w:tcPr>
          <w:p w14:paraId="536A2A85">
            <w:pPr>
              <w:spacing w:before="0" w:after="0" w:line="240" w:lineRule="auto"/>
            </w:pPr>
            <w:r>
              <w:rPr>
                <w:rFonts w:ascii="Times New Roman" w:hAnsi="Times New Roman" w:eastAsia="Times New Roman" w:cs="Times New Roman"/>
                <w:b w:val="0"/>
                <w:sz w:val="14"/>
              </w:rPr>
              <w:t>0.493</w:t>
            </w:r>
          </w:p>
        </w:tc>
        <w:tc>
          <w:tcPr>
            <w:tcW w:w="1008" w:type="dxa"/>
            <w:tcMar>
              <w:top w:w="65" w:type="dxa"/>
              <w:left w:w="55" w:type="dxa"/>
              <w:bottom w:w="65" w:type="dxa"/>
              <w:right w:w="55" w:type="dxa"/>
              <w:start w:w="68" w:type="dxa"/>
              <w:end w:w="68" w:type="dxa"/>
            </w:tcMar>
            <w:vAlign w:val="center"/>
          </w:tcPr>
          <w:p w14:paraId="1DC2B2D9">
            <w:pPr>
              <w:spacing w:before="0" w:after="0" w:line="240" w:lineRule="auto"/>
            </w:pPr>
            <w:r>
              <w:rPr>
                <w:rFonts w:ascii="Times New Roman" w:hAnsi="Times New Roman" w:eastAsia="Times New Roman" w:cs="Times New Roman"/>
                <w:b w:val="0"/>
                <w:sz w:val="14"/>
              </w:rPr>
              <w:t>0.462</w:t>
            </w:r>
          </w:p>
        </w:tc>
        <w:tc>
          <w:tcPr>
            <w:tcW w:w="1008" w:type="dxa"/>
            <w:tcMar>
              <w:top w:w="65" w:type="dxa"/>
              <w:left w:w="55" w:type="dxa"/>
              <w:bottom w:w="65" w:type="dxa"/>
              <w:right w:w="55" w:type="dxa"/>
              <w:start w:w="68" w:type="dxa"/>
              <w:end w:w="68" w:type="dxa"/>
            </w:tcMar>
            <w:vAlign w:val="center"/>
          </w:tcPr>
          <w:p w14:paraId="2A0CC210">
            <w:pPr>
              <w:spacing w:before="0" w:after="0" w:line="240" w:lineRule="auto"/>
            </w:pPr>
            <w:r>
              <w:rPr>
                <w:rFonts w:ascii="Times New Roman" w:hAnsi="Times New Roman" w:eastAsia="Times New Roman" w:cs="Times New Roman"/>
                <w:b w:val="0"/>
                <w:sz w:val="14"/>
              </w:rPr>
              <w:t>0.530</w:t>
            </w:r>
          </w:p>
        </w:tc>
        <w:tc>
          <w:tcPr>
            <w:tcW w:w="2016" w:type="dxa"/>
            <w:tcMar>
              <w:top w:w="65" w:type="dxa"/>
              <w:left w:w="55" w:type="dxa"/>
              <w:bottom w:w="65" w:type="dxa"/>
              <w:right w:w="55" w:type="dxa"/>
              <w:start w:w="68" w:type="dxa"/>
              <w:end w:w="68" w:type="dxa"/>
            </w:tcMar>
            <w:vAlign w:val="center"/>
          </w:tcPr>
          <w:p w14:paraId="4EC15789">
            <w:pPr>
              <w:spacing w:before="0" w:after="0" w:line="240" w:lineRule="auto"/>
            </w:pPr>
            <w:r>
              <w:rPr>
                <w:rFonts w:ascii="Times New Roman" w:hAnsi="Times New Roman" w:eastAsia="Times New Roman" w:cs="Times New Roman"/>
                <w:b w:val="0"/>
                <w:sz w:val="14"/>
              </w:rPr>
              <w:t>-0.031 [-0.086, 0.023]</w:t>
            </w:r>
          </w:p>
        </w:tc>
        <w:tc>
          <w:tcPr>
            <w:tcW w:w="2016" w:type="dxa"/>
            <w:tcMar>
              <w:top w:w="65" w:type="dxa"/>
              <w:left w:w="55" w:type="dxa"/>
              <w:bottom w:w="65" w:type="dxa"/>
              <w:right w:w="55" w:type="dxa"/>
              <w:start w:w="68" w:type="dxa"/>
              <w:end w:w="68" w:type="dxa"/>
            </w:tcMar>
            <w:vAlign w:val="center"/>
          </w:tcPr>
          <w:p w14:paraId="24CB14C4">
            <w:pPr>
              <w:spacing w:before="0" w:after="0" w:line="240" w:lineRule="auto"/>
            </w:pPr>
            <w:r>
              <w:rPr>
                <w:rFonts w:ascii="Times New Roman" w:hAnsi="Times New Roman" w:eastAsia="Times New Roman" w:cs="Times New Roman"/>
                <w:b w:val="0"/>
                <w:sz w:val="14"/>
              </w:rPr>
              <w:t>+0.068 [0.036, 0.101]</w:t>
            </w:r>
          </w:p>
        </w:tc>
      </w:tr>
      <w:tr w14:paraId="72BB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75D808AF">
            <w:pPr>
              <w:spacing w:before="0" w:after="0" w:line="240" w:lineRule="auto"/>
            </w:pPr>
            <w:r>
              <w:rPr>
                <w:rFonts w:ascii="Times New Roman" w:hAnsi="Times New Roman" w:eastAsia="Times New Roman" w:cs="Times New Roman"/>
                <w:b w:val="0"/>
                <w:sz w:val="14"/>
              </w:rPr>
              <w:t>M4</w:t>
            </w:r>
          </w:p>
        </w:tc>
        <w:tc>
          <w:tcPr>
            <w:tcW w:w="864" w:type="dxa"/>
            <w:tcMar>
              <w:top w:w="65" w:type="dxa"/>
              <w:left w:w="55" w:type="dxa"/>
              <w:bottom w:w="65" w:type="dxa"/>
              <w:right w:w="55" w:type="dxa"/>
              <w:start w:w="68" w:type="dxa"/>
              <w:end w:w="68" w:type="dxa"/>
            </w:tcMar>
            <w:vAlign w:val="center"/>
          </w:tcPr>
          <w:p w14:paraId="386F9CC6">
            <w:pPr>
              <w:spacing w:before="0" w:after="0" w:line="240" w:lineRule="auto"/>
            </w:pPr>
            <w:r>
              <w:rPr>
                <w:rFonts w:ascii="Times New Roman" w:hAnsi="Times New Roman" w:eastAsia="Times New Roman" w:cs="Times New Roman"/>
                <w:b w:val="0"/>
                <w:sz w:val="14"/>
              </w:rPr>
              <w:t>T4</w:t>
            </w:r>
          </w:p>
        </w:tc>
        <w:tc>
          <w:tcPr>
            <w:tcW w:w="1008" w:type="dxa"/>
            <w:tcMar>
              <w:top w:w="65" w:type="dxa"/>
              <w:left w:w="55" w:type="dxa"/>
              <w:bottom w:w="65" w:type="dxa"/>
              <w:right w:w="55" w:type="dxa"/>
              <w:start w:w="68" w:type="dxa"/>
              <w:end w:w="68" w:type="dxa"/>
            </w:tcMar>
            <w:vAlign w:val="center"/>
          </w:tcPr>
          <w:p w14:paraId="53BBBD73">
            <w:pPr>
              <w:spacing w:before="0" w:after="0" w:line="240" w:lineRule="auto"/>
            </w:pPr>
            <w:r>
              <w:rPr>
                <w:rFonts w:ascii="Times New Roman" w:hAnsi="Times New Roman" w:eastAsia="Times New Roman" w:cs="Times New Roman"/>
                <w:b w:val="0"/>
                <w:sz w:val="14"/>
              </w:rPr>
              <w:t>0.252</w:t>
            </w:r>
          </w:p>
        </w:tc>
        <w:tc>
          <w:tcPr>
            <w:tcW w:w="1008" w:type="dxa"/>
            <w:tcMar>
              <w:top w:w="65" w:type="dxa"/>
              <w:left w:w="55" w:type="dxa"/>
              <w:bottom w:w="65" w:type="dxa"/>
              <w:right w:w="55" w:type="dxa"/>
              <w:start w:w="68" w:type="dxa"/>
              <w:end w:w="68" w:type="dxa"/>
            </w:tcMar>
            <w:vAlign w:val="center"/>
          </w:tcPr>
          <w:p w14:paraId="356637A5">
            <w:pPr>
              <w:spacing w:before="0" w:after="0" w:line="240" w:lineRule="auto"/>
            </w:pPr>
            <w:r>
              <w:rPr>
                <w:rFonts w:ascii="Times New Roman" w:hAnsi="Times New Roman" w:eastAsia="Times New Roman" w:cs="Times New Roman"/>
                <w:b w:val="0"/>
                <w:sz w:val="14"/>
              </w:rPr>
              <w:t>0.337</w:t>
            </w:r>
          </w:p>
        </w:tc>
        <w:tc>
          <w:tcPr>
            <w:tcW w:w="1008" w:type="dxa"/>
            <w:tcMar>
              <w:top w:w="65" w:type="dxa"/>
              <w:left w:w="55" w:type="dxa"/>
              <w:bottom w:w="65" w:type="dxa"/>
              <w:right w:w="55" w:type="dxa"/>
              <w:start w:w="68" w:type="dxa"/>
              <w:end w:w="68" w:type="dxa"/>
            </w:tcMar>
            <w:vAlign w:val="center"/>
          </w:tcPr>
          <w:p w14:paraId="47175210">
            <w:pPr>
              <w:spacing w:before="0" w:after="0" w:line="240" w:lineRule="auto"/>
            </w:pPr>
            <w:r>
              <w:rPr>
                <w:rFonts w:ascii="Times New Roman" w:hAnsi="Times New Roman" w:eastAsia="Times New Roman" w:cs="Times New Roman"/>
                <w:b w:val="0"/>
                <w:sz w:val="14"/>
              </w:rPr>
              <w:t>0.391</w:t>
            </w:r>
          </w:p>
        </w:tc>
        <w:tc>
          <w:tcPr>
            <w:tcW w:w="2016" w:type="dxa"/>
            <w:tcMar>
              <w:top w:w="65" w:type="dxa"/>
              <w:left w:w="55" w:type="dxa"/>
              <w:bottom w:w="65" w:type="dxa"/>
              <w:right w:w="55" w:type="dxa"/>
              <w:start w:w="68" w:type="dxa"/>
              <w:end w:w="68" w:type="dxa"/>
            </w:tcMar>
            <w:vAlign w:val="center"/>
          </w:tcPr>
          <w:p w14:paraId="788EE013">
            <w:pPr>
              <w:spacing w:before="0" w:after="0" w:line="240" w:lineRule="auto"/>
            </w:pPr>
            <w:r>
              <w:rPr>
                <w:rFonts w:ascii="Times New Roman" w:hAnsi="Times New Roman" w:eastAsia="Times New Roman" w:cs="Times New Roman"/>
                <w:b w:val="0"/>
                <w:sz w:val="14"/>
              </w:rPr>
              <w:t>+0.085 [0.054, 0.116]</w:t>
            </w:r>
          </w:p>
        </w:tc>
        <w:tc>
          <w:tcPr>
            <w:tcW w:w="2016" w:type="dxa"/>
            <w:tcMar>
              <w:top w:w="65" w:type="dxa"/>
              <w:left w:w="55" w:type="dxa"/>
              <w:bottom w:w="65" w:type="dxa"/>
              <w:right w:w="55" w:type="dxa"/>
              <w:start w:w="68" w:type="dxa"/>
              <w:end w:w="68" w:type="dxa"/>
            </w:tcMar>
            <w:vAlign w:val="center"/>
          </w:tcPr>
          <w:p w14:paraId="4B56A215">
            <w:pPr>
              <w:spacing w:before="0" w:after="0" w:line="240" w:lineRule="auto"/>
            </w:pPr>
            <w:r>
              <w:rPr>
                <w:rFonts w:ascii="Times New Roman" w:hAnsi="Times New Roman" w:eastAsia="Times New Roman" w:cs="Times New Roman"/>
                <w:b w:val="0"/>
                <w:sz w:val="14"/>
              </w:rPr>
              <w:t>+0.054 [0.031, 0.077]</w:t>
            </w:r>
          </w:p>
        </w:tc>
      </w:tr>
    </w:tbl>
    <w:p w14:paraId="48FA4328">
      <w:pPr>
        <w:widowControl/>
      </w:pPr>
      <w:r>
        <w:t>Because source availability is structurally coupled to task type, source-bearing versus source-free performance is descriptive rather than causal. An exploratory within-source-bearing-task decomposition (16 task×target cells; no multiplicity correction) indicates heterogeneous source utility for M3: the clearest positive pattern is T2 source-grounded generation (+.077 [.012, .141]), while negative patterns appear for T1 multi-entity/context tracking (−.168 [−.255, −.082]) and T4 summarisation (−.098 [−.187, −.011]) and source-grounded generation (−.051 [−.114, −.010]). These cells are treated as hypothesis-generating rather than confirmatory discoveries.</w:t>
      </w:r>
    </w:p>
    <w:p w14:paraId="35A2EB01">
      <w:pPr>
        <w:pStyle w:val="3"/>
        <w:keepNext/>
        <w:keepLines/>
      </w:pPr>
      <w:r>
        <w:rPr>
          <w:color w:val="000000"/>
        </w:rPr>
        <w:t>6.3 RQ4: Human–machine difficulty and uncertainty</w:t>
      </w:r>
    </w:p>
    <w:p w14:paraId="5D835AE7">
      <w:pPr>
        <w:keepNext/>
      </w:pPr>
      <w:r>
        <w:t>Table 14. M3 human-difficulty error alignment and post-hoc predictive-entropy contrast.</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008"/>
        <w:gridCol w:w="1440"/>
        <w:gridCol w:w="1440"/>
        <w:gridCol w:w="2592"/>
        <w:gridCol w:w="3024"/>
      </w:tblGrid>
      <w:tr w14:paraId="64D79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008" w:type="dxa"/>
            <w:tcMar>
              <w:top w:w="65" w:type="dxa"/>
              <w:left w:w="55" w:type="dxa"/>
              <w:bottom w:w="65" w:type="dxa"/>
              <w:right w:w="55" w:type="dxa"/>
              <w:start w:w="68" w:type="dxa"/>
              <w:end w:w="68" w:type="dxa"/>
            </w:tcMar>
            <w:vAlign w:val="center"/>
            <w:shd w:val="clear" w:color="auto" w:fill="E8F0F8"/>
          </w:tcPr>
          <w:p w14:paraId="45A4F209">
            <w:pPr>
              <w:spacing w:before="0" w:after="0" w:line="240" w:lineRule="auto"/>
              <w:jc w:val="center"/>
            </w:pPr>
            <w:r>
              <w:rPr>
                <w:rFonts w:ascii="Times New Roman" w:hAnsi="Times New Roman" w:eastAsia="Times New Roman" w:cs="Times New Roman"/>
                <w:b/>
                <w:color w:val="1E364D"/>
                <w:sz w:val="15"/>
              </w:rPr>
              <w:t>Target</w:t>
            </w:r>
          </w:p>
        </w:tc>
        <w:tc>
          <w:tcPr>
            <w:tcW w:w="1440" w:type="dxa"/>
            <w:tcMar>
              <w:top w:w="65" w:type="dxa"/>
              <w:left w:w="55" w:type="dxa"/>
              <w:bottom w:w="65" w:type="dxa"/>
              <w:right w:w="55" w:type="dxa"/>
              <w:start w:w="68" w:type="dxa"/>
              <w:end w:w="68" w:type="dxa"/>
            </w:tcMar>
            <w:vAlign w:val="center"/>
            <w:shd w:val="clear" w:color="auto" w:fill="E8F0F8"/>
          </w:tcPr>
          <w:p w14:paraId="1996F79F">
            <w:pPr>
              <w:spacing w:before="0" w:after="0" w:line="240" w:lineRule="auto"/>
              <w:jc w:val="center"/>
            </w:pPr>
            <w:r>
              <w:rPr>
                <w:rFonts w:ascii="Times New Roman" w:hAnsi="Times New Roman" w:eastAsia="Times New Roman" w:cs="Times New Roman"/>
                <w:b/>
                <w:color w:val="1E364D"/>
                <w:sz w:val="15"/>
              </w:rPr>
              <w:t>Easy error</w:t>
            </w:r>
          </w:p>
        </w:tc>
        <w:tc>
          <w:tcPr>
            <w:tcW w:w="1440" w:type="dxa"/>
            <w:tcMar>
              <w:top w:w="65" w:type="dxa"/>
              <w:left w:w="55" w:type="dxa"/>
              <w:bottom w:w="65" w:type="dxa"/>
              <w:right w:w="55" w:type="dxa"/>
              <w:start w:w="68" w:type="dxa"/>
              <w:end w:w="68" w:type="dxa"/>
            </w:tcMar>
            <w:vAlign w:val="center"/>
            <w:shd w:val="clear" w:color="auto" w:fill="E8F0F8"/>
          </w:tcPr>
          <w:p w14:paraId="0C31764A">
            <w:pPr>
              <w:spacing w:before="0" w:after="0" w:line="240" w:lineRule="auto"/>
              <w:jc w:val="center"/>
            </w:pPr>
            <w:r>
              <w:rPr>
                <w:rFonts w:ascii="Times New Roman" w:hAnsi="Times New Roman" w:eastAsia="Times New Roman" w:cs="Times New Roman"/>
                <w:b/>
                <w:color w:val="1E364D"/>
                <w:sz w:val="15"/>
              </w:rPr>
              <w:t>Hard error</w:t>
            </w:r>
          </w:p>
        </w:tc>
        <w:tc>
          <w:tcPr>
            <w:tcW w:w="2592" w:type="dxa"/>
            <w:tcMar>
              <w:top w:w="65" w:type="dxa"/>
              <w:left w:w="55" w:type="dxa"/>
              <w:bottom w:w="65" w:type="dxa"/>
              <w:right w:w="55" w:type="dxa"/>
              <w:start w:w="68" w:type="dxa"/>
              <w:end w:w="68" w:type="dxa"/>
            </w:tcMar>
            <w:vAlign w:val="center"/>
            <w:shd w:val="clear" w:color="auto" w:fill="E8F0F8"/>
          </w:tcPr>
          <w:p w14:paraId="183CD47B">
            <w:pPr>
              <w:spacing w:before="0" w:after="0" w:line="240" w:lineRule="auto"/>
              <w:jc w:val="center"/>
            </w:pPr>
            <w:r>
              <w:rPr>
                <w:rFonts w:ascii="Times New Roman" w:hAnsi="Times New Roman" w:eastAsia="Times New Roman" w:cs="Times New Roman"/>
                <w:b/>
                <w:color w:val="1E364D"/>
                <w:sz w:val="15"/>
              </w:rPr>
              <w:t>Δ error hard−easy</w:t>
            </w:r>
          </w:p>
        </w:tc>
        <w:tc>
          <w:tcPr>
            <w:tcW w:w="3024" w:type="dxa"/>
            <w:tcMar>
              <w:top w:w="65" w:type="dxa"/>
              <w:left w:w="55" w:type="dxa"/>
              <w:bottom w:w="65" w:type="dxa"/>
              <w:right w:w="55" w:type="dxa"/>
              <w:start w:w="68" w:type="dxa"/>
              <w:end w:w="68" w:type="dxa"/>
            </w:tcMar>
            <w:vAlign w:val="center"/>
            <w:shd w:val="clear" w:color="auto" w:fill="E8F0F8"/>
          </w:tcPr>
          <w:p w14:paraId="0EF004D6">
            <w:pPr>
              <w:spacing w:before="0" w:after="0" w:line="240" w:lineRule="auto"/>
              <w:jc w:val="center"/>
            </w:pPr>
            <w:r>
              <w:rPr>
                <w:rFonts w:ascii="Times New Roman" w:hAnsi="Times New Roman" w:eastAsia="Times New Roman" w:cs="Times New Roman"/>
                <w:b/>
                <w:color w:val="1E364D"/>
                <w:sz w:val="15"/>
              </w:rPr>
              <w:t>Δ normalised entropy hard−easy</w:t>
            </w:r>
          </w:p>
        </w:tc>
      </w:tr>
      <w:tr w14:paraId="6846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5EEE2F5B">
            <w:pPr>
              <w:spacing w:before="0" w:after="0" w:line="240" w:lineRule="auto"/>
            </w:pPr>
            <w:r>
              <w:rPr>
                <w:rFonts w:ascii="Times New Roman" w:hAnsi="Times New Roman" w:eastAsia="Times New Roman" w:cs="Times New Roman"/>
                <w:b w:val="0"/>
                <w:sz w:val="15"/>
              </w:rPr>
              <w:t>T1</w:t>
            </w:r>
          </w:p>
        </w:tc>
        <w:tc>
          <w:tcPr>
            <w:tcW w:w="1440" w:type="dxa"/>
            <w:tcMar>
              <w:top w:w="65" w:type="dxa"/>
              <w:left w:w="55" w:type="dxa"/>
              <w:bottom w:w="65" w:type="dxa"/>
              <w:right w:w="55" w:type="dxa"/>
              <w:start w:w="68" w:type="dxa"/>
              <w:end w:w="68" w:type="dxa"/>
            </w:tcMar>
            <w:vAlign w:val="center"/>
          </w:tcPr>
          <w:p w14:paraId="0F723075">
            <w:pPr>
              <w:spacing w:before="0" w:after="0" w:line="240" w:lineRule="auto"/>
            </w:pPr>
            <w:r>
              <w:rPr>
                <w:rFonts w:ascii="Times New Roman" w:hAnsi="Times New Roman" w:eastAsia="Times New Roman" w:cs="Times New Roman"/>
                <w:b w:val="0"/>
                <w:sz w:val="15"/>
              </w:rPr>
              <w:t>0.287</w:t>
            </w:r>
          </w:p>
        </w:tc>
        <w:tc>
          <w:tcPr>
            <w:tcW w:w="1440" w:type="dxa"/>
            <w:tcMar>
              <w:top w:w="65" w:type="dxa"/>
              <w:left w:w="55" w:type="dxa"/>
              <w:bottom w:w="65" w:type="dxa"/>
              <w:right w:w="55" w:type="dxa"/>
              <w:start w:w="68" w:type="dxa"/>
              <w:end w:w="68" w:type="dxa"/>
            </w:tcMar>
            <w:vAlign w:val="center"/>
          </w:tcPr>
          <w:p w14:paraId="21BD1D3C">
            <w:pPr>
              <w:spacing w:before="0" w:after="0" w:line="240" w:lineRule="auto"/>
            </w:pPr>
            <w:r>
              <w:rPr>
                <w:rFonts w:ascii="Times New Roman" w:hAnsi="Times New Roman" w:eastAsia="Times New Roman" w:cs="Times New Roman"/>
                <w:b w:val="0"/>
                <w:sz w:val="15"/>
              </w:rPr>
              <w:t>0.465</w:t>
            </w:r>
          </w:p>
        </w:tc>
        <w:tc>
          <w:tcPr>
            <w:tcW w:w="2592" w:type="dxa"/>
            <w:tcMar>
              <w:top w:w="65" w:type="dxa"/>
              <w:left w:w="55" w:type="dxa"/>
              <w:bottom w:w="65" w:type="dxa"/>
              <w:right w:w="55" w:type="dxa"/>
              <w:start w:w="68" w:type="dxa"/>
              <w:end w:w="68" w:type="dxa"/>
            </w:tcMar>
            <w:vAlign w:val="center"/>
          </w:tcPr>
          <w:p w14:paraId="5A4BBFAB">
            <w:pPr>
              <w:spacing w:before="0" w:after="0" w:line="240" w:lineRule="auto"/>
            </w:pPr>
            <w:r>
              <w:rPr>
                <w:rFonts w:ascii="Times New Roman" w:hAnsi="Times New Roman" w:eastAsia="Times New Roman" w:cs="Times New Roman"/>
                <w:b w:val="0"/>
                <w:sz w:val="15"/>
              </w:rPr>
              <w:t>+0.178 [0.086, 0.272]</w:t>
            </w:r>
          </w:p>
        </w:tc>
        <w:tc>
          <w:tcPr>
            <w:tcW w:w="3024" w:type="dxa"/>
            <w:tcMar>
              <w:top w:w="65" w:type="dxa"/>
              <w:left w:w="55" w:type="dxa"/>
              <w:bottom w:w="65" w:type="dxa"/>
              <w:right w:w="55" w:type="dxa"/>
              <w:start w:w="68" w:type="dxa"/>
              <w:end w:w="68" w:type="dxa"/>
            </w:tcMar>
            <w:vAlign w:val="center"/>
          </w:tcPr>
          <w:p w14:paraId="021CDCBE">
            <w:pPr>
              <w:spacing w:before="0" w:after="0" w:line="240" w:lineRule="auto"/>
            </w:pPr>
            <w:r>
              <w:rPr>
                <w:rFonts w:ascii="Times New Roman" w:hAnsi="Times New Roman" w:eastAsia="Times New Roman" w:cs="Times New Roman"/>
                <w:b w:val="0"/>
                <w:sz w:val="15"/>
              </w:rPr>
              <w:t>+0.076 [0.014, 0.138]</w:t>
            </w:r>
          </w:p>
        </w:tc>
      </w:tr>
      <w:tr w14:paraId="0007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0E69405A">
            <w:pPr>
              <w:spacing w:before="0" w:after="0" w:line="240" w:lineRule="auto"/>
            </w:pPr>
            <w:r>
              <w:rPr>
                <w:rFonts w:ascii="Times New Roman" w:hAnsi="Times New Roman" w:eastAsia="Times New Roman" w:cs="Times New Roman"/>
                <w:b w:val="0"/>
                <w:sz w:val="15"/>
              </w:rPr>
              <w:t>T2</w:t>
            </w:r>
          </w:p>
        </w:tc>
        <w:tc>
          <w:tcPr>
            <w:tcW w:w="1440" w:type="dxa"/>
            <w:tcMar>
              <w:top w:w="65" w:type="dxa"/>
              <w:left w:w="55" w:type="dxa"/>
              <w:bottom w:w="65" w:type="dxa"/>
              <w:right w:w="55" w:type="dxa"/>
              <w:start w:w="68" w:type="dxa"/>
              <w:end w:w="68" w:type="dxa"/>
            </w:tcMar>
            <w:vAlign w:val="center"/>
          </w:tcPr>
          <w:p w14:paraId="6A70294F">
            <w:pPr>
              <w:spacing w:before="0" w:after="0" w:line="240" w:lineRule="auto"/>
            </w:pPr>
            <w:r>
              <w:rPr>
                <w:rFonts w:ascii="Times New Roman" w:hAnsi="Times New Roman" w:eastAsia="Times New Roman" w:cs="Times New Roman"/>
                <w:b w:val="0"/>
                <w:sz w:val="15"/>
              </w:rPr>
              <w:t>0.160</w:t>
            </w:r>
          </w:p>
        </w:tc>
        <w:tc>
          <w:tcPr>
            <w:tcW w:w="1440" w:type="dxa"/>
            <w:tcMar>
              <w:top w:w="65" w:type="dxa"/>
              <w:left w:w="55" w:type="dxa"/>
              <w:bottom w:w="65" w:type="dxa"/>
              <w:right w:w="55" w:type="dxa"/>
              <w:start w:w="68" w:type="dxa"/>
              <w:end w:w="68" w:type="dxa"/>
            </w:tcMar>
            <w:vAlign w:val="center"/>
          </w:tcPr>
          <w:p w14:paraId="31747952">
            <w:pPr>
              <w:spacing w:before="0" w:after="0" w:line="240" w:lineRule="auto"/>
            </w:pPr>
            <w:r>
              <w:rPr>
                <w:rFonts w:ascii="Times New Roman" w:hAnsi="Times New Roman" w:eastAsia="Times New Roman" w:cs="Times New Roman"/>
                <w:b w:val="0"/>
                <w:sz w:val="15"/>
              </w:rPr>
              <w:t>0.331</w:t>
            </w:r>
          </w:p>
        </w:tc>
        <w:tc>
          <w:tcPr>
            <w:tcW w:w="2592" w:type="dxa"/>
            <w:tcMar>
              <w:top w:w="65" w:type="dxa"/>
              <w:left w:w="55" w:type="dxa"/>
              <w:bottom w:w="65" w:type="dxa"/>
              <w:right w:w="55" w:type="dxa"/>
              <w:start w:w="68" w:type="dxa"/>
              <w:end w:w="68" w:type="dxa"/>
            </w:tcMar>
            <w:vAlign w:val="center"/>
          </w:tcPr>
          <w:p w14:paraId="40666D57">
            <w:pPr>
              <w:spacing w:before="0" w:after="0" w:line="240" w:lineRule="auto"/>
            </w:pPr>
            <w:r>
              <w:rPr>
                <w:rFonts w:ascii="Times New Roman" w:hAnsi="Times New Roman" w:eastAsia="Times New Roman" w:cs="Times New Roman"/>
                <w:b w:val="0"/>
                <w:sz w:val="15"/>
              </w:rPr>
              <w:t>+0.172 [0.087, 0.262]</w:t>
            </w:r>
          </w:p>
        </w:tc>
        <w:tc>
          <w:tcPr>
            <w:tcW w:w="3024" w:type="dxa"/>
            <w:tcMar>
              <w:top w:w="65" w:type="dxa"/>
              <w:left w:w="55" w:type="dxa"/>
              <w:bottom w:w="65" w:type="dxa"/>
              <w:right w:w="55" w:type="dxa"/>
              <w:start w:w="68" w:type="dxa"/>
              <w:end w:w="68" w:type="dxa"/>
            </w:tcMar>
            <w:vAlign w:val="center"/>
          </w:tcPr>
          <w:p w14:paraId="368F5BFF">
            <w:pPr>
              <w:spacing w:before="0" w:after="0" w:line="240" w:lineRule="auto"/>
            </w:pPr>
            <w:r>
              <w:rPr>
                <w:rFonts w:ascii="Times New Roman" w:hAnsi="Times New Roman" w:eastAsia="Times New Roman" w:cs="Times New Roman"/>
                <w:b w:val="0"/>
                <w:sz w:val="15"/>
              </w:rPr>
              <w:t>+0.107 [0.033, 0.184]</w:t>
            </w:r>
          </w:p>
        </w:tc>
      </w:tr>
      <w:tr w14:paraId="63371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2A734831">
            <w:pPr>
              <w:spacing w:before="0" w:after="0" w:line="240" w:lineRule="auto"/>
            </w:pPr>
            <w:r>
              <w:rPr>
                <w:rFonts w:ascii="Times New Roman" w:hAnsi="Times New Roman" w:eastAsia="Times New Roman" w:cs="Times New Roman"/>
                <w:b w:val="0"/>
                <w:sz w:val="15"/>
              </w:rPr>
              <w:t>T3</w:t>
            </w:r>
          </w:p>
        </w:tc>
        <w:tc>
          <w:tcPr>
            <w:tcW w:w="1440" w:type="dxa"/>
            <w:tcMar>
              <w:top w:w="65" w:type="dxa"/>
              <w:left w:w="55" w:type="dxa"/>
              <w:bottom w:w="65" w:type="dxa"/>
              <w:right w:w="55" w:type="dxa"/>
              <w:start w:w="68" w:type="dxa"/>
              <w:end w:w="68" w:type="dxa"/>
            </w:tcMar>
            <w:vAlign w:val="center"/>
          </w:tcPr>
          <w:p w14:paraId="29222296">
            <w:pPr>
              <w:spacing w:before="0" w:after="0" w:line="240" w:lineRule="auto"/>
            </w:pPr>
            <w:r>
              <w:rPr>
                <w:rFonts w:ascii="Times New Roman" w:hAnsi="Times New Roman" w:eastAsia="Times New Roman" w:cs="Times New Roman"/>
                <w:b w:val="0"/>
                <w:sz w:val="15"/>
              </w:rPr>
              <w:t>0.142</w:t>
            </w:r>
          </w:p>
        </w:tc>
        <w:tc>
          <w:tcPr>
            <w:tcW w:w="1440" w:type="dxa"/>
            <w:tcMar>
              <w:top w:w="65" w:type="dxa"/>
              <w:left w:w="55" w:type="dxa"/>
              <w:bottom w:w="65" w:type="dxa"/>
              <w:right w:w="55" w:type="dxa"/>
              <w:start w:w="68" w:type="dxa"/>
              <w:end w:w="68" w:type="dxa"/>
            </w:tcMar>
            <w:vAlign w:val="center"/>
          </w:tcPr>
          <w:p w14:paraId="3F6E7E99">
            <w:pPr>
              <w:spacing w:before="0" w:after="0" w:line="240" w:lineRule="auto"/>
            </w:pPr>
            <w:r>
              <w:rPr>
                <w:rFonts w:ascii="Times New Roman" w:hAnsi="Times New Roman" w:eastAsia="Times New Roman" w:cs="Times New Roman"/>
                <w:b w:val="0"/>
                <w:sz w:val="15"/>
              </w:rPr>
              <w:t>0.255</w:t>
            </w:r>
          </w:p>
        </w:tc>
        <w:tc>
          <w:tcPr>
            <w:tcW w:w="2592" w:type="dxa"/>
            <w:tcMar>
              <w:top w:w="65" w:type="dxa"/>
              <w:left w:w="55" w:type="dxa"/>
              <w:bottom w:w="65" w:type="dxa"/>
              <w:right w:w="55" w:type="dxa"/>
              <w:start w:w="68" w:type="dxa"/>
              <w:end w:w="68" w:type="dxa"/>
            </w:tcMar>
            <w:vAlign w:val="center"/>
          </w:tcPr>
          <w:p w14:paraId="14EBAADF">
            <w:pPr>
              <w:spacing w:before="0" w:after="0" w:line="240" w:lineRule="auto"/>
            </w:pPr>
            <w:r>
              <w:rPr>
                <w:rFonts w:ascii="Times New Roman" w:hAnsi="Times New Roman" w:eastAsia="Times New Roman" w:cs="Times New Roman"/>
                <w:b w:val="0"/>
                <w:sz w:val="15"/>
              </w:rPr>
              <w:t>+0.113 [0.028, 0.202]</w:t>
            </w:r>
          </w:p>
        </w:tc>
        <w:tc>
          <w:tcPr>
            <w:tcW w:w="3024" w:type="dxa"/>
            <w:tcMar>
              <w:top w:w="65" w:type="dxa"/>
              <w:left w:w="55" w:type="dxa"/>
              <w:bottom w:w="65" w:type="dxa"/>
              <w:right w:w="55" w:type="dxa"/>
              <w:start w:w="68" w:type="dxa"/>
              <w:end w:w="68" w:type="dxa"/>
            </w:tcMar>
            <w:vAlign w:val="center"/>
          </w:tcPr>
          <w:p w14:paraId="3F93A4AE">
            <w:pPr>
              <w:spacing w:before="0" w:after="0" w:line="240" w:lineRule="auto"/>
            </w:pPr>
            <w:r>
              <w:rPr>
                <w:rFonts w:ascii="Times New Roman" w:hAnsi="Times New Roman" w:eastAsia="Times New Roman" w:cs="Times New Roman"/>
                <w:b w:val="0"/>
                <w:sz w:val="15"/>
              </w:rPr>
              <w:t>+0.156 [0.084, 0.232]</w:t>
            </w:r>
          </w:p>
        </w:tc>
      </w:tr>
      <w:tr w14:paraId="5AAD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65" w:type="dxa"/>
              <w:left w:w="55" w:type="dxa"/>
              <w:bottom w:w="65" w:type="dxa"/>
              <w:right w:w="55" w:type="dxa"/>
              <w:start w:w="68" w:type="dxa"/>
              <w:end w:w="68" w:type="dxa"/>
            </w:tcMar>
            <w:vAlign w:val="center"/>
          </w:tcPr>
          <w:p w14:paraId="37B8A3EA">
            <w:pPr>
              <w:spacing w:before="0" w:after="0" w:line="240" w:lineRule="auto"/>
            </w:pPr>
            <w:r>
              <w:rPr>
                <w:rFonts w:ascii="Times New Roman" w:hAnsi="Times New Roman" w:eastAsia="Times New Roman" w:cs="Times New Roman"/>
                <w:b w:val="0"/>
                <w:sz w:val="15"/>
              </w:rPr>
              <w:t>T4</w:t>
            </w:r>
          </w:p>
        </w:tc>
        <w:tc>
          <w:tcPr>
            <w:tcW w:w="1440" w:type="dxa"/>
            <w:tcMar>
              <w:top w:w="65" w:type="dxa"/>
              <w:left w:w="55" w:type="dxa"/>
              <w:bottom w:w="65" w:type="dxa"/>
              <w:right w:w="55" w:type="dxa"/>
              <w:start w:w="68" w:type="dxa"/>
              <w:end w:w="68" w:type="dxa"/>
            </w:tcMar>
            <w:vAlign w:val="center"/>
          </w:tcPr>
          <w:p w14:paraId="17DE8981">
            <w:pPr>
              <w:spacing w:before="0" w:after="0" w:line="240" w:lineRule="auto"/>
            </w:pPr>
            <w:r>
              <w:rPr>
                <w:rFonts w:ascii="Times New Roman" w:hAnsi="Times New Roman" w:eastAsia="Times New Roman" w:cs="Times New Roman"/>
                <w:b w:val="0"/>
                <w:sz w:val="15"/>
              </w:rPr>
              <w:t>0.184</w:t>
            </w:r>
          </w:p>
        </w:tc>
        <w:tc>
          <w:tcPr>
            <w:tcW w:w="1440" w:type="dxa"/>
            <w:tcMar>
              <w:top w:w="65" w:type="dxa"/>
              <w:left w:w="55" w:type="dxa"/>
              <w:bottom w:w="65" w:type="dxa"/>
              <w:right w:w="55" w:type="dxa"/>
              <w:start w:w="68" w:type="dxa"/>
              <w:end w:w="68" w:type="dxa"/>
            </w:tcMar>
            <w:vAlign w:val="center"/>
          </w:tcPr>
          <w:p w14:paraId="3A860336">
            <w:pPr>
              <w:spacing w:before="0" w:after="0" w:line="240" w:lineRule="auto"/>
            </w:pPr>
            <w:r>
              <w:rPr>
                <w:rFonts w:ascii="Times New Roman" w:hAnsi="Times New Roman" w:eastAsia="Times New Roman" w:cs="Times New Roman"/>
                <w:b w:val="0"/>
                <w:sz w:val="15"/>
              </w:rPr>
              <w:t>0.442</w:t>
            </w:r>
          </w:p>
        </w:tc>
        <w:tc>
          <w:tcPr>
            <w:tcW w:w="2592" w:type="dxa"/>
            <w:tcMar>
              <w:top w:w="65" w:type="dxa"/>
              <w:left w:w="55" w:type="dxa"/>
              <w:bottom w:w="65" w:type="dxa"/>
              <w:right w:w="55" w:type="dxa"/>
              <w:start w:w="68" w:type="dxa"/>
              <w:end w:w="68" w:type="dxa"/>
            </w:tcMar>
            <w:vAlign w:val="center"/>
          </w:tcPr>
          <w:p w14:paraId="2161C8FE">
            <w:pPr>
              <w:spacing w:before="0" w:after="0" w:line="240" w:lineRule="auto"/>
            </w:pPr>
            <w:r>
              <w:rPr>
                <w:rFonts w:ascii="Times New Roman" w:hAnsi="Times New Roman" w:eastAsia="Times New Roman" w:cs="Times New Roman"/>
                <w:b w:val="0"/>
                <w:sz w:val="15"/>
              </w:rPr>
              <w:t>+0.258 [0.177, 0.339]</w:t>
            </w:r>
          </w:p>
        </w:tc>
        <w:tc>
          <w:tcPr>
            <w:tcW w:w="3024" w:type="dxa"/>
            <w:tcMar>
              <w:top w:w="65" w:type="dxa"/>
              <w:left w:w="55" w:type="dxa"/>
              <w:bottom w:w="65" w:type="dxa"/>
              <w:right w:w="55" w:type="dxa"/>
              <w:start w:w="68" w:type="dxa"/>
              <w:end w:w="68" w:type="dxa"/>
            </w:tcMar>
            <w:vAlign w:val="center"/>
          </w:tcPr>
          <w:p w14:paraId="21643F2E">
            <w:pPr>
              <w:spacing w:before="0" w:after="0" w:line="240" w:lineRule="auto"/>
            </w:pPr>
            <w:r>
              <w:rPr>
                <w:rFonts w:ascii="Times New Roman" w:hAnsi="Times New Roman" w:eastAsia="Times New Roman" w:cs="Times New Roman"/>
                <w:b w:val="0"/>
                <w:sz w:val="15"/>
              </w:rPr>
              <w:t>+0.301 [0.232, 0.371]</w:t>
            </w:r>
          </w:p>
        </w:tc>
      </w:tr>
    </w:tbl>
    <w:p w14:paraId="06139588">
      <w:pPr>
        <w:widowControl/>
      </w:pPr>
      <w:r>
        <w:t>M3 errors are consistently more frequent on pre-adjudication human-hard than human-easy cases: error-rate differences are .178, .172, .113, and .258 on T1–T4, with all Prompt_ID-cluster bootstrap intervals above zero. Normalised predictive entropy is also higher on human-hard cases across all four targets. These within-study associations show that pre-resolution disagreement identifies cases that are also harder for the supervised evaluator, without implying identical human/model reasoning or an external measure of intrinsic difficulty (Table 14).</w:t>
        <w:t xml:space="preserve"> The human-hard grouping derives from the same A1–A3 decisions visible to A4 during adjudication, so the observed within-reference association may partly reflect shared reference construction rather than an independently measured item-difficulty trait.</w:t>
      </w:r>
    </w:p>
    <w:p w14:paraId="4239F04A">
      <w:pPr>
        <w:widowControl/>
      </w:pPr>
      <w:r>
        <w:t>Post-hoc strict annotator-to-adjudicated-reference macro-F1 ranges are .863–.957 (T1), .835–.936 (T2), .847–.930 (T3), and .644–.858 (T4); T4 QWK ranges from .488 to .854. These values contextualise computational scores but are not independent human ceilings because FINAL GOLD uses the same A1–A3 judgments plus senior resolution (Supplementary Table S69). Excluding the 29 targeted re-review cases without retraining changes M3 macro-F1 by at most .012 and M4 by at most .009, without materially altering the reported aggregate point-estimate pattern; this subset exclusion is not an independent validation.</w:t>
      </w:r>
      <w:r>
        <w:t xml:space="preserve"> Dual and five size-matched values share fixed held-out cases; the five subset repetitions are dependent and alter training composition, so SD is descriptive and not an independent-replication CI.</w:t>
      </w:r>
    </w:p>
    <w:p w14:paraId="173FA2D8">
      <w:pPr>
        <w:pStyle w:val="3"/>
        <w:keepNext/>
        <w:keepLines/>
      </w:pPr>
      <w:r>
        <w:rPr>
          <w:color w:val="000000"/>
        </w:rPr>
        <w:t>6.4 RQ4: Reference robustness—leakage, seed stability, and cross-task transfer</w:t>
      </w:r>
    </w:p>
    <w:p w14:paraId="2B812585">
      <w:pPr>
        <w:widowControl/>
      </w:pPr>
      <w:r>
        <w:t>No exact normalised prompt or prompt-plus-source duplicate crossed the frozen folds; maximum TF-IDF similarities were .629 and .315 and sentence-embedding maxima .797 and .626, respectively. Manual review of the highest-similarity pairs found repeated task templates or related but distinct instances rather than obvious duplicate tasks. These diagnostics reduce concern about direct duplication but cannot exclude every latent semantic equivalence.</w:t>
      </w:r>
    </w:p>
    <w:p w14:paraId="2C586857">
      <w:pPr>
        <w:widowControl/>
      </w:pPr>
      <w:r>
        <w:t>Across three full-pipeline M3 Condition-C runs, macro-F1 ranges were .640–.655, .752–.777, .791–.825, and .637–.691 on T1–T4; corresponding seed SDs were .008, .013, .017, and .030. Seed 20260908 remained the frozen reference and the two additional seeds were stability reruns, not candidates for best-seed selection. LOTO transfer was materially task-dependent: median macro-F1 was .494, .540, .566, and .529 on T1–T4, with wide within-target ranges (Supplementary Tables S65–S67). These are internal robustness results, not evidence of transportability to unseen task families or domains.</w:t>
      </w:r>
    </w:p>
    <w:p w14:paraId="720E2294">
      <w:pPr>
        <w:pStyle w:val="3"/>
        <w:keepNext/>
        <w:keepLines/>
      </w:pPr>
      <w:r>
        <w:rPr>
          <w:color w:val="000000"/>
        </w:rPr>
        <w:t>6.5 Post-hoc validity check: truncation and generator-associated shortcut sensitivity</w:t>
      </w:r>
    </w:p>
    <w:p w14:paraId="7094E790">
      <w:pPr>
        <w:widowControl/>
      </w:pPr>
      <w:r>
        <w:t>The Condition-C length audit provides no evidence of max-length truncation as an explanation for the M3 B→C pattern in these frozen inputs. Reconstructed ModernBERT input lengths had median 122 tokens, 95th percentile 378, and maximum 446; 0/720 cases exceeded the 1,024-token limit. Because no Condition-C case reached the model cap, the negative B→C differences observed for some M3 targets cannot be attributed to automatic max-length truncation of these frozen inputs.</w:t>
      </w:r>
    </w:p>
    <w:p w14:paraId="4B3E11FA">
      <w:pPr>
        <w:widowControl/>
      </w:pPr>
      <w:r>
        <w:t>The output-only generator-signature probe reaches six-way macro-F1 .536 (95% Prompt_ID-cluster CI [.496, .572]), compared with a nominal 1/6 chance level. The above-chance prediction of generating checkpoint from output text is consistent with residual provenance-associated surface cues despite withholding an explicit checkpoint identifier. The completed post-hoc server run evaluates both M1 and M3 under strict prompt-plus-generator blocking and five random size-matched controls per target. The new dual-blocked M3 scores are .591/.671/.682/.573 on T1–T4 (Table 15). These complete reruns supersede the earlier blocked M3 execution for this sensitivity analysis; they do not replace the frozen standard Condition-C reference scores or the archived A/B/C, seed, and LOTO analyses. The later completed-server protocol has now been independently reconciled against all four target-specific dual OOF case files (N=720/474/460/474) from the archived nested GPU execution reports; corresponding M3 dual macro-F1 is .591323/.671148/.681836/.573273. All 24 archived dual/size-matched experiment reports were recalculated from their own saved case predictions and found consistent with their score summaries. Earlier September repository documentation gave .553/.675/.701/.601 for a distinct, earlier blocked run; those numbers are explicitly superseded for the present Table 15 and preserved in an audit ledger. This reconciliation does not establish bit-identical fresh retraining or a causal generator-signature effect.</w:t>
      </w:r>
    </w:p>
    <w:p w14:paraId="3B0F7EBF">
      <w:pPr>
        <w:widowControl/>
      </w:pPr>
      <w:r>
        <w:t>Final-source check (14 October 2026): the T1–T4 M3 strict dual-blocking macro-F1 values in Table 15 agree with the archived M3_*_dual_r0_C experiments in results.rar (0.591/0.671/0.682/0.573 at reported precision). Earlier duplicated M3 dual values, including 0.553/0.675/0.701/0.601, are superseded and are not alternative final results. This spot-check is not a certification of all five-repeat means, M1 controls or all intervals.</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936"/>
        <w:gridCol w:w="1440"/>
        <w:gridCol w:w="1656"/>
        <w:gridCol w:w="936"/>
        <w:gridCol w:w="1800"/>
      </w:tblGrid>
      <w:tr w14:paraId="5AE6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val="true"/>
          <w:tblHeader w:val="true"/>
        </w:trPr>
        <w:tc>
          <w:tcPr>
            <w:tcW w:w="93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t>Target</w:t>
            </w:r>
          </w:p>
        </w:tc>
        <w:tc>
          <w:tcPr>
            <w:tcW w:w="1440"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t>M1 dual</w:t>
            </w:r>
          </w:p>
        </w:tc>
        <w:tc>
          <w:tcPr>
            <w:tcW w:w="165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t>M1 matched mean (SD)</w:t>
            </w:r>
          </w:p>
        </w:tc>
        <w:tc>
          <w:tcPr>
            <w:tcW w:w="936"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t>M3 dual</w:t>
            </w:r>
          </w:p>
        </w:tc>
        <w:tc>
          <w:tcPr>
            <w:tcW w:w="1800" w:type="dxa"/>
            <w:vAlign w:val="center"/>
            <w:tcMar>
              <w:top w:w="65" w:type="dxa"/>
              <w:start w:w="68" w:type="dxa"/>
              <w:bottom w:w="65" w:type="dxa"/>
              <w:end w:w="68" w:type="dxa"/>
            </w:tcMar>
            <w:shd w:val="clear" w:color="auto" w:fill="E8F0F8"/>
          </w:tcPr>
          <w:p>
            <w:pPr>
              <w:spacing w:before="0" w:after="0"/>
            </w:pPr>
            <w:r>
              <w:rPr>
                <w:rFonts w:ascii="Times New Roman" w:hAnsi="Times New Roman"/>
                <w:b/>
                <w:color w:val="1E364D"/>
                <w:sz w:val="15"/>
              </w:rPr>
              <w:t>M3 matched mean (SD)</w:t>
            </w:r>
          </w:p>
        </w:tc>
      </w:tr>
      <w:tr w14:paraId="52E7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936" w:type="dxa"/>
            <w:vAlign w:val="center"/>
            <w:tcMar>
              <w:top w:w="65" w:type="dxa"/>
              <w:start w:w="68" w:type="dxa"/>
              <w:bottom w:w="65" w:type="dxa"/>
              <w:end w:w="68" w:type="dxa"/>
            </w:tcMar>
          </w:tcPr>
          <w:p>
            <w:pPr>
              <w:spacing w:before="0" w:after="0"/>
            </w:pPr>
            <w:r>
              <w:rPr>
                <w:rFonts w:ascii="Times New Roman" w:hAnsi="Times New Roman"/>
                <w:sz w:val="15"/>
              </w:rPr>
              <w:t>T1</w:t>
            </w:r>
          </w:p>
        </w:tc>
        <w:tc>
          <w:tcPr>
            <w:tcW w:w="1440" w:type="dxa"/>
            <w:vAlign w:val="center"/>
            <w:tcMar>
              <w:top w:w="65" w:type="dxa"/>
              <w:start w:w="68" w:type="dxa"/>
              <w:bottom w:w="65" w:type="dxa"/>
              <w:end w:w="68" w:type="dxa"/>
            </w:tcMar>
          </w:tcPr>
          <w:p>
            <w:pPr>
              <w:spacing w:before="0" w:after="0"/>
            </w:pPr>
            <w:r>
              <w:rPr>
                <w:rFonts w:ascii="Times New Roman" w:hAnsi="Times New Roman"/>
                <w:sz w:val="15"/>
              </w:rPr>
              <w:t>0.559</w:t>
            </w:r>
          </w:p>
        </w:tc>
        <w:tc>
          <w:tcPr>
            <w:tcW w:w="1656" w:type="dxa"/>
            <w:vAlign w:val="center"/>
            <w:tcMar>
              <w:top w:w="65" w:type="dxa"/>
              <w:start w:w="68" w:type="dxa"/>
              <w:bottom w:w="65" w:type="dxa"/>
              <w:end w:w="68" w:type="dxa"/>
            </w:tcMar>
          </w:tcPr>
          <w:p>
            <w:pPr>
              <w:spacing w:before="0" w:after="0"/>
            </w:pPr>
            <w:r>
              <w:rPr>
                <w:rFonts w:ascii="Times New Roman" w:hAnsi="Times New Roman"/>
                <w:sz w:val="15"/>
              </w:rPr>
              <w:t>0.601 (0.008)</w:t>
            </w:r>
          </w:p>
        </w:tc>
        <w:tc>
          <w:tcPr>
            <w:tcW w:w="936" w:type="dxa"/>
            <w:vAlign w:val="center"/>
            <w:tcMar>
              <w:top w:w="65" w:type="dxa"/>
              <w:start w:w="68" w:type="dxa"/>
              <w:bottom w:w="65" w:type="dxa"/>
              <w:end w:w="68" w:type="dxa"/>
            </w:tcMar>
          </w:tcPr>
          <w:p>
            <w:pPr>
              <w:spacing w:before="0" w:after="0"/>
            </w:pPr>
            <w:r>
              <w:rPr>
                <w:rFonts w:ascii="Times New Roman" w:hAnsi="Times New Roman"/>
                <w:sz w:val="15"/>
              </w:rPr>
              <w:t>0.591</w:t>
            </w:r>
          </w:p>
        </w:tc>
        <w:tc>
          <w:tcPr>
            <w:tcW w:w="1800" w:type="dxa"/>
            <w:vAlign w:val="center"/>
            <w:tcMar>
              <w:top w:w="65" w:type="dxa"/>
              <w:start w:w="68" w:type="dxa"/>
              <w:bottom w:w="65" w:type="dxa"/>
              <w:end w:w="68" w:type="dxa"/>
            </w:tcMar>
          </w:tcPr>
          <w:p>
            <w:pPr>
              <w:spacing w:before="0" w:after="0"/>
            </w:pPr>
            <w:r>
              <w:rPr>
                <w:rFonts w:ascii="Times New Roman" w:hAnsi="Times New Roman"/>
                <w:sz w:val="15"/>
              </w:rPr>
              <w:t>0.630 (0.021)</w:t>
            </w:r>
          </w:p>
        </w:tc>
      </w:tr>
      <w:tr w14:paraId="488F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936" w:type="dxa"/>
            <w:vAlign w:val="center"/>
            <w:tcMar>
              <w:top w:w="65" w:type="dxa"/>
              <w:start w:w="68" w:type="dxa"/>
              <w:bottom w:w="65" w:type="dxa"/>
              <w:end w:w="68" w:type="dxa"/>
            </w:tcMar>
          </w:tcPr>
          <w:p>
            <w:pPr>
              <w:spacing w:before="0" w:after="0"/>
            </w:pPr>
            <w:r>
              <w:rPr>
                <w:rFonts w:ascii="Times New Roman" w:hAnsi="Times New Roman"/>
                <w:sz w:val="15"/>
              </w:rPr>
              <w:t>T2</w:t>
            </w:r>
          </w:p>
        </w:tc>
        <w:tc>
          <w:tcPr>
            <w:tcW w:w="1440" w:type="dxa"/>
            <w:vAlign w:val="center"/>
            <w:tcMar>
              <w:top w:w="65" w:type="dxa"/>
              <w:start w:w="68" w:type="dxa"/>
              <w:bottom w:w="65" w:type="dxa"/>
              <w:end w:w="68" w:type="dxa"/>
            </w:tcMar>
          </w:tcPr>
          <w:p>
            <w:pPr>
              <w:spacing w:before="0" w:after="0"/>
            </w:pPr>
            <w:r>
              <w:rPr>
                <w:rFonts w:ascii="Times New Roman" w:hAnsi="Times New Roman"/>
                <w:sz w:val="15"/>
              </w:rPr>
              <w:t>0.593</w:t>
            </w:r>
          </w:p>
        </w:tc>
        <w:tc>
          <w:tcPr>
            <w:tcW w:w="1656" w:type="dxa"/>
            <w:vAlign w:val="center"/>
            <w:tcMar>
              <w:top w:w="65" w:type="dxa"/>
              <w:start w:w="68" w:type="dxa"/>
              <w:bottom w:w="65" w:type="dxa"/>
              <w:end w:w="68" w:type="dxa"/>
            </w:tcMar>
          </w:tcPr>
          <w:p>
            <w:pPr>
              <w:spacing w:before="0" w:after="0"/>
            </w:pPr>
            <w:r>
              <w:rPr>
                <w:rFonts w:ascii="Times New Roman" w:hAnsi="Times New Roman"/>
                <w:sz w:val="15"/>
              </w:rPr>
              <w:t>0.646 (0.016)</w:t>
            </w:r>
          </w:p>
        </w:tc>
        <w:tc>
          <w:tcPr>
            <w:tcW w:w="936" w:type="dxa"/>
            <w:vAlign w:val="center"/>
            <w:tcMar>
              <w:top w:w="65" w:type="dxa"/>
              <w:start w:w="68" w:type="dxa"/>
              <w:bottom w:w="65" w:type="dxa"/>
              <w:end w:w="68" w:type="dxa"/>
            </w:tcMar>
          </w:tcPr>
          <w:p>
            <w:pPr>
              <w:spacing w:before="0" w:after="0"/>
            </w:pPr>
            <w:r>
              <w:rPr>
                <w:rFonts w:ascii="Times New Roman" w:hAnsi="Times New Roman"/>
                <w:sz w:val="15"/>
              </w:rPr>
              <w:t>0.671</w:t>
            </w:r>
          </w:p>
        </w:tc>
        <w:tc>
          <w:tcPr>
            <w:tcW w:w="1800" w:type="dxa"/>
            <w:vAlign w:val="center"/>
            <w:tcMar>
              <w:top w:w="65" w:type="dxa"/>
              <w:start w:w="68" w:type="dxa"/>
              <w:bottom w:w="65" w:type="dxa"/>
              <w:end w:w="68" w:type="dxa"/>
            </w:tcMar>
          </w:tcPr>
          <w:p>
            <w:pPr>
              <w:spacing w:before="0" w:after="0"/>
            </w:pPr>
            <w:r>
              <w:rPr>
                <w:rFonts w:ascii="Times New Roman" w:hAnsi="Times New Roman"/>
                <w:sz w:val="15"/>
              </w:rPr>
              <w:t>0.749 (0.014)</w:t>
            </w:r>
          </w:p>
        </w:tc>
      </w:tr>
      <w:tr w14:paraId="6E17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936" w:type="dxa"/>
            <w:vAlign w:val="center"/>
            <w:tcMar>
              <w:top w:w="65" w:type="dxa"/>
              <w:start w:w="68" w:type="dxa"/>
              <w:bottom w:w="65" w:type="dxa"/>
              <w:end w:w="68" w:type="dxa"/>
            </w:tcMar>
          </w:tcPr>
          <w:p>
            <w:pPr>
              <w:spacing w:before="0" w:after="0"/>
            </w:pPr>
            <w:r>
              <w:rPr>
                <w:rFonts w:ascii="Times New Roman" w:hAnsi="Times New Roman"/>
                <w:sz w:val="15"/>
              </w:rPr>
              <w:t>T3</w:t>
            </w:r>
          </w:p>
        </w:tc>
        <w:tc>
          <w:tcPr>
            <w:tcW w:w="1440" w:type="dxa"/>
            <w:vAlign w:val="center"/>
            <w:tcMar>
              <w:top w:w="65" w:type="dxa"/>
              <w:start w:w="68" w:type="dxa"/>
              <w:bottom w:w="65" w:type="dxa"/>
              <w:end w:w="68" w:type="dxa"/>
            </w:tcMar>
          </w:tcPr>
          <w:p>
            <w:pPr>
              <w:spacing w:before="0" w:after="0"/>
            </w:pPr>
            <w:r>
              <w:rPr>
                <w:rFonts w:ascii="Times New Roman" w:hAnsi="Times New Roman"/>
                <w:sz w:val="15"/>
              </w:rPr>
              <w:t>0.519</w:t>
            </w:r>
          </w:p>
        </w:tc>
        <w:tc>
          <w:tcPr>
            <w:tcW w:w="1656" w:type="dxa"/>
            <w:vAlign w:val="center"/>
            <w:tcMar>
              <w:top w:w="65" w:type="dxa"/>
              <w:start w:w="68" w:type="dxa"/>
              <w:bottom w:w="65" w:type="dxa"/>
              <w:end w:w="68" w:type="dxa"/>
            </w:tcMar>
          </w:tcPr>
          <w:p>
            <w:pPr>
              <w:spacing w:before="0" w:after="0"/>
            </w:pPr>
            <w:r>
              <w:rPr>
                <w:rFonts w:ascii="Times New Roman" w:hAnsi="Times New Roman"/>
                <w:sz w:val="15"/>
              </w:rPr>
              <w:t>0.675 (0.015)</w:t>
            </w:r>
          </w:p>
        </w:tc>
        <w:tc>
          <w:tcPr>
            <w:tcW w:w="936" w:type="dxa"/>
            <w:vAlign w:val="center"/>
            <w:tcMar>
              <w:top w:w="65" w:type="dxa"/>
              <w:start w:w="68" w:type="dxa"/>
              <w:bottom w:w="65" w:type="dxa"/>
              <w:end w:w="68" w:type="dxa"/>
            </w:tcMar>
          </w:tcPr>
          <w:p>
            <w:pPr>
              <w:spacing w:before="0" w:after="0"/>
            </w:pPr>
            <w:r>
              <w:rPr>
                <w:rFonts w:ascii="Times New Roman" w:hAnsi="Times New Roman"/>
                <w:sz w:val="15"/>
              </w:rPr>
              <w:t>0.682</w:t>
            </w:r>
          </w:p>
        </w:tc>
        <w:tc>
          <w:tcPr>
            <w:tcW w:w="1800" w:type="dxa"/>
            <w:vAlign w:val="center"/>
            <w:tcMar>
              <w:top w:w="65" w:type="dxa"/>
              <w:start w:w="68" w:type="dxa"/>
              <w:bottom w:w="65" w:type="dxa"/>
              <w:end w:w="68" w:type="dxa"/>
            </w:tcMar>
          </w:tcPr>
          <w:p>
            <w:pPr>
              <w:spacing w:before="0" w:after="0"/>
            </w:pPr>
            <w:r>
              <w:rPr>
                <w:rFonts w:ascii="Times New Roman" w:hAnsi="Times New Roman"/>
                <w:sz w:val="15"/>
              </w:rPr>
              <w:t>0.781 (0.006)</w:t>
            </w:r>
          </w:p>
        </w:tc>
      </w:tr>
      <w:tr w14:paraId="6865A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936" w:type="dxa"/>
            <w:vAlign w:val="center"/>
            <w:tcMar>
              <w:top w:w="65" w:type="dxa"/>
              <w:start w:w="68" w:type="dxa"/>
              <w:bottom w:w="65" w:type="dxa"/>
              <w:end w:w="68" w:type="dxa"/>
            </w:tcMar>
          </w:tcPr>
          <w:p>
            <w:pPr>
              <w:spacing w:before="0" w:after="0"/>
            </w:pPr>
            <w:r>
              <w:rPr>
                <w:rFonts w:ascii="Times New Roman" w:hAnsi="Times New Roman"/>
                <w:sz w:val="15"/>
              </w:rPr>
              <w:t>T4</w:t>
            </w:r>
          </w:p>
        </w:tc>
        <w:tc>
          <w:tcPr>
            <w:tcW w:w="1440" w:type="dxa"/>
            <w:vAlign w:val="center"/>
            <w:tcMar>
              <w:top w:w="65" w:type="dxa"/>
              <w:start w:w="68" w:type="dxa"/>
              <w:bottom w:w="65" w:type="dxa"/>
              <w:end w:w="68" w:type="dxa"/>
            </w:tcMar>
          </w:tcPr>
          <w:p>
            <w:pPr>
              <w:spacing w:before="0" w:after="0"/>
            </w:pPr>
            <w:r>
              <w:rPr>
                <w:rFonts w:ascii="Times New Roman" w:hAnsi="Times New Roman"/>
                <w:sz w:val="15"/>
              </w:rPr>
              <w:t>0.380</w:t>
            </w:r>
          </w:p>
        </w:tc>
        <w:tc>
          <w:tcPr>
            <w:tcW w:w="1656" w:type="dxa"/>
            <w:vAlign w:val="center"/>
            <w:tcMar>
              <w:top w:w="65" w:type="dxa"/>
              <w:start w:w="68" w:type="dxa"/>
              <w:bottom w:w="65" w:type="dxa"/>
              <w:end w:w="68" w:type="dxa"/>
            </w:tcMar>
          </w:tcPr>
          <w:p>
            <w:pPr>
              <w:spacing w:before="0" w:after="0"/>
            </w:pPr>
            <w:r>
              <w:rPr>
                <w:rFonts w:ascii="Times New Roman" w:hAnsi="Times New Roman"/>
                <w:sz w:val="15"/>
              </w:rPr>
              <w:t>0.518 (0.019)</w:t>
            </w:r>
          </w:p>
        </w:tc>
        <w:tc>
          <w:tcPr>
            <w:tcW w:w="936" w:type="dxa"/>
            <w:vAlign w:val="center"/>
            <w:tcMar>
              <w:top w:w="65" w:type="dxa"/>
              <w:start w:w="68" w:type="dxa"/>
              <w:bottom w:w="65" w:type="dxa"/>
              <w:end w:w="68" w:type="dxa"/>
            </w:tcMar>
          </w:tcPr>
          <w:p>
            <w:pPr>
              <w:spacing w:before="0" w:after="0"/>
            </w:pPr>
            <w:r>
              <w:rPr>
                <w:rFonts w:ascii="Times New Roman" w:hAnsi="Times New Roman"/>
                <w:sz w:val="15"/>
              </w:rPr>
              <w:t>0.573</w:t>
            </w:r>
          </w:p>
        </w:tc>
        <w:tc>
          <w:tcPr>
            <w:tcW w:w="1800" w:type="dxa"/>
            <w:vAlign w:val="center"/>
            <w:tcMar>
              <w:top w:w="65" w:type="dxa"/>
              <w:start w:w="68" w:type="dxa"/>
              <w:bottom w:w="65" w:type="dxa"/>
              <w:end w:w="68" w:type="dxa"/>
            </w:tcMar>
          </w:tcPr>
          <w:p>
            <w:pPr>
              <w:spacing w:before="0" w:after="0"/>
            </w:pPr>
            <w:r>
              <w:rPr>
                <w:rFonts w:ascii="Times New Roman" w:hAnsi="Times New Roman"/>
                <w:sz w:val="15"/>
              </w:rPr>
              <w:t>0.644 (0.014)</w:t>
            </w:r>
          </w:p>
        </w:tc>
      </w:tr>
    </w:tbl>
    <w:p>
      <w:pPr>
        <w:widowControl/>
      </w:pPr>
      <w:r>
        <w:t>For M1, the five size-matched means are .601/.646/.675/.518, compared with dual-blocked .559/.593/.519/.380. For M3, the corresponding means are .630/.749/.781/.644, compared with .591/.671/.682/.573. M3 dual-minus-size-matched paired 95% intervals are below zero for all five repetitions on T2–T4; T1 intervals include zero in two repetitions. In these five row-count-matched controls, reducing training-row count did not reproduce the full dual-blocked penalty. This does not rule out changes in class mixture, generator composition, or development-split composition as alternative explanations. Generator removal also changes training composition and can change inner-development size and composition; these results do not uniquely identify surface shortcuts or establish generator-invariant semantic competence. New dual-blocked M3-minus-M1 differences are .032 [−.013, .079], .079 [.035, .128], .163 [.109, .222], and .193 [.140, .247] for T1–T4. All intervals in this follow-up are descriptive task-stratified Prompt_ID-cluster intervals (Supplementary Section S9.13).</w:t>
      </w:r>
    </w:p>
    <w:p w14:paraId="74E89933">
      <w:pPr>
        <w:pStyle w:val="3"/>
        <w:keepNext/>
        <w:keepLines/>
      </w:pPr>
      <w:r>
        <w:rPr>
          <w:color w:val="000000"/>
        </w:rPr>
        <w:t>6.6 RQ3: Reference diagnostic error structure</w:t>
      </w:r>
    </w:p>
    <w:p w14:paraId="05202C73">
      <w:pPr>
        <w:widowControl/>
      </w:pPr>
      <w:r>
        <w:t>Class-specific diagnostics show heterogeneous errors that would be obscured by reporting aggregate macro-F1 alone. For primary-seed M3 Condition C, class F1 is .567/.743 for T1 no_failure/failure, .824/.731 for T2 semantic_only/grounding-involved, .874/.708 for T3 Core SCF/OVR, and .469/.677/.764 for T4 severity 1/2/3. In T4, only 12/474 predictions are non-adjacent severity errors (four 1→3 and eight 3→1), giving 97.5% within-one accuracy despite weaker exact separation of severity 1; a constant severity-3 predictor would itself achieve 86.1% within-one accuracy on the frozen T4 reference (408/474 gold levels 2 or 3). The 97.5% figure is therefore not sufficient by itself to support finely discriminative ordinal recovery. Under the archived reference M4 protocol, T4 uses severity 2 only 20 times, recalls 5.6% of gold severity-2 cases, and yields class F1 .375/.102/.695 for severity 1/2/3; on T3 it predicts OVR for 276/460 cases (gold OVR = 127). These diagnostics describe the frozen reference protocols rather than stable properties of an architecture or model family. Full class metrics and the M3 three-seed class ranges are reported in Supplementary Tables S70 and S71. The GOLD T4 severity-1 category has 66/474 cases, and its M3 class-F1 is .469; neither pooled within-one accuracy nor a numerical one-level tolerance substitutes for adequate recovery of this less frequent severity category.</w:t>
      </w:r>
    </w:p>
    <w:p>
      <w:r>
        <w:t>Construct interpretation. The T3 code-family comparison is strongly associated with the semantic_only/overlap boundary in the eligible GOLD reference (Cramér’s V = .728; counts 286/47 for Core-SCF and 10/117 for OVR). High T3 scores must not be interpreted as demonstrating a grounding-independent recovery of semantic mechanisms; this observed dependency also limits clean cross-axis attribution.</w:t>
      </w:r>
      <w:r>
        <w:t xml:space="preserve"> The eligible contingency includes Core-SCF 286 semantic_only / 47 overlap and OVR 10 semantic_only / 117 overlap; grouped classification may use grounding-associated cues, and SCF-03 plus SCF-04 account for 305/333 (91.6%) Core-SCF instances. T3 macro-F1 therefore is NOT a measure of independent recognition of all fine-grained discourse mechanisms. See Supplementary Tables S21, S24, and S35–S36.</w:t>
      </w:r>
    </w:p>
    <w:p w14:paraId="61477901">
      <w:pPr>
        <w:widowControl/>
      </w:pPr>
      <w:r>
        <w:t>The deterministic eight-case qualitative audit further shows that M3 errors are heterogeneous rather than reducible to one failure mode. The selected T1 errors include overcalling acceptable but stylistically atypical or verbose responses; T2–T3 examples include missed grounding/inconsistency involvement in outputs that also contain repetition or mixed mechanisms; and the selected T4 examples are adjacent severity-boundary decisions rather than gross 1 ↔ 3 confusions. Because selection is by a fixed highest-confidence rule within target × human-difficulty strata, these examples are illustrations of observed failure forms, not estimates of their frequency (Supplementary Table S72).</w:t>
      </w:r>
      <w:r>
        <w:t xml:space="preserve"> Selected confidence-ranked M3 errors are not a sample of prevalence or a controlled test of whether surface degeneration, source mismatch, or a particular discourse relation caused the error; Table S71 should be read as a deterministic case audit only.</w:t>
      </w:r>
    </w:p>
    <w:p w14:paraId="1ADB23D3">
      <w:pPr>
        <w:pStyle w:val="3"/>
        <w:keepNext/>
        <w:keepLines/>
      </w:pPr>
      <w:r>
        <w:rPr>
          <w:color w:val="000000"/>
        </w:rPr>
        <w:t>6.7 Post-hoc validity check: M4 protocol sensitivity</w:t>
      </w:r>
    </w:p>
    <w:p w14:paraId="1DD8FD68">
      <w:pPr>
        <w:keepNext/>
        <w:widowControl/>
      </w:pPr>
      <w:r>
        <w:t>Table 16. M4 Condition-C protocol sensitivity. P1/identity is the archived reference configuration; ranges summarise all executed template/code variants.</w:t>
      </w:r>
      <w:r>
        <w:t xml:space="preserve"> Intervals are nominal/design-conditional over the fixed target-eligible prompt clusters (2,000 task-stratified draws, seed 20260928), not across judge architectures or prospective generator populations.</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792"/>
        <w:gridCol w:w="1152"/>
        <w:gridCol w:w="1944"/>
        <w:gridCol w:w="1440"/>
        <w:gridCol w:w="1224"/>
        <w:gridCol w:w="812"/>
      </w:tblGrid>
      <w:tr w14:paraId="53D89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792" w:type="dxa"/>
            <w:vAlign w:val="center"/>
            <w:tcMar>
              <w:top w:w="65" w:type="dxa"/>
              <w:start w:w="68" w:type="dxa"/>
              <w:bottom w:w="65" w:type="dxa"/>
              <w:end w:w="68" w:type="dxa"/>
            </w:tcMar>
            <w:shd w:val="clear" w:color="auto" w:fill="E8F0F8"/>
          </w:tcPr>
          <w:p w14:paraId="60EFB6FE">
            <w:pPr>
              <w:spacing w:before="0" w:after="0"/>
              <w:rPr>
                <w:sz w:val="16"/>
                <w:szCs w:val="16"/>
              </w:rPr>
            </w:pPr>
            <w:r>
              <w:rPr>
                <w:rFonts w:ascii="Times New Roman" w:hAnsi="Times New Roman"/>
                <w:b/>
                <w:color w:val="1E364D"/>
                <w:sz w:val="15"/>
                <w:szCs w:val="16"/>
              </w:rPr>
              <w:t>Target</w:t>
            </w:r>
          </w:p>
        </w:tc>
        <w:tc>
          <w:tcPr>
            <w:tcW w:w="1152" w:type="dxa"/>
            <w:vAlign w:val="center"/>
            <w:tcMar>
              <w:top w:w="65" w:type="dxa"/>
              <w:start w:w="68" w:type="dxa"/>
              <w:bottom w:w="65" w:type="dxa"/>
              <w:end w:w="68" w:type="dxa"/>
            </w:tcMar>
            <w:shd w:val="clear" w:color="auto" w:fill="E8F0F8"/>
          </w:tcPr>
          <w:p w14:paraId="5608DBE2">
            <w:pPr>
              <w:spacing w:before="0" w:after="0"/>
              <w:rPr>
                <w:sz w:val="16"/>
                <w:szCs w:val="16"/>
              </w:rPr>
            </w:pPr>
            <w:r>
              <w:rPr>
                <w:rFonts w:ascii="Times New Roman" w:hAnsi="Times New Roman"/>
                <w:b/>
                <w:color w:val="1E364D"/>
                <w:sz w:val="15"/>
                <w:szCs w:val="16"/>
              </w:rPr>
              <w:t>P1/identity</w:t>
            </w:r>
          </w:p>
        </w:tc>
        <w:tc>
          <w:tcPr>
            <w:tcW w:w="1944" w:type="dxa"/>
            <w:vAlign w:val="center"/>
            <w:tcMar>
              <w:top w:w="65" w:type="dxa"/>
              <w:start w:w="68" w:type="dxa"/>
              <w:bottom w:w="65" w:type="dxa"/>
              <w:end w:w="68" w:type="dxa"/>
            </w:tcMar>
            <w:shd w:val="clear" w:color="auto" w:fill="E8F0F8"/>
          </w:tcPr>
          <w:p w14:paraId="4C5B5166">
            <w:pPr>
              <w:spacing w:before="0" w:after="0"/>
              <w:rPr>
                <w:sz w:val="16"/>
                <w:szCs w:val="16"/>
              </w:rPr>
            </w:pPr>
            <w:r>
              <w:rPr>
                <w:rFonts w:ascii="Times New Roman" w:hAnsi="Times New Roman"/>
                <w:b/>
                <w:color w:val="1E364D"/>
                <w:sz w:val="15"/>
                <w:szCs w:val="16"/>
              </w:rPr>
              <w:t>P2 identity − P1 identity</w:t>
            </w:r>
          </w:p>
        </w:tc>
        <w:tc>
          <w:tcPr>
            <w:tcW w:w="1440" w:type="dxa"/>
            <w:vAlign w:val="center"/>
            <w:tcMar>
              <w:top w:w="65" w:type="dxa"/>
              <w:start w:w="68" w:type="dxa"/>
              <w:bottom w:w="65" w:type="dxa"/>
              <w:end w:w="68" w:type="dxa"/>
            </w:tcMar>
            <w:shd w:val="clear" w:color="auto" w:fill="E8F0F8"/>
          </w:tcPr>
          <w:p w14:paraId="1634525E">
            <w:pPr>
              <w:spacing w:before="0" w:after="0"/>
              <w:rPr>
                <w:sz w:val="16"/>
                <w:szCs w:val="16"/>
              </w:rPr>
            </w:pPr>
            <w:r>
              <w:rPr>
                <w:rFonts w:ascii="Times New Roman" w:hAnsi="Times New Roman"/>
                <w:b/>
                <w:color w:val="1E364D"/>
                <w:sz w:val="15"/>
                <w:szCs w:val="16"/>
              </w:rPr>
              <w:t>Variant mean (SD)</w:t>
            </w:r>
          </w:p>
        </w:tc>
        <w:tc>
          <w:tcPr>
            <w:tcW w:w="1224" w:type="dxa"/>
            <w:vAlign w:val="center"/>
            <w:tcMar>
              <w:top w:w="65" w:type="dxa"/>
              <w:start w:w="68" w:type="dxa"/>
              <w:bottom w:w="65" w:type="dxa"/>
              <w:end w:w="68" w:type="dxa"/>
            </w:tcMar>
            <w:shd w:val="clear" w:color="auto" w:fill="E8F0F8"/>
          </w:tcPr>
          <w:p w14:paraId="7DC1A58A">
            <w:pPr>
              <w:spacing w:before="0" w:after="0"/>
              <w:rPr>
                <w:sz w:val="16"/>
                <w:szCs w:val="16"/>
              </w:rPr>
            </w:pPr>
            <w:r>
              <w:rPr>
                <w:rFonts w:ascii="Times New Roman" w:hAnsi="Times New Roman"/>
                <w:b/>
                <w:color w:val="1E364D"/>
                <w:sz w:val="15"/>
                <w:szCs w:val="16"/>
              </w:rPr>
              <w:t>Min–max</w:t>
            </w:r>
          </w:p>
        </w:tc>
        <w:tc>
          <w:tcPr>
            <w:tcW w:w="792" w:type="dxa"/>
            <w:vAlign w:val="center"/>
            <w:tcMar>
              <w:top w:w="65" w:type="dxa"/>
              <w:start w:w="68" w:type="dxa"/>
              <w:bottom w:w="65" w:type="dxa"/>
              <w:end w:w="68" w:type="dxa"/>
            </w:tcMar>
            <w:shd w:val="clear" w:color="auto" w:fill="E8F0F8"/>
          </w:tcPr>
          <w:p w14:paraId="03B4EEC3">
            <w:pPr>
              <w:spacing w:before="0" w:after="0"/>
              <w:rPr>
                <w:sz w:val="16"/>
                <w:szCs w:val="16"/>
              </w:rPr>
            </w:pPr>
            <w:r>
              <w:rPr>
                <w:rFonts w:ascii="Times New Roman" w:hAnsi="Times New Roman"/>
                <w:b/>
                <w:color w:val="1E364D"/>
                <w:sz w:val="15"/>
                <w:szCs w:val="16"/>
              </w:rPr>
              <w:t>Variants</w:t>
            </w:r>
          </w:p>
        </w:tc>
      </w:tr>
      <w:tr w14:paraId="1FA1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vAlign w:val="center"/>
            <w:tcMar>
              <w:top w:w="65" w:type="dxa"/>
              <w:start w:w="68" w:type="dxa"/>
              <w:bottom w:w="65" w:type="dxa"/>
              <w:end w:w="68" w:type="dxa"/>
            </w:tcMar>
          </w:tcPr>
          <w:p w14:paraId="6D4DCAFB">
            <w:pPr>
              <w:spacing w:before="0" w:after="0"/>
              <w:rPr>
                <w:sz w:val="16"/>
                <w:szCs w:val="16"/>
              </w:rPr>
            </w:pPr>
            <w:r>
              <w:rPr>
                <w:rFonts w:ascii="Times New Roman" w:hAnsi="Times New Roman"/>
                <w:sz w:val="15"/>
                <w:szCs w:val="16"/>
              </w:rPr>
              <w:t>T1</w:t>
            </w:r>
          </w:p>
        </w:tc>
        <w:tc>
          <w:tcPr>
            <w:tcW w:w="1152" w:type="dxa"/>
            <w:vAlign w:val="center"/>
            <w:tcMar>
              <w:top w:w="65" w:type="dxa"/>
              <w:start w:w="68" w:type="dxa"/>
              <w:bottom w:w="65" w:type="dxa"/>
              <w:end w:w="68" w:type="dxa"/>
            </w:tcMar>
          </w:tcPr>
          <w:p w14:paraId="07E036CC">
            <w:pPr>
              <w:spacing w:before="0" w:after="0"/>
              <w:rPr>
                <w:sz w:val="16"/>
                <w:szCs w:val="16"/>
              </w:rPr>
            </w:pPr>
            <w:r>
              <w:rPr>
                <w:rFonts w:ascii="Times New Roman" w:hAnsi="Times New Roman"/>
                <w:sz w:val="15"/>
                <w:szCs w:val="16"/>
              </w:rPr>
              <w:t>.741</w:t>
            </w:r>
          </w:p>
        </w:tc>
        <w:tc>
          <w:tcPr>
            <w:tcW w:w="1944" w:type="dxa"/>
            <w:vAlign w:val="center"/>
            <w:tcMar>
              <w:top w:w="65" w:type="dxa"/>
              <w:start w:w="68" w:type="dxa"/>
              <w:bottom w:w="65" w:type="dxa"/>
              <w:end w:w="68" w:type="dxa"/>
            </w:tcMar>
          </w:tcPr>
          <w:p w14:paraId="0A5D2169">
            <w:pPr>
              <w:spacing w:before="0" w:after="0"/>
              <w:rPr>
                <w:sz w:val="16"/>
                <w:szCs w:val="16"/>
              </w:rPr>
            </w:pPr>
            <w:r>
              <w:rPr>
                <w:rFonts w:ascii="Times New Roman" w:hAnsi="Times New Roman"/>
                <w:sz w:val="15"/>
                <w:szCs w:val="16"/>
              </w:rPr>
              <w:t>−.151</w:t>
            </w:r>
          </w:p>
        </w:tc>
        <w:tc>
          <w:tcPr>
            <w:tcW w:w="1440" w:type="dxa"/>
            <w:vAlign w:val="center"/>
            <w:tcMar>
              <w:top w:w="65" w:type="dxa"/>
              <w:start w:w="68" w:type="dxa"/>
              <w:bottom w:w="65" w:type="dxa"/>
              <w:end w:w="68" w:type="dxa"/>
            </w:tcMar>
          </w:tcPr>
          <w:p w14:paraId="01072139">
            <w:pPr>
              <w:spacing w:before="0" w:after="0"/>
              <w:rPr>
                <w:sz w:val="16"/>
                <w:szCs w:val="16"/>
              </w:rPr>
            </w:pPr>
            <w:r>
              <w:rPr>
                <w:rFonts w:ascii="Times New Roman" w:hAnsi="Times New Roman"/>
                <w:sz w:val="15"/>
                <w:szCs w:val="16"/>
              </w:rPr>
              <w:t>.686 (.068)</w:t>
            </w:r>
          </w:p>
        </w:tc>
        <w:tc>
          <w:tcPr>
            <w:tcW w:w="1224" w:type="dxa"/>
            <w:vAlign w:val="center"/>
            <w:tcMar>
              <w:top w:w="65" w:type="dxa"/>
              <w:start w:w="68" w:type="dxa"/>
              <w:bottom w:w="65" w:type="dxa"/>
              <w:end w:w="68" w:type="dxa"/>
            </w:tcMar>
          </w:tcPr>
          <w:p w14:paraId="40DEF2B4">
            <w:pPr>
              <w:spacing w:before="0" w:after="0"/>
              <w:rPr>
                <w:sz w:val="16"/>
                <w:szCs w:val="16"/>
              </w:rPr>
            </w:pPr>
            <w:r>
              <w:rPr>
                <w:rFonts w:ascii="Times New Roman" w:hAnsi="Times New Roman"/>
                <w:sz w:val="15"/>
                <w:szCs w:val="16"/>
              </w:rPr>
              <w:t>.590–.741</w:t>
            </w:r>
          </w:p>
        </w:tc>
        <w:tc>
          <w:tcPr>
            <w:tcW w:w="792" w:type="dxa"/>
            <w:vAlign w:val="center"/>
            <w:tcMar>
              <w:top w:w="65" w:type="dxa"/>
              <w:start w:w="68" w:type="dxa"/>
              <w:bottom w:w="65" w:type="dxa"/>
              <w:end w:w="68" w:type="dxa"/>
            </w:tcMar>
          </w:tcPr>
          <w:p w14:paraId="7DFCFC9A">
            <w:pPr>
              <w:spacing w:before="0" w:after="0"/>
              <w:rPr>
                <w:sz w:val="16"/>
                <w:szCs w:val="16"/>
              </w:rPr>
            </w:pPr>
            <w:r>
              <w:rPr>
                <w:rFonts w:ascii="Times New Roman" w:hAnsi="Times New Roman"/>
                <w:sz w:val="15"/>
                <w:szCs w:val="16"/>
              </w:rPr>
              <w:t>4</w:t>
            </w:r>
          </w:p>
        </w:tc>
      </w:tr>
      <w:tr w14:paraId="43AA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vAlign w:val="center"/>
            <w:tcMar>
              <w:top w:w="65" w:type="dxa"/>
              <w:start w:w="68" w:type="dxa"/>
              <w:bottom w:w="65" w:type="dxa"/>
              <w:end w:w="68" w:type="dxa"/>
            </w:tcMar>
          </w:tcPr>
          <w:p w14:paraId="32C8073F">
            <w:pPr>
              <w:spacing w:before="0" w:after="0"/>
              <w:rPr>
                <w:sz w:val="16"/>
                <w:szCs w:val="16"/>
              </w:rPr>
            </w:pPr>
            <w:r>
              <w:rPr>
                <w:rFonts w:ascii="Times New Roman" w:hAnsi="Times New Roman"/>
                <w:sz w:val="15"/>
                <w:szCs w:val="16"/>
              </w:rPr>
              <w:t>T2</w:t>
            </w:r>
          </w:p>
        </w:tc>
        <w:tc>
          <w:tcPr>
            <w:tcW w:w="1152" w:type="dxa"/>
            <w:vAlign w:val="center"/>
            <w:tcMar>
              <w:top w:w="65" w:type="dxa"/>
              <w:start w:w="68" w:type="dxa"/>
              <w:bottom w:w="65" w:type="dxa"/>
              <w:end w:w="68" w:type="dxa"/>
            </w:tcMar>
          </w:tcPr>
          <w:p w14:paraId="5AA2B46A">
            <w:pPr>
              <w:spacing w:before="0" w:after="0"/>
              <w:rPr>
                <w:sz w:val="16"/>
                <w:szCs w:val="16"/>
              </w:rPr>
            </w:pPr>
            <w:r>
              <w:rPr>
                <w:rFonts w:ascii="Times New Roman" w:hAnsi="Times New Roman"/>
                <w:sz w:val="15"/>
                <w:szCs w:val="16"/>
              </w:rPr>
              <w:t>.609</w:t>
            </w:r>
          </w:p>
        </w:tc>
        <w:tc>
          <w:tcPr>
            <w:tcW w:w="1944" w:type="dxa"/>
            <w:vAlign w:val="center"/>
            <w:tcMar>
              <w:top w:w="65" w:type="dxa"/>
              <w:start w:w="68" w:type="dxa"/>
              <w:bottom w:w="65" w:type="dxa"/>
              <w:end w:w="68" w:type="dxa"/>
            </w:tcMar>
          </w:tcPr>
          <w:p w14:paraId="746E439F">
            <w:pPr>
              <w:spacing w:before="0" w:after="0"/>
              <w:rPr>
                <w:sz w:val="16"/>
                <w:szCs w:val="16"/>
              </w:rPr>
            </w:pPr>
            <w:r>
              <w:rPr>
                <w:rFonts w:ascii="Times New Roman" w:hAnsi="Times New Roman"/>
                <w:sz w:val="15"/>
                <w:szCs w:val="16"/>
              </w:rPr>
              <w:t>−.008</w:t>
            </w:r>
          </w:p>
        </w:tc>
        <w:tc>
          <w:tcPr>
            <w:tcW w:w="1440" w:type="dxa"/>
            <w:vAlign w:val="center"/>
            <w:tcMar>
              <w:top w:w="65" w:type="dxa"/>
              <w:start w:w="68" w:type="dxa"/>
              <w:bottom w:w="65" w:type="dxa"/>
              <w:end w:w="68" w:type="dxa"/>
            </w:tcMar>
          </w:tcPr>
          <w:p w14:paraId="7A0849E2">
            <w:pPr>
              <w:spacing w:before="0" w:after="0"/>
              <w:rPr>
                <w:sz w:val="16"/>
                <w:szCs w:val="16"/>
              </w:rPr>
            </w:pPr>
            <w:r>
              <w:rPr>
                <w:rFonts w:ascii="Times New Roman" w:hAnsi="Times New Roman"/>
                <w:sz w:val="15"/>
                <w:szCs w:val="16"/>
              </w:rPr>
              <w:t>.572 (.039)</w:t>
            </w:r>
          </w:p>
        </w:tc>
        <w:tc>
          <w:tcPr>
            <w:tcW w:w="1224" w:type="dxa"/>
            <w:vAlign w:val="center"/>
            <w:tcMar>
              <w:top w:w="65" w:type="dxa"/>
              <w:start w:w="68" w:type="dxa"/>
              <w:bottom w:w="65" w:type="dxa"/>
              <w:end w:w="68" w:type="dxa"/>
            </w:tcMar>
          </w:tcPr>
          <w:p w14:paraId="174A4CAE">
            <w:pPr>
              <w:spacing w:before="0" w:after="0"/>
              <w:rPr>
                <w:sz w:val="16"/>
                <w:szCs w:val="16"/>
              </w:rPr>
            </w:pPr>
            <w:r>
              <w:rPr>
                <w:rFonts w:ascii="Times New Roman" w:hAnsi="Times New Roman"/>
                <w:sz w:val="15"/>
                <w:szCs w:val="16"/>
              </w:rPr>
              <w:t>.535–.609</w:t>
            </w:r>
          </w:p>
        </w:tc>
        <w:tc>
          <w:tcPr>
            <w:tcW w:w="792" w:type="dxa"/>
            <w:vAlign w:val="center"/>
            <w:tcMar>
              <w:top w:w="65" w:type="dxa"/>
              <w:start w:w="68" w:type="dxa"/>
              <w:bottom w:w="65" w:type="dxa"/>
              <w:end w:w="68" w:type="dxa"/>
            </w:tcMar>
          </w:tcPr>
          <w:p w14:paraId="6F6BFDB7">
            <w:pPr>
              <w:spacing w:before="0" w:after="0"/>
              <w:rPr>
                <w:sz w:val="16"/>
                <w:szCs w:val="16"/>
              </w:rPr>
            </w:pPr>
            <w:r>
              <w:rPr>
                <w:rFonts w:ascii="Times New Roman" w:hAnsi="Times New Roman"/>
                <w:sz w:val="15"/>
                <w:szCs w:val="16"/>
              </w:rPr>
              <w:t>4</w:t>
            </w:r>
          </w:p>
        </w:tc>
      </w:tr>
      <w:tr w14:paraId="7C81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vAlign w:val="center"/>
            <w:tcMar>
              <w:top w:w="65" w:type="dxa"/>
              <w:start w:w="68" w:type="dxa"/>
              <w:bottom w:w="65" w:type="dxa"/>
              <w:end w:w="68" w:type="dxa"/>
            </w:tcMar>
          </w:tcPr>
          <w:p w14:paraId="61E66785">
            <w:pPr>
              <w:spacing w:before="0" w:after="0"/>
              <w:rPr>
                <w:sz w:val="16"/>
                <w:szCs w:val="16"/>
              </w:rPr>
            </w:pPr>
            <w:r>
              <w:rPr>
                <w:rFonts w:ascii="Times New Roman" w:hAnsi="Times New Roman"/>
                <w:sz w:val="15"/>
                <w:szCs w:val="16"/>
              </w:rPr>
              <w:t>T3</w:t>
            </w:r>
          </w:p>
        </w:tc>
        <w:tc>
          <w:tcPr>
            <w:tcW w:w="1152" w:type="dxa"/>
            <w:vAlign w:val="center"/>
            <w:tcMar>
              <w:top w:w="65" w:type="dxa"/>
              <w:start w:w="68" w:type="dxa"/>
              <w:bottom w:w="65" w:type="dxa"/>
              <w:end w:w="68" w:type="dxa"/>
            </w:tcMar>
          </w:tcPr>
          <w:p w14:paraId="708A82EB">
            <w:pPr>
              <w:spacing w:before="0" w:after="0"/>
              <w:rPr>
                <w:sz w:val="16"/>
                <w:szCs w:val="16"/>
              </w:rPr>
            </w:pPr>
            <w:r>
              <w:rPr>
                <w:rFonts w:ascii="Times New Roman" w:hAnsi="Times New Roman"/>
                <w:sz w:val="15"/>
                <w:szCs w:val="16"/>
              </w:rPr>
              <w:t>.530</w:t>
            </w:r>
          </w:p>
        </w:tc>
        <w:tc>
          <w:tcPr>
            <w:tcW w:w="1944" w:type="dxa"/>
            <w:vAlign w:val="center"/>
            <w:tcMar>
              <w:top w:w="65" w:type="dxa"/>
              <w:start w:w="68" w:type="dxa"/>
              <w:bottom w:w="65" w:type="dxa"/>
              <w:end w:w="68" w:type="dxa"/>
            </w:tcMar>
          </w:tcPr>
          <w:p w14:paraId="3C4BB2A9">
            <w:pPr>
              <w:spacing w:before="0" w:after="0"/>
              <w:rPr>
                <w:sz w:val="16"/>
                <w:szCs w:val="16"/>
              </w:rPr>
            </w:pPr>
            <w:r>
              <w:rPr>
                <w:rFonts w:ascii="Times New Roman" w:hAnsi="Times New Roman"/>
                <w:sz w:val="15"/>
                <w:szCs w:val="16"/>
              </w:rPr>
              <w:t>−.016</w:t>
            </w:r>
          </w:p>
        </w:tc>
        <w:tc>
          <w:tcPr>
            <w:tcW w:w="1440" w:type="dxa"/>
            <w:vAlign w:val="center"/>
            <w:tcMar>
              <w:top w:w="65" w:type="dxa"/>
              <w:start w:w="68" w:type="dxa"/>
              <w:bottom w:w="65" w:type="dxa"/>
              <w:end w:w="68" w:type="dxa"/>
            </w:tcMar>
          </w:tcPr>
          <w:p w14:paraId="45F625F1">
            <w:pPr>
              <w:spacing w:before="0" w:after="0"/>
              <w:rPr>
                <w:sz w:val="16"/>
                <w:szCs w:val="16"/>
              </w:rPr>
            </w:pPr>
            <w:r>
              <w:rPr>
                <w:rFonts w:ascii="Times New Roman" w:hAnsi="Times New Roman"/>
                <w:sz w:val="15"/>
                <w:szCs w:val="16"/>
              </w:rPr>
              <w:t>.370 (.175)</w:t>
            </w:r>
          </w:p>
        </w:tc>
        <w:tc>
          <w:tcPr>
            <w:tcW w:w="1224" w:type="dxa"/>
            <w:vAlign w:val="center"/>
            <w:tcMar>
              <w:top w:w="65" w:type="dxa"/>
              <w:start w:w="68" w:type="dxa"/>
              <w:bottom w:w="65" w:type="dxa"/>
              <w:end w:w="68" w:type="dxa"/>
            </w:tcMar>
          </w:tcPr>
          <w:p w14:paraId="67390996">
            <w:pPr>
              <w:spacing w:before="0" w:after="0"/>
              <w:rPr>
                <w:sz w:val="16"/>
                <w:szCs w:val="16"/>
              </w:rPr>
            </w:pPr>
            <w:r>
              <w:rPr>
                <w:rFonts w:ascii="Times New Roman" w:hAnsi="Times New Roman"/>
                <w:sz w:val="15"/>
                <w:szCs w:val="16"/>
              </w:rPr>
              <w:t>.216–.530</w:t>
            </w:r>
          </w:p>
        </w:tc>
        <w:tc>
          <w:tcPr>
            <w:tcW w:w="792" w:type="dxa"/>
            <w:vAlign w:val="center"/>
            <w:tcMar>
              <w:top w:w="65" w:type="dxa"/>
              <w:start w:w="68" w:type="dxa"/>
              <w:bottom w:w="65" w:type="dxa"/>
              <w:end w:w="68" w:type="dxa"/>
            </w:tcMar>
          </w:tcPr>
          <w:p w14:paraId="177415D4">
            <w:pPr>
              <w:spacing w:before="0" w:after="0"/>
              <w:rPr>
                <w:sz w:val="16"/>
                <w:szCs w:val="16"/>
              </w:rPr>
            </w:pPr>
            <w:r>
              <w:rPr>
                <w:rFonts w:ascii="Times New Roman" w:hAnsi="Times New Roman"/>
                <w:sz w:val="15"/>
                <w:szCs w:val="16"/>
              </w:rPr>
              <w:t>4</w:t>
            </w:r>
          </w:p>
        </w:tc>
      </w:tr>
      <w:tr w14:paraId="373CB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vAlign w:val="center"/>
            <w:tcMar>
              <w:top w:w="65" w:type="dxa"/>
              <w:start w:w="68" w:type="dxa"/>
              <w:bottom w:w="65" w:type="dxa"/>
              <w:end w:w="68" w:type="dxa"/>
            </w:tcMar>
          </w:tcPr>
          <w:p w14:paraId="3A6DC31E">
            <w:pPr>
              <w:spacing w:before="0" w:after="0"/>
              <w:rPr>
                <w:sz w:val="16"/>
                <w:szCs w:val="16"/>
              </w:rPr>
            </w:pPr>
            <w:r>
              <w:rPr>
                <w:rFonts w:ascii="Times New Roman" w:hAnsi="Times New Roman"/>
                <w:sz w:val="15"/>
                <w:szCs w:val="16"/>
              </w:rPr>
              <w:t>T4</w:t>
            </w:r>
          </w:p>
        </w:tc>
        <w:tc>
          <w:tcPr>
            <w:tcW w:w="1152" w:type="dxa"/>
            <w:vAlign w:val="center"/>
            <w:tcMar>
              <w:top w:w="65" w:type="dxa"/>
              <w:start w:w="68" w:type="dxa"/>
              <w:bottom w:w="65" w:type="dxa"/>
              <w:end w:w="68" w:type="dxa"/>
            </w:tcMar>
          </w:tcPr>
          <w:p w14:paraId="5016B0F8">
            <w:pPr>
              <w:spacing w:before="0" w:after="0"/>
              <w:rPr>
                <w:sz w:val="16"/>
                <w:szCs w:val="16"/>
              </w:rPr>
            </w:pPr>
            <w:r>
              <w:rPr>
                <w:rFonts w:ascii="Times New Roman" w:hAnsi="Times New Roman"/>
                <w:sz w:val="15"/>
                <w:szCs w:val="16"/>
              </w:rPr>
              <w:t>.391</w:t>
            </w:r>
          </w:p>
        </w:tc>
        <w:tc>
          <w:tcPr>
            <w:tcW w:w="1944" w:type="dxa"/>
            <w:vAlign w:val="center"/>
            <w:tcMar>
              <w:top w:w="65" w:type="dxa"/>
              <w:start w:w="68" w:type="dxa"/>
              <w:bottom w:w="65" w:type="dxa"/>
              <w:end w:w="68" w:type="dxa"/>
            </w:tcMar>
          </w:tcPr>
          <w:p w14:paraId="2A519677">
            <w:pPr>
              <w:spacing w:before="0" w:after="0"/>
              <w:rPr>
                <w:sz w:val="16"/>
                <w:szCs w:val="16"/>
              </w:rPr>
            </w:pPr>
            <w:r>
              <w:rPr>
                <w:rFonts w:ascii="Times New Roman" w:hAnsi="Times New Roman"/>
                <w:sz w:val="15"/>
                <w:szCs w:val="16"/>
              </w:rPr>
              <w:t>+.008</w:t>
            </w:r>
          </w:p>
        </w:tc>
        <w:tc>
          <w:tcPr>
            <w:tcW w:w="1440" w:type="dxa"/>
            <w:vAlign w:val="center"/>
            <w:tcMar>
              <w:top w:w="65" w:type="dxa"/>
              <w:start w:w="68" w:type="dxa"/>
              <w:bottom w:w="65" w:type="dxa"/>
              <w:end w:w="68" w:type="dxa"/>
            </w:tcMar>
          </w:tcPr>
          <w:p w14:paraId="769F4E97">
            <w:pPr>
              <w:spacing w:before="0" w:after="0"/>
              <w:rPr>
                <w:sz w:val="16"/>
                <w:szCs w:val="16"/>
              </w:rPr>
            </w:pPr>
            <w:r>
              <w:rPr>
                <w:rFonts w:ascii="Times New Roman" w:hAnsi="Times New Roman"/>
                <w:sz w:val="15"/>
                <w:szCs w:val="16"/>
              </w:rPr>
              <w:t>.317 (.078)</w:t>
            </w:r>
          </w:p>
        </w:tc>
        <w:tc>
          <w:tcPr>
            <w:tcW w:w="1224" w:type="dxa"/>
            <w:vAlign w:val="center"/>
            <w:tcMar>
              <w:top w:w="65" w:type="dxa"/>
              <w:start w:w="68" w:type="dxa"/>
              <w:bottom w:w="65" w:type="dxa"/>
              <w:end w:w="68" w:type="dxa"/>
            </w:tcMar>
          </w:tcPr>
          <w:p w14:paraId="1045132B">
            <w:pPr>
              <w:spacing w:before="0" w:after="0"/>
              <w:rPr>
                <w:sz w:val="16"/>
                <w:szCs w:val="16"/>
              </w:rPr>
            </w:pPr>
            <w:r>
              <w:rPr>
                <w:rFonts w:ascii="Times New Roman" w:hAnsi="Times New Roman"/>
                <w:sz w:val="15"/>
                <w:szCs w:val="16"/>
              </w:rPr>
              <w:t>.206–.413</w:t>
            </w:r>
          </w:p>
        </w:tc>
        <w:tc>
          <w:tcPr>
            <w:tcW w:w="792" w:type="dxa"/>
            <w:vAlign w:val="center"/>
            <w:tcMar>
              <w:top w:w="65" w:type="dxa"/>
              <w:start w:w="68" w:type="dxa"/>
              <w:bottom w:w="65" w:type="dxa"/>
              <w:end w:w="68" w:type="dxa"/>
            </w:tcMar>
          </w:tcPr>
          <w:p w14:paraId="2EFEC5B2">
            <w:pPr>
              <w:spacing w:before="0" w:after="0"/>
              <w:rPr>
                <w:sz w:val="16"/>
                <w:szCs w:val="16"/>
              </w:rPr>
            </w:pPr>
            <w:r>
              <w:rPr>
                <w:rFonts w:ascii="Times New Roman" w:hAnsi="Times New Roman"/>
                <w:sz w:val="15"/>
                <w:szCs w:val="16"/>
              </w:rPr>
              <w:t>12</w:t>
            </w:r>
          </w:p>
        </w:tc>
      </w:tr>
    </w:tbl>
    <w:p w14:paraId="745CBD83">
      <w:pPr>
        <w:keepNext/>
        <w:widowControl/>
      </w:pPr>
      <w:r>
        <w:t>Table 17. Robustness and generalisation synthesis. Each row links an interpretation threat to the executed check, observed result, and unsupported stronger inference.</w:t>
      </w:r>
    </w:p>
    <w:tbl>
      <w:tblPr>
        <w:tblStyle w:val="36"/>
        <w:tblW w:w="0" w:type="auto"/>
        <w:jc w:val="center"/>
        <w:tblLayout w:type="autofit"/>
        <w:tblCellMar>
          <w:top w:w="0" w:type="dxa"/>
          <w:left w:w="108" w:type="dxa"/>
          <w:bottom w:w="0" w:type="dxa"/>
          <w:right w:w="108" w:type="dxa"/>
        </w:tblCellMar>
        <w:tblBorders>
          <w:top w:val="single" w:sz="4" w:color="C7D4E2"/>
          <w:bottom w:val="single" w:sz="4" w:color="C7D4E2"/>
          <w:left w:val="single" w:sz="4" w:color="C7D4E2"/>
          <w:right w:val="single" w:sz="4" w:color="C7D4E2"/>
          <w:insideH w:val="single" w:sz="4" w:color="C7D4E2"/>
          <w:insideV w:val="single" w:sz="3" w:color="C7D4E2"/>
        </w:tblBorders>
      </w:tblPr>
      <w:tblGrid>
        <w:gridCol w:w="1197"/>
        <w:gridCol w:w="1810"/>
        <w:gridCol w:w="3474"/>
        <w:gridCol w:w="1571"/>
        <w:gridCol w:w="1622"/>
      </w:tblGrid>
      <w:tr w14:paraId="2492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656" w:type="dxa"/>
            <w:vAlign w:val="center"/>
            <w:tcMar>
              <w:top w:w="65" w:type="dxa"/>
              <w:start w:w="68" w:type="dxa"/>
              <w:bottom w:w="65" w:type="dxa"/>
              <w:end w:w="68" w:type="dxa"/>
            </w:tcMar>
            <w:shd w:val="clear" w:color="auto" w:fill="E8F0F8"/>
          </w:tcPr>
          <w:p w14:paraId="7912E581">
            <w:pPr>
              <w:spacing w:before="0" w:after="0" w:line="240" w:lineRule="auto"/>
              <w:rPr>
                <w:sz w:val="16"/>
                <w:szCs w:val="16"/>
              </w:rPr>
            </w:pPr>
            <w:r>
              <w:rPr>
                <w:rFonts w:ascii="Times New Roman" w:hAnsi="Times New Roman" w:eastAsia="Times New Roman"/>
                <w:b/>
                <w:color w:val="1E364D"/>
                <w:sz w:val="15"/>
                <w:szCs w:val="16"/>
              </w:rPr>
              <w:t>Threat / sensitivity</w:t>
            </w:r>
          </w:p>
        </w:tc>
        <w:tc>
          <w:tcPr>
            <w:tcW w:w="1944" w:type="dxa"/>
            <w:vAlign w:val="center"/>
            <w:tcMar>
              <w:top w:w="65" w:type="dxa"/>
              <w:start w:w="68" w:type="dxa"/>
              <w:bottom w:w="65" w:type="dxa"/>
              <w:end w:w="68" w:type="dxa"/>
            </w:tcMar>
            <w:shd w:val="clear" w:color="auto" w:fill="E8F0F8"/>
          </w:tcPr>
          <w:p w14:paraId="5B0904B9">
            <w:pPr>
              <w:spacing w:before="0" w:after="0" w:line="240" w:lineRule="auto"/>
              <w:rPr>
                <w:sz w:val="16"/>
                <w:szCs w:val="16"/>
              </w:rPr>
            </w:pPr>
            <w:r>
              <w:rPr>
                <w:rFonts w:ascii="Times New Roman" w:hAnsi="Times New Roman" w:eastAsia="Times New Roman"/>
                <w:b/>
                <w:color w:val="1E364D"/>
                <w:sz w:val="15"/>
                <w:szCs w:val="16"/>
              </w:rPr>
              <w:t>Executed check</w:t>
            </w:r>
          </w:p>
        </w:tc>
        <w:tc>
          <w:tcPr>
            <w:tcW w:w="2304" w:type="dxa"/>
            <w:vAlign w:val="center"/>
            <w:tcMar>
              <w:top w:w="65" w:type="dxa"/>
              <w:start w:w="68" w:type="dxa"/>
              <w:bottom w:w="65" w:type="dxa"/>
              <w:end w:w="68" w:type="dxa"/>
            </w:tcMar>
            <w:shd w:val="clear" w:color="auto" w:fill="E8F0F8"/>
          </w:tcPr>
          <w:p w14:paraId="2B3AF6F9">
            <w:pPr>
              <w:spacing w:before="0" w:after="0" w:line="240" w:lineRule="auto"/>
              <w:rPr>
                <w:sz w:val="16"/>
                <w:szCs w:val="16"/>
              </w:rPr>
            </w:pPr>
            <w:r>
              <w:rPr>
                <w:rFonts w:ascii="Times New Roman" w:hAnsi="Times New Roman" w:eastAsia="Times New Roman"/>
                <w:b/>
                <w:color w:val="1E364D"/>
                <w:sz w:val="15"/>
                <w:szCs w:val="16"/>
              </w:rPr>
              <w:t>Observed result</w:t>
            </w:r>
          </w:p>
        </w:tc>
        <w:tc>
          <w:tcPr>
            <w:tcW w:w="2448" w:type="dxa"/>
            <w:vAlign w:val="center"/>
            <w:tcMar>
              <w:top w:w="65" w:type="dxa"/>
              <w:start w:w="68" w:type="dxa"/>
              <w:bottom w:w="65" w:type="dxa"/>
              <w:end w:w="68" w:type="dxa"/>
            </w:tcMar>
            <w:shd w:val="clear" w:color="auto" w:fill="E8F0F8"/>
          </w:tcPr>
          <w:p w14:paraId="7C83C749">
            <w:pPr>
              <w:spacing w:before="0" w:after="0" w:line="240" w:lineRule="auto"/>
              <w:rPr>
                <w:sz w:val="16"/>
                <w:szCs w:val="16"/>
              </w:rPr>
            </w:pPr>
            <w:r>
              <w:rPr>
                <w:rFonts w:ascii="Times New Roman" w:hAnsi="Times New Roman" w:eastAsia="Times New Roman"/>
                <w:b/>
                <w:color w:val="1E364D"/>
                <w:sz w:val="15"/>
                <w:szCs w:val="16"/>
              </w:rPr>
              <w:t>Supported inference</w:t>
            </w:r>
          </w:p>
        </w:tc>
        <w:tc>
          <w:tcPr>
            <w:tcW w:w="2232" w:type="dxa"/>
            <w:vAlign w:val="center"/>
            <w:tcMar>
              <w:top w:w="65" w:type="dxa"/>
              <w:start w:w="68" w:type="dxa"/>
              <w:bottom w:w="65" w:type="dxa"/>
              <w:end w:w="68" w:type="dxa"/>
            </w:tcMar>
            <w:shd w:val="clear" w:color="auto" w:fill="E8F0F8"/>
          </w:tcPr>
          <w:p w14:paraId="72FDAEAE">
            <w:pPr>
              <w:spacing w:before="0" w:after="0" w:line="240" w:lineRule="auto"/>
              <w:rPr>
                <w:sz w:val="16"/>
                <w:szCs w:val="16"/>
              </w:rPr>
            </w:pPr>
            <w:r>
              <w:rPr>
                <w:rFonts w:ascii="Times New Roman" w:hAnsi="Times New Roman" w:eastAsia="Times New Roman"/>
                <w:b/>
                <w:color w:val="1E364D"/>
                <w:sz w:val="15"/>
                <w:szCs w:val="16"/>
              </w:rPr>
              <w:t>Not supported</w:t>
            </w:r>
          </w:p>
        </w:tc>
      </w:tr>
      <w:tr w14:paraId="2A6A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vAlign w:val="center"/>
            <w:tcMar>
              <w:top w:w="65" w:type="dxa"/>
              <w:start w:w="68" w:type="dxa"/>
              <w:bottom w:w="65" w:type="dxa"/>
              <w:end w:w="68" w:type="dxa"/>
            </w:tcMar>
          </w:tcPr>
          <w:p w14:paraId="0E8E6A79">
            <w:pPr>
              <w:spacing w:before="0" w:after="0" w:line="240" w:lineRule="auto"/>
              <w:rPr>
                <w:sz w:val="16"/>
                <w:szCs w:val="16"/>
              </w:rPr>
            </w:pPr>
            <w:r>
              <w:rPr>
                <w:rFonts w:ascii="Times New Roman" w:hAnsi="Times New Roman" w:eastAsia="Times New Roman"/>
                <w:sz w:val="15"/>
                <w:szCs w:val="16"/>
              </w:rPr>
              <w:t>Cross-fold duplication</w:t>
            </w:r>
          </w:p>
        </w:tc>
        <w:tc>
          <w:tcPr>
            <w:tcW w:w="1944" w:type="dxa"/>
            <w:vAlign w:val="center"/>
            <w:tcMar>
              <w:top w:w="65" w:type="dxa"/>
              <w:start w:w="68" w:type="dxa"/>
              <w:bottom w:w="65" w:type="dxa"/>
              <w:end w:w="68" w:type="dxa"/>
            </w:tcMar>
          </w:tcPr>
          <w:p w14:paraId="6C9B8C06">
            <w:pPr>
              <w:spacing w:before="0" w:after="0" w:line="240" w:lineRule="auto"/>
              <w:rPr>
                <w:sz w:val="16"/>
                <w:szCs w:val="16"/>
              </w:rPr>
            </w:pPr>
            <w:r>
              <w:rPr>
                <w:rFonts w:ascii="Times New Roman" w:hAnsi="Times New Roman" w:eastAsia="Times New Roman"/>
                <w:sz w:val="15"/>
                <w:szCs w:val="16"/>
              </w:rPr>
              <w:t>Prompt_ID grouping + exact/TF-IDF/embedding/manual audits</w:t>
            </w:r>
          </w:p>
        </w:tc>
        <w:tc>
          <w:tcPr>
            <w:tcW w:w="2304" w:type="dxa"/>
            <w:vAlign w:val="center"/>
            <w:tcMar>
              <w:top w:w="65" w:type="dxa"/>
              <w:start w:w="68" w:type="dxa"/>
              <w:bottom w:w="65" w:type="dxa"/>
              <w:end w:w="68" w:type="dxa"/>
            </w:tcMar>
          </w:tcPr>
          <w:p w14:paraId="73AD1587">
            <w:pPr>
              <w:spacing w:before="0" w:after="0" w:line="240" w:lineRule="auto"/>
              <w:rPr>
                <w:sz w:val="16"/>
                <w:szCs w:val="16"/>
              </w:rPr>
            </w:pPr>
            <w:r>
              <w:rPr>
                <w:rFonts w:ascii="Times New Roman" w:hAnsi="Times New Roman" w:eastAsia="Times New Roman"/>
                <w:sz w:val="15"/>
                <w:szCs w:val="16"/>
              </w:rPr>
              <w:t>No exact cross-fold duplicates; maxima .629/.315 TF-IDF and .797/.626 embedding (prompt / prompt+source)</w:t>
            </w:r>
          </w:p>
        </w:tc>
        <w:tc>
          <w:tcPr>
            <w:tcW w:w="2448" w:type="dxa"/>
            <w:vAlign w:val="center"/>
            <w:tcMar>
              <w:top w:w="65" w:type="dxa"/>
              <w:start w:w="68" w:type="dxa"/>
              <w:bottom w:w="65" w:type="dxa"/>
              <w:end w:w="68" w:type="dxa"/>
            </w:tcMar>
          </w:tcPr>
          <w:p w14:paraId="5FDB6356">
            <w:pPr>
              <w:spacing w:before="0" w:after="0" w:line="240" w:lineRule="auto"/>
              <w:rPr>
                <w:sz w:val="16"/>
                <w:szCs w:val="16"/>
              </w:rPr>
            </w:pPr>
            <w:r>
              <w:rPr>
                <w:rFonts w:ascii="Times New Roman" w:hAnsi="Times New Roman" w:eastAsia="Times New Roman"/>
                <w:sz w:val="15"/>
                <w:szCs w:val="16"/>
              </w:rPr>
              <w:t>Direct duplicated-task leakage is not an evident explanation of the reference scores.</w:t>
            </w:r>
          </w:p>
        </w:tc>
        <w:tc>
          <w:tcPr>
            <w:tcW w:w="2232" w:type="dxa"/>
            <w:vAlign w:val="center"/>
            <w:tcMar>
              <w:top w:w="65" w:type="dxa"/>
              <w:start w:w="68" w:type="dxa"/>
              <w:bottom w:w="65" w:type="dxa"/>
              <w:end w:w="68" w:type="dxa"/>
            </w:tcMar>
          </w:tcPr>
          <w:p w14:paraId="5D0A1297">
            <w:pPr>
              <w:spacing w:before="0" w:after="0" w:line="240" w:lineRule="auto"/>
              <w:rPr>
                <w:sz w:val="16"/>
                <w:szCs w:val="16"/>
              </w:rPr>
            </w:pPr>
            <w:r>
              <w:rPr>
                <w:rFonts w:ascii="Times New Roman" w:hAnsi="Times New Roman" w:eastAsia="Times New Roman"/>
                <w:sz w:val="15"/>
                <w:szCs w:val="16"/>
              </w:rPr>
              <w:t>Complete latent-semantic independence.</w:t>
            </w:r>
          </w:p>
        </w:tc>
      </w:tr>
      <w:tr w14:paraId="1557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vAlign w:val="center"/>
            <w:tcMar>
              <w:top w:w="65" w:type="dxa"/>
              <w:start w:w="68" w:type="dxa"/>
              <w:bottom w:w="65" w:type="dxa"/>
              <w:end w:w="68" w:type="dxa"/>
            </w:tcMar>
          </w:tcPr>
          <w:p w14:paraId="3B33DB7A">
            <w:pPr>
              <w:spacing w:before="0" w:after="0" w:line="240" w:lineRule="auto"/>
              <w:rPr>
                <w:sz w:val="16"/>
                <w:szCs w:val="16"/>
              </w:rPr>
            </w:pPr>
            <w:r>
              <w:rPr>
                <w:rFonts w:ascii="Times New Roman" w:hAnsi="Times New Roman" w:eastAsia="Times New Roman"/>
                <w:sz w:val="15"/>
                <w:szCs w:val="16"/>
              </w:rPr>
              <w:t>Random-seed dependence</w:t>
            </w:r>
          </w:p>
        </w:tc>
        <w:tc>
          <w:tcPr>
            <w:tcW w:w="1944" w:type="dxa"/>
            <w:vAlign w:val="center"/>
            <w:tcMar>
              <w:top w:w="65" w:type="dxa"/>
              <w:start w:w="68" w:type="dxa"/>
              <w:bottom w:w="65" w:type="dxa"/>
              <w:end w:w="68" w:type="dxa"/>
            </w:tcMar>
          </w:tcPr>
          <w:p w14:paraId="4941E59A">
            <w:pPr>
              <w:spacing w:before="0" w:after="0" w:line="240" w:lineRule="auto"/>
              <w:rPr>
                <w:sz w:val="16"/>
                <w:szCs w:val="16"/>
              </w:rPr>
            </w:pPr>
            <w:r>
              <w:rPr>
                <w:rFonts w:ascii="Times New Roman" w:hAnsi="Times New Roman" w:eastAsia="Times New Roman"/>
                <w:sz w:val="15"/>
                <w:szCs w:val="16"/>
              </w:rPr>
              <w:t>Two full M3 reruns in addition to frozen seed</w:t>
            </w:r>
          </w:p>
        </w:tc>
        <w:tc>
          <w:tcPr>
            <w:tcW w:w="2304" w:type="dxa"/>
            <w:vAlign w:val="center"/>
            <w:tcMar>
              <w:top w:w="65" w:type="dxa"/>
              <w:start w:w="68" w:type="dxa"/>
              <w:bottom w:w="65" w:type="dxa"/>
              <w:end w:w="68" w:type="dxa"/>
            </w:tcMar>
          </w:tcPr>
          <w:p w14:paraId="119309A0">
            <w:pPr>
              <w:spacing w:before="0" w:after="0" w:line="240" w:lineRule="auto"/>
              <w:rPr>
                <w:sz w:val="16"/>
                <w:szCs w:val="16"/>
              </w:rPr>
            </w:pPr>
            <w:r>
              <w:rPr>
                <w:rFonts w:ascii="Times New Roman" w:hAnsi="Times New Roman" w:eastAsia="Times New Roman"/>
                <w:sz w:val="15"/>
                <w:szCs w:val="16"/>
              </w:rPr>
              <w:t>Target macro-F1 ranges .016–.054; SD .008–.030; largest class-F1 spread .100 for T4 severity 1</w:t>
            </w:r>
          </w:p>
        </w:tc>
        <w:tc>
          <w:tcPr>
            <w:tcW w:w="2448" w:type="dxa"/>
            <w:vAlign w:val="center"/>
            <w:tcMar>
              <w:top w:w="65" w:type="dxa"/>
              <w:start w:w="68" w:type="dxa"/>
              <w:bottom w:w="65" w:type="dxa"/>
              <w:end w:w="68" w:type="dxa"/>
            </w:tcMar>
          </w:tcPr>
          <w:p w14:paraId="09E1EE1D">
            <w:pPr>
              <w:spacing w:before="0" w:after="0" w:line="240" w:lineRule="auto"/>
              <w:rPr>
                <w:sz w:val="16"/>
                <w:szCs w:val="16"/>
              </w:rPr>
            </w:pPr>
            <w:r>
              <w:rPr>
                <w:rFonts w:ascii="Times New Roman" w:hAnsi="Times New Roman" w:eastAsia="Times New Roman"/>
                <w:sz w:val="15"/>
                <w:szCs w:val="16"/>
              </w:rPr>
              <w:t>Main within-corpus pattern persists across three full-pipeline seeds.</w:t>
            </w:r>
          </w:p>
        </w:tc>
        <w:tc>
          <w:tcPr>
            <w:tcW w:w="2232" w:type="dxa"/>
            <w:vAlign w:val="center"/>
            <w:tcMar>
              <w:top w:w="65" w:type="dxa"/>
              <w:start w:w="68" w:type="dxa"/>
              <w:bottom w:w="65" w:type="dxa"/>
              <w:end w:w="68" w:type="dxa"/>
            </w:tcMar>
          </w:tcPr>
          <w:p w14:paraId="3CE52B3B">
            <w:pPr>
              <w:spacing w:before="0" w:after="0" w:line="240" w:lineRule="auto"/>
              <w:rPr>
                <w:sz w:val="16"/>
                <w:szCs w:val="16"/>
              </w:rPr>
            </w:pPr>
            <w:r>
              <w:rPr>
                <w:rFonts w:ascii="Times New Roman" w:hAnsi="Times New Roman" w:eastAsia="Times New Roman"/>
                <w:sz w:val="15"/>
                <w:szCs w:val="16"/>
              </w:rPr>
              <w:t>Full algorithmic uncertainty over seeds, splits, or hyperparameters.</w:t>
            </w:r>
          </w:p>
        </w:tc>
      </w:tr>
      <w:tr w14:paraId="3E35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vAlign w:val="center"/>
            <w:tcMar>
              <w:top w:w="65" w:type="dxa"/>
              <w:start w:w="68" w:type="dxa"/>
              <w:bottom w:w="65" w:type="dxa"/>
              <w:end w:w="68" w:type="dxa"/>
            </w:tcMar>
          </w:tcPr>
          <w:p w14:paraId="03DE5465">
            <w:pPr>
              <w:spacing w:before="0" w:after="0" w:line="240" w:lineRule="auto"/>
              <w:rPr>
                <w:sz w:val="16"/>
                <w:szCs w:val="16"/>
              </w:rPr>
            </w:pPr>
            <w:r>
              <w:rPr>
                <w:rFonts w:ascii="Times New Roman" w:hAnsi="Times New Roman" w:eastAsia="Times New Roman"/>
                <w:sz w:val="15"/>
                <w:szCs w:val="16"/>
              </w:rPr>
              <w:t>Task transfer</w:t>
            </w:r>
          </w:p>
        </w:tc>
        <w:tc>
          <w:tcPr>
            <w:tcW w:w="1944" w:type="dxa"/>
            <w:vAlign w:val="center"/>
            <w:tcMar>
              <w:top w:w="65" w:type="dxa"/>
              <w:start w:w="68" w:type="dxa"/>
              <w:bottom w:w="65" w:type="dxa"/>
              <w:end w:w="68" w:type="dxa"/>
            </w:tcMar>
          </w:tcPr>
          <w:p w14:paraId="3B4902F9">
            <w:pPr>
              <w:spacing w:before="0" w:after="0" w:line="240" w:lineRule="auto"/>
              <w:rPr>
                <w:sz w:val="16"/>
                <w:szCs w:val="16"/>
              </w:rPr>
            </w:pPr>
            <w:r>
              <w:rPr>
                <w:rFonts w:ascii="Times New Roman" w:hAnsi="Times New Roman" w:eastAsia="Times New Roman"/>
                <w:sz w:val="15"/>
                <w:szCs w:val="16"/>
              </w:rPr>
              <w:t>Six leave-one-task-type-out M3 runs per target</w:t>
            </w:r>
          </w:p>
        </w:tc>
        <w:tc>
          <w:tcPr>
            <w:tcW w:w="2304" w:type="dxa"/>
            <w:vAlign w:val="center"/>
            <w:tcMar>
              <w:top w:w="65" w:type="dxa"/>
              <w:start w:w="68" w:type="dxa"/>
              <w:bottom w:w="65" w:type="dxa"/>
              <w:end w:w="68" w:type="dxa"/>
            </w:tcMar>
          </w:tcPr>
          <w:p w14:paraId="53D6B840">
            <w:pPr>
              <w:spacing w:before="0" w:after="0" w:line="240" w:lineRule="auto"/>
              <w:rPr>
                <w:sz w:val="16"/>
                <w:szCs w:val="16"/>
              </w:rPr>
            </w:pPr>
            <w:r>
              <w:rPr>
                <w:rFonts w:ascii="Times New Roman" w:hAnsi="Times New Roman" w:eastAsia="Times New Roman"/>
                <w:sz w:val="15"/>
                <w:szCs w:val="16"/>
              </w:rPr>
              <w:t>Macro-F1 ranges .450–.675, .372–.792, .475–.773, .432–.788 for T1–T4</w:t>
            </w:r>
          </w:p>
        </w:tc>
        <w:tc>
          <w:tcPr>
            <w:tcW w:w="2448" w:type="dxa"/>
            <w:vAlign w:val="center"/>
            <w:tcMar>
              <w:top w:w="65" w:type="dxa"/>
              <w:start w:w="68" w:type="dxa"/>
              <w:bottom w:w="65" w:type="dxa"/>
              <w:end w:w="68" w:type="dxa"/>
            </w:tcMar>
          </w:tcPr>
          <w:p w14:paraId="622494A4">
            <w:pPr>
              <w:spacing w:before="0" w:after="0" w:line="240" w:lineRule="auto"/>
              <w:rPr>
                <w:sz w:val="16"/>
                <w:szCs w:val="16"/>
              </w:rPr>
            </w:pPr>
            <w:r>
              <w:rPr>
                <w:rFonts w:ascii="Times New Roman" w:hAnsi="Times New Roman" w:eastAsia="Times New Roman"/>
                <w:sz w:val="15"/>
                <w:szCs w:val="16"/>
              </w:rPr>
              <w:t>Observed leave-one-task-type-out scores differ markedly by held-out task.</w:t>
            </w:r>
          </w:p>
        </w:tc>
        <w:tc>
          <w:tcPr>
            <w:tcW w:w="2232" w:type="dxa"/>
            <w:vAlign w:val="center"/>
            <w:tcMar>
              <w:top w:w="65" w:type="dxa"/>
              <w:start w:w="68" w:type="dxa"/>
              <w:bottom w:w="65" w:type="dxa"/>
              <w:end w:w="68" w:type="dxa"/>
            </w:tcMar>
          </w:tcPr>
          <w:p w14:paraId="563CE403">
            <w:pPr>
              <w:spacing w:before="0" w:after="0" w:line="240" w:lineRule="auto"/>
              <w:rPr>
                <w:sz w:val="16"/>
                <w:szCs w:val="16"/>
              </w:rPr>
            </w:pPr>
            <w:r>
              <w:rPr>
                <w:rFonts w:ascii="Times New Roman" w:hAnsi="Times New Roman" w:eastAsia="Times New Roman"/>
                <w:sz w:val="15"/>
                <w:szCs w:val="16"/>
              </w:rPr>
              <w:t>External domain/task generalisation or task-invariant representations.</w:t>
            </w:r>
          </w:p>
        </w:tc>
      </w:tr>
      <w:tr w14:paraId="1236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vAlign w:val="center"/>
            <w:tcMar>
              <w:top w:w="65" w:type="dxa"/>
              <w:start w:w="68" w:type="dxa"/>
              <w:bottom w:w="65" w:type="dxa"/>
              <w:end w:w="68" w:type="dxa"/>
            </w:tcMar>
          </w:tcPr>
          <w:p w14:paraId="34F69D95">
            <w:pPr>
              <w:spacing w:before="0" w:after="0" w:line="240" w:lineRule="auto"/>
              <w:rPr>
                <w:sz w:val="16"/>
                <w:szCs w:val="16"/>
              </w:rPr>
            </w:pPr>
            <w:r>
              <w:rPr>
                <w:rFonts w:ascii="Times New Roman" w:hAnsi="Times New Roman" w:eastAsia="Times New Roman"/>
                <w:sz w:val="15"/>
                <w:szCs w:val="16"/>
              </w:rPr>
              <w:t>Reference instability subset</w:t>
            </w:r>
          </w:p>
        </w:tc>
        <w:tc>
          <w:tcPr>
            <w:tcW w:w="1944" w:type="dxa"/>
            <w:vAlign w:val="center"/>
            <w:tcMar>
              <w:top w:w="65" w:type="dxa"/>
              <w:start w:w="68" w:type="dxa"/>
              <w:bottom w:w="65" w:type="dxa"/>
              <w:end w:w="68" w:type="dxa"/>
            </w:tcMar>
          </w:tcPr>
          <w:p w14:paraId="0979DBF9">
            <w:pPr>
              <w:spacing w:before="0" w:after="0" w:line="240" w:lineRule="auto"/>
              <w:rPr>
                <w:sz w:val="16"/>
                <w:szCs w:val="16"/>
              </w:rPr>
            </w:pPr>
            <w:r>
              <w:rPr>
                <w:rFonts w:ascii="Times New Roman" w:hAnsi="Times New Roman" w:eastAsia="Times New Roman"/>
                <w:sz w:val="15"/>
                <w:szCs w:val="16"/>
              </w:rPr>
              <w:t>Exclude 29 targeted same-adjudicator re-review cases; no retraining</w:t>
            </w:r>
          </w:p>
        </w:tc>
        <w:tc>
          <w:tcPr>
            <w:tcW w:w="2304" w:type="dxa"/>
            <w:vAlign w:val="center"/>
            <w:tcMar>
              <w:top w:w="65" w:type="dxa"/>
              <w:start w:w="68" w:type="dxa"/>
              <w:bottom w:w="65" w:type="dxa"/>
              <w:end w:w="68" w:type="dxa"/>
            </w:tcMar>
          </w:tcPr>
          <w:p w14:paraId="11D37C60">
            <w:pPr>
              <w:spacing w:before="0" w:after="0" w:line="240" w:lineRule="auto"/>
              <w:rPr>
                <w:sz w:val="16"/>
                <w:szCs w:val="16"/>
              </w:rPr>
            </w:pPr>
            <w:r>
              <w:rPr>
                <w:rFonts w:ascii="Times New Roman" w:hAnsi="Times New Roman" w:eastAsia="Times New Roman"/>
                <w:sz w:val="15"/>
                <w:szCs w:val="16"/>
              </w:rPr>
              <w:t>Max |Δ macro-F1|=.012 for M3 and .009 for M4</w:t>
            </w:r>
          </w:p>
        </w:tc>
        <w:tc>
          <w:tcPr>
            <w:tcW w:w="2448" w:type="dxa"/>
            <w:vAlign w:val="center"/>
            <w:tcMar>
              <w:top w:w="65" w:type="dxa"/>
              <w:start w:w="68" w:type="dxa"/>
              <w:bottom w:w="65" w:type="dxa"/>
              <w:end w:w="68" w:type="dxa"/>
            </w:tcMar>
          </w:tcPr>
          <w:p w14:paraId="2DD6627D">
            <w:pPr>
              <w:spacing w:before="0" w:after="0" w:line="240" w:lineRule="auto"/>
              <w:rPr>
                <w:sz w:val="16"/>
                <w:szCs w:val="16"/>
              </w:rPr>
            </w:pPr>
            <w:r>
              <w:rPr>
                <w:rFonts w:ascii="Times New Roman" w:hAnsi="Times New Roman" w:eastAsia="Times New Roman"/>
                <w:sz w:val="15"/>
                <w:szCs w:val="16"/>
              </w:rPr>
              <w:t>The selected re-review subset does not drive the headline pattern.</w:t>
            </w:r>
          </w:p>
        </w:tc>
        <w:tc>
          <w:tcPr>
            <w:tcW w:w="2232" w:type="dxa"/>
            <w:vAlign w:val="center"/>
            <w:tcMar>
              <w:top w:w="65" w:type="dxa"/>
              <w:start w:w="68" w:type="dxa"/>
              <w:bottom w:w="65" w:type="dxa"/>
              <w:end w:w="68" w:type="dxa"/>
            </w:tcMar>
          </w:tcPr>
          <w:p w14:paraId="2B6B2D04">
            <w:pPr>
              <w:spacing w:before="0" w:after="0" w:line="240" w:lineRule="auto"/>
              <w:rPr>
                <w:sz w:val="16"/>
                <w:szCs w:val="16"/>
              </w:rPr>
            </w:pPr>
            <w:r>
              <w:rPr>
                <w:rFonts w:ascii="Times New Roman" w:hAnsi="Times New Roman" w:eastAsia="Times New Roman"/>
                <w:sz w:val="15"/>
                <w:szCs w:val="16"/>
              </w:rPr>
              <w:t>Independent adjudicator reliability or corpus-wide adjudication error.</w:t>
            </w:r>
          </w:p>
        </w:tc>
      </w:tr>
      <w:tr w14:paraId="0689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vAlign w:val="center"/>
            <w:tcMar>
              <w:top w:w="65" w:type="dxa"/>
              <w:start w:w="68" w:type="dxa"/>
              <w:bottom w:w="65" w:type="dxa"/>
              <w:end w:w="68" w:type="dxa"/>
            </w:tcMar>
          </w:tcPr>
          <w:p w14:paraId="7797D806">
            <w:pPr>
              <w:spacing w:before="0" w:after="0" w:line="240" w:lineRule="auto"/>
              <w:rPr>
                <w:sz w:val="16"/>
                <w:szCs w:val="16"/>
              </w:rPr>
            </w:pPr>
            <w:r>
              <w:rPr>
                <w:rFonts w:ascii="Times New Roman" w:hAnsi="Times New Roman" w:eastAsia="Times New Roman"/>
                <w:sz w:val="15"/>
                <w:szCs w:val="16"/>
              </w:rPr>
              <w:t>Generator-associated shortcuts</w:t>
            </w:r>
          </w:p>
        </w:tc>
        <w:tc>
          <w:tcPr>
            <w:tcW w:w="1944" w:type="dxa"/>
            <w:vAlign w:val="center"/>
            <w:tcMar>
              <w:top w:w="65" w:type="dxa"/>
              <w:start w:w="68" w:type="dxa"/>
              <w:bottom w:w="65" w:type="dxa"/>
              <w:end w:w="68" w:type="dxa"/>
            </w:tcMar>
          </w:tcPr>
          <w:p>
            <w:pPr>
              <w:spacing w:before="0" w:after="0"/>
            </w:pPr>
            <w:r>
              <w:rPr>
                <w:rFonts w:ascii="Times New Roman" w:hAnsi="Times New Roman"/>
                <w:sz w:val="15"/>
              </w:rPr>
              <w:t>Generator probe; complete M1/M3 dual-blocked and five-repeat size-matched controls</w:t>
            </w:r>
          </w:p>
        </w:tc>
        <w:tc>
          <w:tcPr>
            <w:tcW w:w="2304" w:type="dxa"/>
            <w:vAlign w:val="center"/>
            <w:tcMar>
              <w:top w:w="65" w:type="dxa"/>
              <w:start w:w="68" w:type="dxa"/>
              <w:bottom w:w="65" w:type="dxa"/>
              <w:end w:w="68" w:type="dxa"/>
            </w:tcMar>
          </w:tcPr>
          <w:p>
            <w:pPr>
              <w:spacing w:before="0" w:after="0"/>
            </w:pPr>
            <w:r>
              <w:rPr>
                <w:rFonts w:ascii="Times New Roman" w:hAnsi="Times New Roman"/>
                <w:sz w:val="15"/>
              </w:rPr>
              <w:t>M3 dual .591/.671/.682/.573; matched means .630/.749/.781/.644</w:t>
            </w:r>
          </w:p>
        </w:tc>
        <w:tc>
          <w:tcPr>
            <w:tcW w:w="2448" w:type="dxa"/>
            <w:vAlign w:val="center"/>
            <w:tcMar>
              <w:top w:w="65" w:type="dxa"/>
              <w:start w:w="68" w:type="dxa"/>
              <w:bottom w:w="65" w:type="dxa"/>
              <w:end w:w="68" w:type="dxa"/>
            </w:tcMar>
          </w:tcPr>
          <w:p>
            <w:pPr>
              <w:spacing w:before="0" w:after="0"/>
            </w:pPr>
            <w:r>
              <w:rPr>
                <w:rFonts w:ascii="Times New Roman" w:hAnsi="Times New Roman"/>
                <w:sz w:val="15"/>
              </w:rPr>
              <w:t>Training-row-count matching did not reproduce the full penalty in these controls.</w:t>
            </w:r>
          </w:p>
        </w:tc>
        <w:tc>
          <w:tcPr>
            <w:tcW w:w="2232" w:type="dxa"/>
            <w:vAlign w:val="center"/>
            <w:tcMar>
              <w:top w:w="65" w:type="dxa"/>
              <w:start w:w="68" w:type="dxa"/>
              <w:bottom w:w="65" w:type="dxa"/>
              <w:end w:w="68" w:type="dxa"/>
            </w:tcMar>
          </w:tcPr>
          <w:p>
            <w:pPr>
              <w:spacing w:before="0" w:after="0"/>
            </w:pPr>
            <w:r>
              <w:rPr>
                <w:rFonts w:ascii="Times New Roman" w:hAnsi="Times New Roman"/>
                <w:sz w:val="15"/>
              </w:rPr>
              <w:t>Causal isolation of surface shortcuts or invariance to new generators.</w:t>
            </w:r>
          </w:p>
        </w:tc>
      </w:tr>
      <w:tr w14:paraId="76EA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vAlign w:val="center"/>
            <w:tcMar>
              <w:top w:w="65" w:type="dxa"/>
              <w:start w:w="68" w:type="dxa"/>
              <w:bottom w:w="65" w:type="dxa"/>
              <w:end w:w="68" w:type="dxa"/>
            </w:tcMar>
          </w:tcPr>
          <w:p w14:paraId="7859BBE4">
            <w:pPr>
              <w:spacing w:before="0" w:after="0" w:line="240" w:lineRule="auto"/>
              <w:rPr>
                <w:sz w:val="16"/>
                <w:szCs w:val="16"/>
              </w:rPr>
            </w:pPr>
            <w:r>
              <w:rPr>
                <w:rFonts w:ascii="Times New Roman" w:hAnsi="Times New Roman" w:eastAsia="Times New Roman"/>
                <w:sz w:val="15"/>
                <w:szCs w:val="16"/>
              </w:rPr>
              <w:t>Task-mixture weighting</w:t>
            </w:r>
          </w:p>
        </w:tc>
        <w:tc>
          <w:tcPr>
            <w:tcW w:w="1944" w:type="dxa"/>
            <w:vAlign w:val="center"/>
            <w:tcMar>
              <w:top w:w="65" w:type="dxa"/>
              <w:start w:w="68" w:type="dxa"/>
              <w:bottom w:w="65" w:type="dxa"/>
              <w:end w:w="68" w:type="dxa"/>
            </w:tcMar>
          </w:tcPr>
          <w:p w14:paraId="47495BF6">
            <w:pPr>
              <w:spacing w:before="0" w:after="0" w:line="240" w:lineRule="auto"/>
              <w:rPr>
                <w:sz w:val="16"/>
                <w:szCs w:val="16"/>
              </w:rPr>
            </w:pPr>
            <w:r>
              <w:rPr>
                <w:rFonts w:ascii="Times New Roman" w:hAnsi="Times New Roman" w:eastAsia="Times New Roman"/>
                <w:sz w:val="15"/>
                <w:szCs w:val="16"/>
              </w:rPr>
              <w:t>Task-stratified Prompt_ID bootstrap sensitivity</w:t>
            </w:r>
          </w:p>
        </w:tc>
        <w:tc>
          <w:tcPr>
            <w:tcW w:w="2304" w:type="dxa"/>
            <w:vAlign w:val="center"/>
            <w:tcMar>
              <w:top w:w="65" w:type="dxa"/>
              <w:start w:w="68" w:type="dxa"/>
              <w:bottom w:w="65" w:type="dxa"/>
              <w:end w:w="68" w:type="dxa"/>
            </w:tcMar>
          </w:tcPr>
          <w:p w14:paraId="7FFF7DB7">
            <w:pPr>
              <w:spacing w:before="0" w:after="0" w:line="240" w:lineRule="auto"/>
              <w:rPr>
                <w:sz w:val="16"/>
                <w:szCs w:val="16"/>
              </w:rPr>
            </w:pPr>
            <w:r>
              <w:rPr>
                <w:rFonts w:ascii="Times New Roman" w:hAnsi="Times New Roman" w:eastAsia="Times New Roman"/>
                <w:sz w:val="15"/>
                <w:szCs w:val="16"/>
              </w:rPr>
              <w:t>No zero-inclusion changes; maximum CI endpoint shift .013</w:t>
            </w:r>
          </w:p>
        </w:tc>
        <w:tc>
          <w:tcPr>
            <w:tcW w:w="2448" w:type="dxa"/>
            <w:vAlign w:val="center"/>
            <w:tcMar>
              <w:top w:w="65" w:type="dxa"/>
              <w:start w:w="68" w:type="dxa"/>
              <w:bottom w:w="65" w:type="dxa"/>
              <w:end w:w="68" w:type="dxa"/>
            </w:tcMar>
          </w:tcPr>
          <w:p w14:paraId="76CF2E38">
            <w:pPr>
              <w:spacing w:before="0" w:after="0" w:line="240" w:lineRule="auto"/>
              <w:rPr>
                <w:sz w:val="16"/>
                <w:szCs w:val="16"/>
              </w:rPr>
            </w:pPr>
            <w:r>
              <w:rPr>
                <w:rFonts w:ascii="Times New Roman" w:hAnsi="Times New Roman" w:eastAsia="Times New Roman"/>
                <w:sz w:val="15"/>
                <w:szCs w:val="16"/>
              </w:rPr>
              <w:t>Principal interval interpretations are not materially driven by reweighting the six observed tasks.</w:t>
            </w:r>
          </w:p>
        </w:tc>
        <w:tc>
          <w:tcPr>
            <w:tcW w:w="2232" w:type="dxa"/>
            <w:vAlign w:val="center"/>
            <w:tcMar>
              <w:top w:w="65" w:type="dxa"/>
              <w:start w:w="68" w:type="dxa"/>
              <w:bottom w:w="65" w:type="dxa"/>
              <w:end w:w="68" w:type="dxa"/>
            </w:tcMar>
          </w:tcPr>
          <w:p w14:paraId="3BC5E0F1">
            <w:pPr>
              <w:spacing w:before="0" w:after="0" w:line="240" w:lineRule="auto"/>
              <w:rPr>
                <w:sz w:val="16"/>
                <w:szCs w:val="16"/>
              </w:rPr>
            </w:pPr>
            <w:r>
              <w:rPr>
                <w:rFonts w:ascii="Times New Roman" w:hAnsi="Times New Roman" w:eastAsia="Times New Roman"/>
                <w:sz w:val="15"/>
                <w:szCs w:val="16"/>
              </w:rPr>
              <w:t>Robustness to unseen task families.</w:t>
            </w:r>
          </w:p>
        </w:tc>
      </w:tr>
      <w:tr w14:paraId="199E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56" w:type="dxa"/>
            <w:vAlign w:val="center"/>
            <w:tcMar>
              <w:top w:w="65" w:type="dxa"/>
              <w:start w:w="68" w:type="dxa"/>
              <w:bottom w:w="65" w:type="dxa"/>
              <w:end w:w="68" w:type="dxa"/>
            </w:tcMar>
          </w:tcPr>
          <w:p w14:paraId="5501169E">
            <w:pPr>
              <w:spacing w:before="0" w:after="0" w:line="240" w:lineRule="auto"/>
              <w:rPr>
                <w:sz w:val="16"/>
                <w:szCs w:val="16"/>
              </w:rPr>
            </w:pPr>
            <w:r>
              <w:rPr>
                <w:rFonts w:ascii="Times New Roman" w:hAnsi="Times New Roman" w:eastAsia="Times New Roman"/>
                <w:sz w:val="15"/>
                <w:szCs w:val="16"/>
              </w:rPr>
              <w:t>LLM-judge protocol</w:t>
            </w:r>
          </w:p>
        </w:tc>
        <w:tc>
          <w:tcPr>
            <w:tcW w:w="1944" w:type="dxa"/>
            <w:vAlign w:val="center"/>
            <w:tcMar>
              <w:top w:w="65" w:type="dxa"/>
              <w:start w:w="68" w:type="dxa"/>
              <w:bottom w:w="65" w:type="dxa"/>
              <w:end w:w="68" w:type="dxa"/>
            </w:tcMar>
          </w:tcPr>
          <w:p w14:paraId="11B42A55">
            <w:pPr>
              <w:spacing w:before="0" w:after="0" w:line="240" w:lineRule="auto"/>
              <w:rPr>
                <w:sz w:val="16"/>
                <w:szCs w:val="16"/>
              </w:rPr>
            </w:pPr>
            <w:r>
              <w:rPr>
                <w:rFonts w:ascii="Times New Roman" w:hAnsi="Times New Roman" w:eastAsia="Times New Roman"/>
                <w:sz w:val="15"/>
                <w:szCs w:val="16"/>
              </w:rPr>
              <w:t>Two rubric phrasings + complete valid code mappings</w:t>
            </w:r>
          </w:p>
        </w:tc>
        <w:tc>
          <w:tcPr>
            <w:tcW w:w="2304" w:type="dxa"/>
            <w:vAlign w:val="center"/>
            <w:tcMar>
              <w:top w:w="65" w:type="dxa"/>
              <w:start w:w="68" w:type="dxa"/>
              <w:bottom w:w="65" w:type="dxa"/>
              <w:end w:w="68" w:type="dxa"/>
            </w:tcMar>
          </w:tcPr>
          <w:p w14:paraId="0DB7E6BE">
            <w:pPr>
              <w:spacing w:before="0" w:after="0" w:line="240" w:lineRule="auto"/>
              <w:rPr>
                <w:sz w:val="16"/>
                <w:szCs w:val="16"/>
              </w:rPr>
            </w:pPr>
            <w:r>
              <w:rPr>
                <w:rFonts w:ascii="Times New Roman" w:hAnsi="Times New Roman" w:eastAsia="Times New Roman"/>
                <w:sz w:val="15"/>
                <w:szCs w:val="16"/>
              </w:rPr>
              <w:t>T1 .590–.741; T2 .535–.609; T3 .216–.530; T4 .206–.413; T4 QWK .006–.401</w:t>
            </w:r>
          </w:p>
        </w:tc>
        <w:tc>
          <w:tcPr>
            <w:tcW w:w="2448" w:type="dxa"/>
            <w:vAlign w:val="center"/>
            <w:tcMar>
              <w:top w:w="65" w:type="dxa"/>
              <w:start w:w="68" w:type="dxa"/>
              <w:bottom w:w="65" w:type="dxa"/>
              <w:end w:w="68" w:type="dxa"/>
            </w:tcMar>
          </w:tcPr>
          <w:p w14:paraId="47951C34">
            <w:pPr>
              <w:spacing w:before="0" w:after="0" w:line="240" w:lineRule="auto"/>
              <w:rPr>
                <w:sz w:val="16"/>
                <w:szCs w:val="16"/>
              </w:rPr>
            </w:pPr>
            <w:r>
              <w:rPr>
                <w:rFonts w:ascii="Times New Roman" w:hAnsi="Times New Roman" w:eastAsia="Times New Roman"/>
                <w:sz w:val="15"/>
                <w:szCs w:val="16"/>
              </w:rPr>
              <w:t>Archived M4 scores are traceable to saved predictions; executed variants exhibit marked sensitivity.</w:t>
            </w:r>
          </w:p>
        </w:tc>
        <w:tc>
          <w:tcPr>
            <w:tcW w:w="2232" w:type="dxa"/>
            <w:vAlign w:val="center"/>
            <w:tcMar>
              <w:top w:w="65" w:type="dxa"/>
              <w:start w:w="68" w:type="dxa"/>
              <w:bottom w:w="65" w:type="dxa"/>
              <w:end w:w="68" w:type="dxa"/>
            </w:tcMar>
          </w:tcPr>
          <w:p w14:paraId="0F3A836A">
            <w:pPr>
              <w:spacing w:before="0" w:after="0" w:line="240" w:lineRule="auto"/>
              <w:rPr>
                <w:sz w:val="16"/>
                <w:szCs w:val="16"/>
              </w:rPr>
            </w:pPr>
            <w:r>
              <w:rPr>
                <w:rFonts w:ascii="Times New Roman" w:hAnsi="Times New Roman" w:eastAsia="Times New Roman"/>
                <w:sz w:val="15"/>
                <w:szCs w:val="16"/>
              </w:rPr>
              <w:t>Universal Qwen3-8B, causal-LM, or LLM-judge performance.</w:t>
            </w:r>
          </w:p>
        </w:tc>
      </w:tr>
      <w:tr>
        <w:trPr>
          <w:cantSplit/>
        </w:trPr>
        <w:tc>
          <w:tcPr>
            <w:tcW w:type="dxa" w:w="1197"/>
            <w:vAlign w:val="center"/>
            <w:tcMar>
              <w:top w:w="65" w:type="dxa"/>
              <w:start w:w="68" w:type="dxa"/>
              <w:bottom w:w="65" w:type="dxa"/>
              <w:end w:w="68" w:type="dxa"/>
            </w:tcMar>
          </w:tcPr>
          <w:p>
            <w:pPr>
              <w:spacing w:before="0" w:after="0"/>
            </w:pPr>
            <w:r>
              <w:rPr>
                <w:rFonts w:ascii="Times New Roman" w:hAnsi="Times New Roman"/>
                <w:sz w:val="15"/>
              </w:rPr>
              <w:t>Judge family and numerical format</w:t>
            </w:r>
          </w:p>
        </w:tc>
        <w:tc>
          <w:tcPr>
            <w:tcW w:type="dxa" w:w="1810"/>
            <w:vAlign w:val="center"/>
            <w:tcMar>
              <w:top w:w="65" w:type="dxa"/>
              <w:start w:w="68" w:type="dxa"/>
              <w:bottom w:w="65" w:type="dxa"/>
              <w:end w:w="68" w:type="dxa"/>
            </w:tcMar>
          </w:tcPr>
          <w:p>
            <w:pPr>
              <w:spacing w:before="0" w:after="0"/>
            </w:pPr>
            <w:r>
              <w:rPr>
                <w:rFonts w:ascii="Times New Roman" w:hAnsi="Times New Roman"/>
                <w:sz w:val="15"/>
              </w:rPr>
              <w:t>Two unquantised FP16 Condition-C judges</w:t>
            </w:r>
          </w:p>
        </w:tc>
        <w:tc>
          <w:tcPr>
            <w:tcW w:type="dxa" w:w="3474"/>
            <w:vAlign w:val="center"/>
            <w:tcMar>
              <w:top w:w="65" w:type="dxa"/>
              <w:start w:w="68" w:type="dxa"/>
              <w:bottom w:w="65" w:type="dxa"/>
              <w:end w:w="68" w:type="dxa"/>
            </w:tcMar>
          </w:tcPr>
          <w:p>
            <w:pPr>
              <w:spacing w:before="0" w:after="0"/>
            </w:pPr>
            <w:r>
              <w:rPr>
                <w:rFonts w:ascii="Times New Roman" w:hAnsi="Times New Roman"/>
                <w:sz w:val="15"/>
              </w:rPr>
              <w:t>Qwen/Mistral differ by target; marked category concentration</w:t>
            </w:r>
          </w:p>
        </w:tc>
        <w:tc>
          <w:tcPr>
            <w:tcW w:type="dxa" w:w="1571"/>
            <w:vAlign w:val="center"/>
            <w:tcMar>
              <w:top w:w="65" w:type="dxa"/>
              <w:start w:w="68" w:type="dxa"/>
              <w:bottom w:w="65" w:type="dxa"/>
              <w:end w:w="68" w:type="dxa"/>
            </w:tcMar>
          </w:tcPr>
          <w:p>
            <w:pPr>
              <w:spacing w:before="0" w:after="0"/>
            </w:pPr>
            <w:r>
              <w:rPr>
                <w:rFonts w:ascii="Times New Roman" w:hAnsi="Times New Roman"/>
                <w:sz w:val="15"/>
              </w:rPr>
              <w:t>The specified judge protocol affects recovery and ordinal agreement.</w:t>
            </w:r>
          </w:p>
        </w:tc>
        <w:tc>
          <w:tcPr>
            <w:tcW w:type="dxa" w:w="1622"/>
            <w:vAlign w:val="center"/>
            <w:tcMar>
              <w:top w:w="65" w:type="dxa"/>
              <w:start w:w="68" w:type="dxa"/>
              <w:bottom w:w="65" w:type="dxa"/>
              <w:end w:w="68" w:type="dxa"/>
            </w:tcMar>
          </w:tcPr>
          <w:p>
            <w:pPr>
              <w:spacing w:before="0" w:after="0"/>
            </w:pPr>
            <w:r>
              <w:rPr>
                <w:rFonts w:ascii="Times New Roman" w:hAnsi="Times New Roman"/>
                <w:sz w:val="15"/>
              </w:rPr>
              <w:t>Universal family ranking, absence of bias, or a pure quantization effect.</w:t>
            </w:r>
          </w:p>
        </w:tc>
      </w:tr>
    </w:tbl>
    <w:p w14:paraId="050A7610">
      <w:pPr>
        <w:widowControl/>
      </w:pPr>
      <w:r>
        <w:t>The archived P1/identity configuration reproduces the reference M4 predictions exactly. Across the executed Condition-C perturbations, macro-F1 ranges are .590–.741 (T1), .535–.609 (T2), .216–.530 (T3), and .206–.413 (T4). T4’s 12 exhaustive template×bijection variants have mean macro-F1 .317 (SD .078; range .206–.413) and mean QWK .178 (range .006–.401); the archived P1/identity reference is .391 macro-F1 and .401 QWK. Because the original reference is retained irrespective of variant performance, this is a robustness audit rather than post-hoc prompt/model selection (Table 16).</w:t>
      </w:r>
    </w:p>
    <w:p w14:paraId="6371B87F">
      <w:pPr>
        <w:widowControl/>
      </w:pPr>
      <w:r>
        <w:t>Within these archived permutations, the widest macro-F1 ranges occur for T3–T4, alongside marked concentration of predicted labels under some code mappings. The experiment therefore shows that the observed score belongs to the complete model–rubric–answer-code–scoring configuration, not to Qwen3-8B alone. Because this archived audit did not independently manipulate every formatting and implementation feature, it cannot isolate token priors, code binding, option order, rubric wording, or 4-bit quantisation as the cause.</w:t>
      </w:r>
    </w:p>
    <w:p>
      <w:pPr>
        <w:pStyle w:val="3"/>
        <w:keepNext/>
        <w:keepLines/>
      </w:pPr>
      <w:r>
        <w:rPr>
          <w:color w:val="000000"/>
        </w:rPr>
        <w:t>6.8 Post-hoc generator-family overlap audit of M4</w:t>
      </w:r>
    </w:p>
    <w:p>
      <w:pPr>
        <w:widowControl/>
      </w:pPr>
      <w:r>
        <w:t>Qwen3-8B and corpus generator M01 share the Qwen3 lineage. On archived Condition-C predictions, excluding M01 changes macro-F1 from .741 to .727, .609 to .617, .530 to .523, and .391 to .371 on T1–T4. The new unquantised FP16 Qwen3-8B and Mistral-7B-Instruct-v0.3 runs provide an additional assessment of judge sensitivity and category recovery on all four complete Condition-C populations (Table 18). Mistral is a second automated evaluation instrument, not an independent human reference or a matched architecture control; agreement or disagreement between these judges does not itself establish validity or causally identify self-preference. Target eligibility and class composition differ by generator; the M01 subsets contain only 39, 37, and 39 eligible cases for T2–T4. Supplementary Section S9.13 reports the old and new exclusions separately.</w:t>
      </w:r>
    </w:p>
    <w:p>
      <w:pPr>
        <w:pStyle w:val="3"/>
        <w:keepNext/>
        <w:keepLines/>
      </w:pPr>
      <w:r>
        <w:t>6.9 Post-hoc FP16 judge-protocol reliability audit</w:t>
      </w:r>
    </w:p>
    <w:p>
      <w:pPr>
        <w:spacing w:after="100"/>
      </w:pPr>
      <w:r>
        <w:t>Multiplicity and independent-unit caution (S03/S06). Of 20 E1/E2 paired Δmacro-F1 nominal percentile intervals, 12 exclude zero; these are not 12 family-wise corrected findings. Their 10,408 case×comparison rows reuse eligible cases across multiple perturbations and do not constitute 10,408 independent samples. Outcomes are paired within Case_ID and bootstrapped at Prompt_ID, conditional on recorded next-token judge scoring calls.</w:t>
      </w:r>
    </w:p>
    <w:p>
      <w:pPr>
        <w:widowControl/>
      </w:pPr>
      <w:r>
        <w:t>Table 18. New unquantised FP16 Condition-C judge-protocol reliability results. Macro-F1 is followed by its descriptive 95% task-stratified Prompt_ID-cluster interval. QWK is reported for ordinal T4 only. These runs do not replace the archived NF4 A/B/C or template/code sensitivity experiments.</w:t>
      </w:r>
    </w:p>
    <w:p>
      <w:pPr/>
      <w:r>
        <w:t>Reference-run versus E1/rot0 distinction (final forensic closure, 15 October 2026). Table 18 reports the archived FP16 Condition-C reference invocation, whereas E1/E2 contrasts use the separate, case-matched E1/code_rot0 baseline. A complete archived-input reconstruction compared each of 720 T1 cases for each of the Qwen3-8B and Mistral-7B-Instruct-v0.3 judges under both protocols. All 2,880 protocol-specific reconstructed SHA-256 values matched their archived records (720 cases × 2 judges × 2 protocols), and all archived token counts matched. The sole detected difference in source-code-defined user prompts was one newline separating “Do not classify the subtype.” and “Choose only A or B.” in E1/rot0; the FP16 Reference placed these clauses on the same line. This edit was sufficient to reconstruct all recorded cross-protocol T1 input-hash mismatches (720/720 per judge); the case payload was identical across all 720 cases. Qwen reference macro-F1 0.7679227038 versus E1/rot0 0.7707529147 (4 changed decisions); Mistral 0.4440087005 versus 0.4276082638 (9 changed decisions). The hash audit verifies input construction, not a causal explanation for changed predictions. The reference is never used as the denominator of an E1/E2 contrast (see Supplement, final T1 input-forensics audit).</w:t>
      </w:r>
    </w:p>
    <w:p>
      <w:pPr/>
      <w:r>
        <w:t>Final-source verification (14 October 2026): results.rar / SERVER_RUN_20261007_A is the final authority for its own FP16 Condition-C reference experiments. The eight target-specific Qwen/Mistral macro-F1 point estimates and cluster-bootstrap intervals and two T4 QWK values in Table 18 agree with those archived experiment reports at the reported precision. Any older or preliminary DUPLICATE estimate for the same experimental run is superseded; it must not appear as a concurrent main result. Historical NF4 A/B/C studies and the later E1/E2 code_rot0 sensitivity controls are distinct protocols and are not overwritten by this rule.</w:t>
      </w:r>
    </w:p>
    <w:p>
      <w:r>
        <w:t>Independent audit disposition (14 October 2026): a source-to-manuscript reconciliation of 28 selected M3/M4 result entries found agreement at printed precision with the author-designated results.rar source. Separately, 68 experiment reports from available CPU/GPU ZIP bundles were rechecked at case level for macro-F1, accuracy and case counts; per-class point estimates were also checked, and 680 recorded confidence intervals passed structural-bound checks. These are bounded verification exercises: exact ZIP-to-RAR identity for every run, all manuscript tables and numerical prose, reproduction of bootstrap resamples, and independent reruns of E1/E2/GEE have NOT been established. Inference must therefore be limited to the verified entries and the frozen respective experiment protocols. Other experiments retain their independently frozen records.</w:t>
      </w:r>
    </w:p>
    <w:tbl>
      <w:tblPr>
        <w:tblStyle w:val="36"/>
        <w:tblW w:type="auto" w:w="0"/>
        <w:jc w:val="center"/>
        <w:tblLayout w:type="autofit"/>
        <w:tblLook w:firstColumn="1" w:firstRow="1" w:lastColumn="0" w:lastRow="0" w:noHBand="0" w:noVBand="1" w:val="04A0"/>
        <w:tblBorders>
          <w:top w:val="single" w:sz="4" w:color="C7D4E2"/>
          <w:bottom w:val="single" w:sz="4" w:color="C7D4E2"/>
          <w:left w:val="single" w:sz="4" w:color="C7D4E2"/>
          <w:right w:val="single" w:sz="4" w:color="C7D4E2"/>
          <w:insideH w:val="single" w:sz="4" w:color="C7D4E2"/>
          <w:insideV w:val="single" w:sz="3" w:color="C7D4E2"/>
        </w:tblBorders>
      </w:tblPr>
      <w:tblGrid>
        <w:gridCol w:w="1892"/>
        <w:gridCol w:w="1892"/>
        <w:gridCol w:w="1892"/>
        <w:gridCol w:w="1892"/>
        <w:gridCol w:w="1892"/>
      </w:tblGrid>
      <w:tr>
        <w:trPr>
          <w:tblHeader/>
          <w:cantSplit/>
          <w:tblHeader w:val="true"/>
        </w:trPr>
        <w:tc>
          <w:tcPr>
            <w:tcW w:type="dxa" w:w="189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Target</w:t>
            </w:r>
          </w:p>
        </w:tc>
        <w:tc>
          <w:tcPr>
            <w:tcW w:type="dxa" w:w="189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Qwen macro-F1 [CI]</w:t>
            </w:r>
          </w:p>
        </w:tc>
        <w:tc>
          <w:tcPr>
            <w:tcW w:type="dxa" w:w="189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Mistral macro-F1 [CI]</w:t>
            </w:r>
          </w:p>
        </w:tc>
        <w:tc>
          <w:tcPr>
            <w:tcW w:type="dxa" w:w="189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Qwen QWK</w:t>
            </w:r>
          </w:p>
        </w:tc>
        <w:tc>
          <w:tcPr>
            <w:tcW w:type="dxa" w:w="1892"/>
            <w:vAlign w:val="center"/>
            <w:tcMar>
              <w:top w:w="65" w:type="dxa"/>
              <w:start w:w="68" w:type="dxa"/>
              <w:bottom w:w="65" w:type="dxa"/>
              <w:end w:w="68" w:type="dxa"/>
            </w:tcMar>
            <w:shd w:val="clear" w:color="auto" w:fill="E8F0F8"/>
          </w:tcPr>
          <w:p>
            <w:pPr>
              <w:spacing w:after="0" w:before="0"/>
            </w:pPr>
            <w:r>
              <w:rPr>
                <w:rFonts w:ascii="Times New Roman" w:hAnsi="Times New Roman"/>
                <w:b/>
                <w:color w:val="1E364D"/>
                <w:sz w:val="15"/>
              </w:rPr>
              <w:t>Mistral QWK</w:t>
            </w:r>
          </w:p>
        </w:tc>
      </w:tr>
      <w:tr>
        <w:trPr>
          <w:cantSplit/>
        </w:trPr>
        <w:tc>
          <w:tcPr>
            <w:tcW w:type="dxa" w:w="1892"/>
            <w:vAlign w:val="center"/>
            <w:tcMar>
              <w:top w:w="65" w:type="dxa"/>
              <w:start w:w="68" w:type="dxa"/>
              <w:bottom w:w="65" w:type="dxa"/>
              <w:end w:w="68" w:type="dxa"/>
            </w:tcMar>
          </w:tcPr>
          <w:p>
            <w:pPr>
              <w:spacing w:after="0" w:before="0"/>
            </w:pPr>
            <w:r>
              <w:rPr>
                <w:rFonts w:ascii="Times New Roman" w:hAnsi="Times New Roman"/>
                <w:sz w:val="15"/>
              </w:rPr>
              <w:t>T1</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0.768 [0.735, 0.798]</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0.444 [0.409, 0.478]</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892"/>
            <w:vAlign w:val="center"/>
            <w:tcMar>
              <w:top w:w="65" w:type="dxa"/>
              <w:start w:w="68" w:type="dxa"/>
              <w:bottom w:w="65" w:type="dxa"/>
              <w:end w:w="68" w:type="dxa"/>
            </w:tcMar>
          </w:tcPr>
          <w:p>
            <w:pPr>
              <w:spacing w:after="0" w:before="0"/>
            </w:pPr>
            <w:r>
              <w:rPr>
                <w:rFonts w:ascii="Times New Roman" w:hAnsi="Times New Roman"/>
                <w:sz w:val="15"/>
              </w:rPr>
              <w:t>T2</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0.611 [0.570, 0.650]</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0.401 [0.378, 0.426]</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892"/>
            <w:vAlign w:val="center"/>
            <w:tcMar>
              <w:top w:w="65" w:type="dxa"/>
              <w:start w:w="68" w:type="dxa"/>
              <w:bottom w:w="65" w:type="dxa"/>
              <w:end w:w="68" w:type="dxa"/>
            </w:tcMar>
          </w:tcPr>
          <w:p>
            <w:pPr>
              <w:spacing w:after="0" w:before="0"/>
            </w:pPr>
            <w:r>
              <w:rPr>
                <w:rFonts w:ascii="Times New Roman" w:hAnsi="Times New Roman"/>
                <w:sz w:val="15"/>
              </w:rPr>
              <w:t>T3</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0.563 [0.516, 0.610]</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0.485 [0.439, 0.531]</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w:t>
            </w:r>
          </w:p>
        </w:tc>
      </w:tr>
      <w:tr>
        <w:trPr>
          <w:cantSplit/>
        </w:trPr>
        <w:tc>
          <w:tcPr>
            <w:tcW w:type="dxa" w:w="1892"/>
            <w:vAlign w:val="center"/>
            <w:tcMar>
              <w:top w:w="65" w:type="dxa"/>
              <w:start w:w="68" w:type="dxa"/>
              <w:bottom w:w="65" w:type="dxa"/>
              <w:end w:w="68" w:type="dxa"/>
            </w:tcMar>
          </w:tcPr>
          <w:p>
            <w:pPr>
              <w:spacing w:after="0" w:before="0"/>
            </w:pPr>
            <w:r>
              <w:rPr>
                <w:rFonts w:ascii="Times New Roman" w:hAnsi="Times New Roman"/>
                <w:sz w:val="15"/>
              </w:rPr>
              <w:t>T4</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0.385 [0.351, 0.418]</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0.441 [0.402, 0.482]</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0.463</w:t>
            </w:r>
          </w:p>
        </w:tc>
        <w:tc>
          <w:tcPr>
            <w:tcW w:type="dxa" w:w="1892"/>
            <w:vAlign w:val="center"/>
            <w:tcMar>
              <w:top w:w="65" w:type="dxa"/>
              <w:start w:w="68" w:type="dxa"/>
              <w:bottom w:w="65" w:type="dxa"/>
              <w:end w:w="68" w:type="dxa"/>
            </w:tcMar>
          </w:tcPr>
          <w:p>
            <w:pPr>
              <w:spacing w:after="0" w:before="0"/>
            </w:pPr>
            <w:r>
              <w:rPr>
                <w:rFonts w:ascii="Times New Roman" w:hAnsi="Times New Roman"/>
                <w:sz w:val="15"/>
              </w:rPr>
              <w:t>0.206</w:t>
            </w:r>
          </w:p>
        </w:tc>
      </w:tr>
    </w:tbl>
    <w:p>
      <w:pPr>
        <w:widowControl/>
      </w:pPr>
      <w:r>
        <w:t>The two evaluated judge protocols yield different per-target category-recovery patterns: Qwen has higher point-estimate macro-F1 on T1–T3, whereas Mistral has higher macro-F1 on T4. However, T4 ordinal agreement is lower for Mistral (QWK .206) than for Qwen (QWK .463). These numbers characterise reliability of the implemented automated judgments against the same frozen human reference; they are not a ranking of model families or architectural designs, and no paired between-judge interval is supplied by this run. Mistral assigns semantic_only to 469/474 T2 cases and detects only 3/178 grounding-involved cases (recall 1.69%). Qwen assigns no T4 case to severity 2 (177 severity-1 and 297 severity-3 predictions). Saved decisions match the argmax of the stored valid-code scores, and no input truncation is recorded. The observed category concentration is a limitation of these executed scoring configurations; the archived checks did not establish whether formatting, token preferences, or other implementation factors generated it. Supplementary Section S9.13 documents the completed-run audit.</w:t>
      </w:r>
    </w:p>
    <w:p>
      <w:pPr>
        <w:pStyle w:val="4"/>
        <w:keepNext/>
        <w:keepLines/>
      </w:pPr>
      <w:r>
        <w:t>6.9.1 Matched-baseline design for the post-hoc E1/E2 audits</w:t>
      </w:r>
    </w:p>
    <w:p>
      <w:pPr>
        <w:pStyle w:val="4"/>
      </w:pPr>
      <w:r>
        <w:t>Protocol-estimand and scope qualification. The judged object is the label selected by constrained next-token log-score ranking over allowable single-token answer codes after applying the model-specific chat template—not free-form evaluation quality or calibrated probability of semantic correctness. E2 covers predefined cyclic option-order rotations; for three-class T4 this is a strict subset (three of six) of all possible option permutations. A changed decision may improve, impair, or leave unchanged GOLD-relative accuracy, so instability rate and Δmacro-F1 are separate outcomes. Between-judge point scores must not be interpreted as a controlled architecture or family comparison. The 20 E1/E2 paired intervals are nominal post-hoc cluster-bootstrap summaries and are not simultaneous multiplicity-adjusted confidence intervals.</w:t>
      </w:r>
    </w:p>
    <w:p>
      <w:r>
        <w:rPr>
          <w:b/>
        </w:rPr>
        <w:t>Protocol comparability and resolved T1 input-provenance mismatch. Historical NF4 Qwen, later FP16 Qwen/Mistral references, and post-hoc E1/E2 runs remain distinct measurement protocols. The T1 FP16 Reference versus E1/code_rot0 difference was traced to a single rubric newline, and source-code-based reconstruction matched all 2,880 archived protocol-specific input hashes and their token counts. Although the rubric distinction is semantically small, the rendered input bytes differ in every T1 case per judge, so the two T1 reference executions are not interchangeable. In archived predictions, Qwen changed 4/720 decisions and Mistral changed 9/720; this audit does not establish that the newline alone caused those decision changes. T2–T4 archived serialized hashes and predictions match between the corresponding reference and rot0 comparisons. E1/E2 comparisons use only their within-execution, case-matched rot0 control.</w:t>
      </w:r>
      <w:r/>
    </w:p>
    <w:p>
      <w:pPr/>
      <w:r>
        <w:t>Historical T1 input-serialization forensic resolution (15 October 2026). Using the original frozen case data, recovered historical FP16 and E1/rot0 case-level hash files, original prompt-construction logic, Transformers 4.57.6, and revision-pinned tokenizers (Qwen/Qwen3-8B e8bbd8252970581ea5b08b6a5b3e668adaf3161a; mistralai/Mistral-7B-Instruct-v0.3 c170c708c41dac9275d15a8fff4eca08d52bab71), reconstructed inputs matched 720/720 archived SHA-256 hashes and token counts per judge per protocol (2,880/2,880 input-hash matches). Case payloads matched 720/720; E1/rot0 inserts a newline between the last two rubric sentences absent from the FP16 Reference. This reproduces all 720/720 cross-protocol mismatching input hashes per judge. E1 versus reference token-count differences were zero in Qwen and +2 tokens for each Mistral case. The finding closes the input-serialization provenance question but does not retroactively convert E1/rot0 into the identical reference invocation, establish causal responsibility for differing decisions, or demonstrate a fresh inference replay. The archived macro-F1 estimates and the E1/E2 baselines remain unchanged.</w:t>
      </w:r>
    </w:p>
    <w:p>
      <w:r>
        <w:rPr>
          <w:b/>
        </w:rPr>
        <w:t xml:space="preserve">Class-coverage validity warning. </w:t>
      </w:r>
      <w:r>
        <w:t>Aggregate macro-F1 does not guarantee clinically or operationally meaningful use of every response category. In the frozen FP16 evaluation, Mistral recovered only 3 of 178 GOLD grounding-involved T2 cases (recall 1.69%), and Qwen emitted no Severity-2 predictions for T4. Category non-use and near-zero recall are distinct diagnostic failure modes; category-level support, prediction frequencies and confusion matrices should be interpreted alongside aggregate metrics, rather than treating completed predictions as balanced discrimination.</w:t>
      </w:r>
    </w:p>
    <w:p>
      <w:r>
        <w:rPr>
          <w:b/>
        </w:rPr>
        <w:t xml:space="preserve">Conditional estimand and uncertainty statement. </w:t>
      </w:r>
      <w:r>
        <w:t>T2–T4 are GOLD-conditional (oracle-eligibility) diagnostic tasks, not an end-to-end pipeline starting with unlabelled outputs. Reported nominal 95% Prompt_ID-cluster bootstrap intervals quantify resampling variation over the frozen prediction corpus within the designed prompt/task frame. They do not incorporate retraining, new generator checkpoints, re-elicited prompts or new judge calls. Accordingly, claims of relative evaluator ability and uncertainty are conditional on the observed implementation and protocol; model-family causal attribution is not supported.</w:t>
      </w:r>
    </w:p>
    <w:p>
      <w:r>
        <w:rPr>
          <w:b/>
        </w:rPr>
        <w:t xml:space="preserve">Multiplicity and exploratory analyses. </w:t>
      </w:r>
      <w:r>
        <w:t>The E1/E2 within-case decision-change contrasts are separate from the 60 post-hoc human–judge GEE association tests. GEE effects are conditional associations rather than causal estimates; sparse change counts make individual contrasts fragile. One Holm-significant contrast is reported as exploratory, and nominal bootstrap intervals must not be read as multiplicity-controlled findings.</w:t>
      </w:r>
    </w:p>
    <w:p>
      <w:r>
        <w:rPr>
          <w:b/>
        </w:rPr>
        <w:t xml:space="preserve">Standardized T1 GPU check against frozen GOLD, post hoc. </w:t>
      </w:r>
      <w:r>
        <w:t>The new forced-choice T1 run produced complete case-aligned predictions for both judges (720/720). Against 246 GOLD no-failure and 474 GOLD failure cases, Qwen accuracy was 0.7514, macro-F1 0.7497 and balanced accuracy 0.8063, versus Mistral 0.5014, 0.4843 and 0.6213. Failure recall was 300/474 (63.29%) and 115/474 (24.26%), respectively. In [no failure, failure] order, rows=GOLD and columns=predicted, the confusion matrices are Qwen [[241,5],[174,300]] and Mistral [[246,0],[359,115]]. These descriptive estimates are not compared inferentially as a controlled architectural experiment.</w:t>
      </w:r>
    </w:p>
    <w:p>
      <w:r>
        <w:rPr>
          <w:b/>
        </w:rPr>
        <w:t xml:space="preserve">Sparse-event CPU sensitivity, post hoc. </w:t>
      </w:r>
      <w:r>
        <w:t>Only Qwen–T1–E2/rot1 has fewer than 30 changed predictions: 15/720 decisions, producing three GEE axis-specific fits (primary, boundary, severity), with adjusted OR values 2.806, 1.773 and 1.623 and nominal OR intervals [0.820,9.599], [0.478,6.580] and [0.359,7.332]. There are 360 successful leave-one-Prompt_ID-out refits across these three models; the ranges are primary 1.825–3.674, boundary 1.032–2.245 and severity 0.854–2.125. The only Holm-surviving exploratory association (Mistral–T2–E1/rot1–boundary, OR approximately 2.550, Holm p approximately .0333) has 65/474 changes and is not in this sparse-event group.</w:t>
      </w:r>
    </w:p>
    <w:p>
      <w:pPr>
        <w:widowControl/>
      </w:pPr>
      <w:r>
        <w:t>The E1 and E2 follow-up checks were proposed during scientific review of an earlier manuscript draft and were subsequently implemented as post-hoc analyses by the research team. The completed FP16 Condition-C post-hoc E1 audit changes the bijection between answer symbols and class labels while retaining the source cases and gold labels; E2 changes the presented option order while keeping class-to-code mappings fixed. Each variant was paired by Case_ID with its judge- and target-matched code_rot0 reference. The primary stability endpoint is the paired change fraction S in Eq. (7); ΔF1 is a secondary descriptive endpoint. Updated paired descriptive uncertainty uses 3,000 Prompt_ID-cluster bootstrap resamples (seed 20261009) on frozen predictions for both label-change fractions and macro-F1 differences; these intervals condition on the cases and the executed judge invocations. These are post-hoc sensitivity tests and not a preregistered prospective replication; their bootstrap intervals condition on retained predictions, eligible cases and completed judge invocations, not on re-running the models or selecting new prompts.</w:t>
      </w:r>
    </w:p>
    <w:p>
      <w:pPr>
        <w:widowControl/>
      </w:pPr>
      <w:r>
        <w:t>The two FP16 judge implementations are separately audited measurement protocols. Their between-protocol numerical differences cannot be assigned causally to model architecture, model family, chat-template serialization, or token priors, and are not used to rank the models. All metrics retain the target-specific frozen eligible population.</w:t>
      </w:r>
    </w:p>
    <w:p>
      <w:pPr>
        <w:pStyle w:val="3"/>
        <w:keepNext/>
        <w:keepLines/>
      </w:pPr>
      <w:r>
        <w:t>6.10 E1–E2 post-hoc sensitivity results</w:t>
      </w:r>
    </w:p>
    <w:p>
      <w:r>
        <w:t>Post-hoc T1 standardized robustness—results and interpretation. In a separately labelled post-hoc T1 robustness exercise, the 720 original case texts were re-scored under a standardized binary rubric by Qwen3-8B and Mistral-7B-Instruct-v0.3. The model-specific chat templates remained different; neither this rerun nor its numerical differences constitutes a controlled architecture comparison or a reproduction of the historic FP16 reference. A=no substantive failure and B=substantive failure; the predictions were joined one-to-one by Case_ID and cross-checked against Prompt_ID in FINAL_GOLD v1.0 (GOLD: 246 no-failure and 474 failure). Both models returned 720/720 complete decisions. Qwen accuracy=0.7514, macro-F1=0.7497, balanced accuracy=0.8063; Mistral accuracy=0.5014, macro-F1=0.4843, balanced accuracy=0.6213. For failure detection, Qwen precision=0.9836 and recall=0.6329 (TP=300, FN=174), whereas Mistral precision=1.0000 and recall=0.2426 (TP=115, FN=359). The models disagree on 196/720 cases (27.22%); this paired disagreement is descriptive and does not establish a causal architecture effect. These figures are distinct from, and do not supersede, any final runs contained within results.rar. The historical T1 FP16-versus-E1/rot0 serialized-input discrepancy remains unresolved because the original complete serialized historical inputs are unavailable.</w:t>
      </w:r>
    </w:p>
    <w:p>
      <w:r>
        <w:t>Independent raw-case numerical verification. For the 60 refitted GEE contrasts, maximum absolute differences from the retained reference were 1.11 × 10⁻¹⁵ for adjusted ORs and 1.89 × 10⁻¹⁵ for unadjusted coefficient p-values (all 60 within 10⁻⁶). All 60 class-standardised risk differences and lower/upper 95% Prompt_ID-cluster bootstrap bounds matched their retained values exactly in the supplied comparison file, with 2,500 valid replicates per comparison. The sole Holm-surviving exploratory association remains the Mistral FP16–T2–E1/rot1 grounding-boundary contrast (adjusted OR approximately 2.550; Holm p approximately .0333). No original M0–M4 result or archived FP16 reference execution was replaced.</w:t>
      </w:r>
    </w:p>
    <w:p>
      <w:pPr>
        <w:widowControl/>
      </w:pPr>
      <w:r>
        <w:t>Under E1/rot1, changed-case fractions were Mistral: T1: 469/720 (65.1%; 95% cluster CI 60.8–69.3%); T2: 65/474 (13.7%; 95% cluster CI 10.5–16.9%); T3: 391/460 (85.0%; 95% cluster CI 80.2–89.4%); T4: 149/474 (31.4%; 95% cluster CI 27.1–36.1%). Qwen: T1: 47/720 (6.5%; 95% cluster CI 4.9–8.3%); T2: 131/474 (27.6%; 95% cluster CI 23.9–31.6%); T3: 160/460 (34.8%; 95% cluster CI 29.8–39.7%); T4: 300/474 (63.3%; 95% cluster CI 58.1–68.3%). These are descriptive fixed-output sensitivity estimates, not repeated-training intervals.</w:t>
      </w:r>
    </w:p>
    <w:p>
      <w:pPr>
        <w:widowControl/>
      </w:pPr>
      <w:r>
        <w:t>Under E2/rot1, changed-case fractions were Mistral: T1: 48/720 (6.7%; 95% cluster CI 5.0–8.2%); T2: 37/474 (7.8%; 95% cluster CI 5.6–10.2%); T3: 61/460 (13.3%; 95% cluster CI 9.2–17.5%); T4: 240/474 (50.6%; 95% cluster CI 45.9–55.6%). Qwen: T1: 15/720 (2.1%; 95% cluster CI 1.1–3.2%); T2: 73/474 (15.4%; 95% cluster CI 12.5–18.4%); T3: 242/460 (52.6%; 95% cluster CI 47.8–57.3%); T4: 63/474 (13.3%; 95% cluster CI 10.1–16.9%). For three-class T4, all rot2 values and paired 3,000-resample macro-F1 intervals are reported in Supplement Table S73. These are descriptive fixed-output sensitivity estimates, not repeated-training intervals.</w:t>
      </w:r>
    </w:p>
    <w:p w14:paraId="11C6AEA3">
      <w:pPr>
        <w:pStyle w:val="2"/>
        <w:keepNext/>
        <w:keepLines/>
      </w:pPr>
      <w:r>
        <w:rPr>
          <w:color w:val="000000"/>
        </w:rPr>
        <w:t>7. Discussion</w:t>
      </w:r>
    </w:p>
    <w:p w14:paraId="3651BC58">
      <w:pPr>
        <w:pStyle w:val="3"/>
        <w:keepNext/>
        <w:keepLines/>
      </w:pPr>
      <w:r>
        <w:rPr>
          <w:color w:val="000000"/>
        </w:rPr>
        <w:t>7.1 Human reliability is the measurement foundation</w:t>
      </w:r>
    </w:p>
    <w:p w14:paraId="5773940E">
      <w:pPr>
        <w:widowControl/>
      </w:pPr>
      <w:r>
        <w:t>The computational analysis is anchored by a human reference layer whose pre-resolution agreement was quantified before adjudication. Framework-level fine-label, family, boundary, and ordinal-severity agreement (Krippendorff’s α = .703, .731, .723, and .784) quantify moderate-to-substantial, but imperfect, within-workflow concordance under the chosen estimators and label sets. These coefficients are descriptive of this measurement process rather than universal acceptability thresholds or evidence of reproducibility in other annotator populations. Freezing A1–A3 before resolution separates the reliability estimand from construction of FINAL GOLD v1.0, which supplies one adjudicated reference decision per case without retrospectively altering the ratings used for agreement analysis. Direct coefficient ranking against FRANK, SNaC, or other schemes would be inappropriate because domains, units, label spaces, raters, and reliability estimands differ (Goyal et al., 2022; Pagnoni et al., 2021). Pair-specific diagnostics further show that nominal family/boundary agreement is relatively stable across rater pairs while fine-label and exact-severity agreement varies more, localising residual rater-specific threshold differences without identifying any rater as correct or biased.</w:t>
        <w:t xml:space="preserve"> Because several fine labels have one to three adjudicated cases (and one has none), these summary coefficients do not certify the separability of each label in the code inventory.</w:t>
      </w:r>
    </w:p>
    <w:p>
      <w:pPr/>
      <w:r>
        <w:t>Human-label reliability qualification. Overall ordinal-severity α=.784 (95% task-stratified prompt-cluster interval .752–.814; N=720) should be read together with α=.528 (.470–.586) on the pre-resolution majority-failure subset (N=445). This subgroup is defined from the same ratings and differs from adjudicated T4 (N=474); the contrast mixes a score-0/failure-presence boundary with case selection and does not estimate a causal effect of including zeros. Rater-specific severity-3 margins of 21.0%, 26.4%, and 38.9%, and the 14/15 populated FINAL GOLD code inventory with one unrepresented code, further delimit the meaning of a pooled reliability coefficient. Auditability of evidence notes or the agreement of a fixed trained panel is not independent criterion validity.</w:t>
      </w:r>
    </w:p>
    <w:p>
      <w:r>
        <w:t>Reference scope. Agreement refers only to the frozen A1–A3 pre-resolution decisions made under Annotation Manual v1.2_final_locked. A4 resolved the 423 queued cases using the underlying A1–A3 decisions, while 297 unanimously rated cases retained those ratings without an A4 judgment; the later 29-case check involved the same senior adjudicator. The resulting 720-row FINAL GOLD v1.0 is a mixed consensus-preserved/workflow-adjudicated operational reference. Neither stage is an external validation criterion, independent annotator ceiling, or proof that the taxonomy is exhaustive. In particular, 297 unanimous cases were not rated by A4, whereas 423 disagreement-queued cases were resolved with access to A1–A3 decisions; the 29 targeted same-adjudicator re-reviews cannot estimate a corpus-wide error rate.</w:t>
      </w:r>
    </w:p>
    <w:p w14:paraId="287F125A">
      <w:pPr>
        <w:pStyle w:val="3"/>
        <w:keepNext/>
        <w:keepLines/>
      </w:pPr>
      <w:r>
        <w:rPr>
          <w:color w:val="000000"/>
        </w:rPr>
        <w:t>7.2 Difficulty concentrates at semantic thresholds and grounding boundaries</w:t>
      </w:r>
    </w:p>
    <w:p w14:paraId="56BE42BB">
      <w:pPr>
        <w:widowControl/>
      </w:pPr>
      <w:r>
        <w:t>The most frequent pooled disagreements occur at identifiable failure-presence and grounding boundaries; the remaining disagreements span other categories. NONE–SCF-03 and NONE–SCF-04 largely concern the threshold between acceptable variation and a coded semantic failure, whereas semantic_only–overlap concerns whether authorised-grounding failure is also involved. This structure is consistent with treating grounding status separately from the dominant linguistic mechanism. It also cautions against assuming uniform measurement difficulty across adjudicated cases: some reference decisions arise from substantially narrower operational boundaries than others. The post-hoc construct-structure diagnostics reinforce this interpretation: Core-SCF/OVR membership is substantially associated with grounding status (V=.728) but not deterministically so, while task type shows a smaller yet clear association with final family allocation (V=.251). The code families should therefore be read as operationally useful diagnostic groupings whose empirical distribution is partly task-conditioned, not as orthogonal latent linguistic dimensions.</w:t>
      </w:r>
    </w:p>
    <w:p w14:paraId="03FC18FC">
      <w:pPr>
        <w:pStyle w:val="3"/>
        <w:keepNext/>
        <w:keepLines/>
      </w:pPr>
      <w:r>
        <w:rPr>
          <w:color w:val="000000"/>
        </w:rPr>
        <w:t>7.3 Detection, diagnosis, and severity are non-equivalent computational problems</w:t>
      </w:r>
    </w:p>
    <w:p w14:paraId="0F97BBB1">
      <w:pPr>
        <w:widowControl/>
      </w:pPr>
      <w:r>
        <w:t>Detection, grounding diagnosis, mechanism classification, and ordinal severity are distinct measurement tasks, so their scores must be interpreted within their individual label spaces and eligibility rules. In the archived reference protocols, ModernBERT and the zero-shot Qwen judge show target-dependent recovery, but their scores are not a controlled head-to-head test: supervised learning and fixed-weight next-token label scoring differ in supervision, decision rule, and input processing. Accordingly, the study does not compare model families or architectural capabilities. The evidence concerns which predefined reference distinctions are recoverable and how those results depend on the stated evaluation conditions; it does not answer a separate research question or establish independent construct validity.</w:t>
      </w:r>
      <w:r/>
    </w:p>
    <w:p>
      <w:pPr/>
      <w:r>
        <w:t>Discourse-semantic interpretation boundary (CS01/CS07/CS08). The frozen scheme does not equate discourse-relation localisation with global-response coding. The final Core-SCF distribution is particularly concentrated (SCF-03 162 and SCF-04 143 of 333), while other fine codes have one to three cases and OVR-06 has none. Accordingly, grouped T3 recovery neither validates each of fifteen definitions nor demonstrates transfer-invariant rhetorical, referential, or lexical-semantic competence; its association with GOLD grounding status (V=.728) further constrains construct-specific interpretation.</w:t>
      </w:r>
    </w:p>
    <w:p w14:paraId="570389F3">
      <w:pPr>
        <w:widowControl/>
      </w:pPr>
      <w:r>
        <w:t>The validation checks expose different threats to inference. M3 scores are lower under the executed prompt×generator blocking protocol. The five total-row-count-matched controls do not reproduce the entire decrease, but matching row counts does not hold generator mixture, label composition, or development data constant. Within M4, archived rubric and answer-code perturbations change category decisions, while the completed FP16 audits exhibit additional per-class instability. Taken together, these checks warrant reporting eligibility, evidence access, training and split conditions, scoring rules, category-wise recall, and ordinal agreement alongside aggregate macro-F1. They cannot establish a causal explanation for any particular judge's category-use pattern.</w:t>
      </w:r>
      <w:r/>
    </w:p>
    <w:p w14:paraId="241C9EB2">
      <w:pPr>
        <w:pStyle w:val="3"/>
        <w:keepNext/>
        <w:keepLines/>
      </w:pPr>
      <w:r>
        <w:rPr>
          <w:color w:val="000000"/>
        </w:rPr>
        <w:t>7.4 Evidence utility depends on evaluator, target, and task</w:t>
      </w:r>
    </w:p>
    <w:p w14:paraId="32E1C085">
      <w:pPr>
        <w:widowControl/>
      </w:pPr>
      <w:r>
        <w:t>Additional context does not have a uniform observed effect. For M4, weights and the reference target rubric are fixed across A/B/C; on the 80 source-bearing prompt clusters, C exceeds B on every target by .085–.179 macro-F1, with all clustered intervals above zero. This pattern is compatible with a benefit from authorised context for this fixed-weight protocol on source-bearing cases; it does not estimate a transportable average source effect. Condition C was the evidence-rich reference input defined for reporting, not the empirically best M3 condition: Table 13 shows B at least as strong for T1, T3, and T4, whereas C is slightly higher for T2. For M3, the source-bearing B→C differences are negative on T1 and T4 and close to zero on T2–T3. Because B and C were trained separately and source availability is task-linked, these differences cannot isolate the contribution of additional source context. Estimating such an effect would require an intervention that varies evidence while holding both model parameters and task distribution fixed.</w:t>
      </w:r>
    </w:p>
    <w:p>
      <w:pPr/>
      <w:r>
        <w:t>Source-relative rather than external-factual interpretation (CS05/CS11/CS14). The observed benefit for the executed M4 C-versus-B comparison applies to source-bearing tasks and the authorised passages used here; source-free tasks make C operationally B. Statements absent from short visible passages cannot be assumed false in the world, and this experiment neither randomly assigned source access independently of task type nor measured open-domain hallucination prevalence.</w:t>
      </w:r>
    </w:p>
    <w:p w14:paraId="4D8B7148">
      <w:pPr>
        <w:pStyle w:val="3"/>
        <w:keepNext/>
        <w:keepLines/>
      </w:pPr>
      <w:r>
        <w:rPr>
          <w:color w:val="000000"/>
        </w:rPr>
        <w:t>7.5 Human disagreement carries computational information</w:t>
      </w:r>
    </w:p>
    <w:p w14:paraId="324C13A0">
      <w:pPr>
        <w:widowControl/>
      </w:pPr>
      <w:r>
        <w:t>Within the four prespecified target populations, pre-adjudication disagreement is associated with higher observed M3 error rates and higher predictive entropy; the largest measured error-rate difference is on T4. This human-hard/model-hard association is not claimed as a new general phenomenon: related work has shown that LLM performance and confidence can degrade on low-agreement or no-consensus items in other annotation settings (J. Lu et al., 2025). The contribution here is to test that relationship against the locked pre-resolution layer of the present semantic-coherence hierarchy and to retain the disagreement signal after construction of an adjudicated reference. The post-hoc target-level concordance analysis adds a complementary reference: individual annotators show strict macro-F1 ranges of .863–.957, .835–.936, .847–.930, and .644–.858 on T1–T4, with T4 QWK .488–.854. These values do not define an independent human ceiling because the same ratings contribute to the adjudicated reference; instead, they expose how much target-level disagreement remains when human decisions are expressed in the same operational space as the automatic evaluators. The error/entropy and concordance results show an association with pre-resolution disagreement. Because easy cases often inherit unanimous labels while disputed cases require a single senior decision informed by A1–A3, differential reference noise may contribute to this association; it cannot be attributed solely to intrinsic case difficulty.</w:t>
        <w:t xml:space="preserve"> Because GOLD was partially derived from those same human labels, this is within-reference disagreement-associated evaluator error, not an independent convergent measure of intrinsic semantic difficulty.</w:t>
      </w:r>
    </w:p>
    <w:p w14:paraId="58909990">
      <w:pPr>
        <w:pStyle w:val="3"/>
        <w:keepNext/>
        <w:keepLines/>
      </w:pPr>
      <w:r>
        <w:rPr>
          <w:color w:val="000000"/>
        </w:rPr>
        <w:t>7.6 Severity is learnable but remains boundary-sensitive</w:t>
      </w:r>
    </w:p>
    <w:p>
      <w:r>
        <w:rPr>
          <w:b/>
        </w:rPr>
        <w:t xml:space="preserve">Interpretation of the additional robustness evidence. </w:t>
      </w:r>
      <w:r>
        <w:t>The three sparse-event fits had wide intervals containing OR=1, despite successful numerical refitting, illustrating that implementation reproducibility is not evidential precision. The 720-case T1 GPU exercise provides an additional observable category-recovery pattern: Mistral makes no false-positive failure calls but misses 359 genuine failures; Qwen misses 174. These findings are conditional on the standardized rubric, model-specific templates, and the frozen purposely constructed corpus; neither identifies a causal mechanism of judge decisions.</w:t>
      </w:r>
    </w:p>
    <w:p w14:paraId="5D8642F0">
      <w:pPr>
        <w:widowControl/>
      </w:pPr>
      <w:r>
        <w:t>Severity is particularly sensitive to reference and decision-boundary choices: majority-failure ordinal Krippendorff’s α is .528, weaker than full-sample agreement, and the adjudicated severity target is not an independent external gold standard. Consequently, T4 macro-F1 and quadratic-weighted kappa describe recovery of an operational reference rather than performance above a human ceiling. ModernBERT recovers part of the ordinal distinction and often errs by adjacent levels. However, in the completed FP16 audit, Qwen assigns no case to intermediate severity 2, and Mistral has low recall for severity 1; Qwen's higher T4 QWK despite its missing middle category shows why ordinal agreement and macro-F1 must be read jointly. These results are compatible with sensitivity to rubric boundaries and answer-code scoring but do not identify their cause. Prior severity-oriented frameworks such as MQM/LQM and LLM-assisted evaluation in machine translation provide related methodological precedents (Lommel et al., 2013; Magdy et al., 2026; Kocmi &amp; Federmann, 2023; Q. Lu et al., 2025).</w:t>
      </w:r>
      <w:r/>
    </w:p>
    <w:p>
      <w:pPr>
        <w:spacing w:after="100"/>
      </w:pPr>
      <w:r>
        <w:t>Multiple-inference check (S02/S03). Across 60 GEE models, six nominal coefficient p-values are below .05, but only one remains below .05 after either Holm family-wise correction or BH-FDR correction. Eleven of the 60 separate class-standardised RD nominal bootstrap intervals exclude zero; none of these 11 intervals has been multiplicity-adjusted and they estimate a different quantity from the GEE coefficient. Fourteen conditional-GEE versus marginal-RD sign disagreements rule out treating odds ratios as translated percentage-point effects; overlapping variants and the endogenous adjudicated reference require a strictly post-hoc, hypothesis-generating interpretation.</w:t>
      </w:r>
    </w:p>
    <w:p>
      <w:pPr>
        <w:spacing w:after="100"/>
      </w:pPr>
      <w:r>
        <w:t>Post-hoc sparse-event inference diagnostic (S06; no new judge calls). Because a GEE model can converge even when its changed-decision outcome is rare, we audited the precision of the existing 60 fitted human–judge associations rather than introducing another benchmark or significance test. Each of the 20 overlapping E1/E2 comparisons contributes three human-axis fits, with up to 120 Prompt_ID clusters per fit. All 60 original GEE odds ratios and nominal p-values were recovered numerically from the archived paired cases; all fits converged. For Qwen–T1–E2/rot1, only 15/720 predictions changed, giving the same 15 events in its three axis-specific models—not 45 independent events. The primary-disagreement coefficient gives adjusted OR 2.81, robust SE(log-OR) 0.627, and a nominal 95% Wald OR interval [0.82, 9.60] (nominal p=.100). Conversely, the sole Holm-surviving Mistral–T2–E1/rot1 grounding-boundary fit has 65/474 changed decisions, adjusted OR 2.55, robust SE 0.271, and nominal Wald 95% OR interval [1.50, 4.34], with Holm-adjusted p=.0333 across the original 60 coefficients. The Wald intervals do not inherit Holm control; event counts and wide intervals warrant caution but neither diagnose nor correct sparse-data bias, high leverage, separation, or finite-cluster undercoverage. Complete per-fit diagnostics are supplied as a versioned supplementary CSV and reproducible script (Supplementary §S9.15).</w:t>
      </w:r>
    </w:p>
    <w:p w14:paraId="7FB40F40">
      <w:pPr>
        <w:pStyle w:val="3"/>
        <w:keepNext/>
        <w:keepLines/>
      </w:pPr>
      <w:r>
        <w:rPr>
          <w:color w:val="000000"/>
        </w:rPr>
        <w:t>7.7 Robustness and implications for AI-generated information-quality management</w:t>
      </w:r>
    </w:p>
    <w:p w14:paraId="37BC4429">
      <w:pPr>
        <w:widowControl/>
      </w:pPr>
      <w:r>
        <w:t>Robustness is threat-specific rather than a single property. The frozen M3 run and two additional full-pipeline seeds probe limited stochastic variation, LOTO assesses transfer among observed tasks, dual blocking tests performance under a stricter prompt-and-generator exclusion rule, and size-matched repeats examine the row-count explanation without balancing training composition. Archived judge perturbations probe sensitivity to the rubric and answer-symbol mapping; the two completed FP16 Condition-C judge implementations probe whether the same frozen reference distinctions are recovered consistently under additional decision protocols. Their target-dependent category concentration is a measurement-reliability finding, not evidence for superiority of any model family or architecture. In particular, Mistral detects only 3/178 T2 grounding-involved cases, whereas Qwen never predicts T4 severity 2. Complete case coverage and nontrivial aggregate scores therefore do not imply reliable class-wise recognition. Differences in chat serialization and token-score priors remain uncontrolled, so these patterns cannot be causally attributed to a particular model feature. Table 17 records the scope of each robustness check.</w:t>
      </w:r>
    </w:p>
    <w:p>
      <w:r>
        <w:t>Verification versus evidential strength. The raw-case GEE/cluster-bootstrap replay establishes reproducibility of the specified post-hoc computations on the archived matched pairs; it does not validate the semantic annotation ontology, prove a causal human-disagreement effect, establish model-family superiority, or show out-of-corpus generalisation. In particular, three Qwen–T1–E2/rot1 models rely on the same 15 decision changes and have wide coefficient intervals despite exact computational replication. The lone Holm-significant contrast is exploratory, and its status should not be generalised to the other 59 tests.</w:t>
      </w:r>
    </w:p>
    <w:p>
      <w:pPr/>
      <w:r>
        <w:t>Interpretive synthesis (not a new causal claim). The three strands are most informative when read together: apparent full-sample human severity agreement weakens under failure-only conditioning; stronger prompt-and-generator separation changes recoverability even after training-volume sensitivity checks; and a closed-choice judge can change its answer when labels or displayed choices are recoded. Therefore a single aggregate evaluation score cannot, by itself, identify stable semantic-quality measurement. These findings motivate provenance-sensitive reporting for information-quality assessment, not claims that such reporting has already improved deployed information systems.</w:t>
      </w:r>
    </w:p>
    <w:p w14:paraId="23220602">
      <w:pPr>
        <w:widowControl/>
      </w:pPr>
      <w:r>
        <w:t>For the evaluated information-quality workflow, four reporting and review practices are suggested rather than deployment-validated: document and scrutinise human-reference construction before interpreting automated scores; retain disagreement and low-reliability severity boundaries; audit prompt and generator provenance and matched training volumes; and disclose judge formatting, answer encodings, per-class recall, and ordinal metrics. The especially low T2 grounding-involved recall and omitted T4 middle category motivate targeted review of category-specific decisions rather than uncritical use of a single overall score. Selective human review is a practical implication, but its effectiveness has not been prospectively evaluated here.</w:t>
      </w:r>
      <w:r/>
    </w:p>
    <w:p>
      <w:pPr>
        <w:spacing w:after="100"/>
      </w:pPr>
      <w:r>
        <w:t>Additional statistical-scope limits (S01–S12). Crossed Prompt_ID×generator outputs justify prompt grouping for shared semantic demands but do not make the six fixed generators representative of generator variability; a cluster bootstrap from purposively elicited prompts is conditional on an exchangeability working assumption rather than external probability sampling. The nominal interval families for the primary targets, 20 E1/E2 perturbations, 16 task×target cells, five dependent size-matched controls and 60 GEE coefficients have different correction rules. A single Holm-surviving GEE association does not resolve the multiple post-hoc selection processes or dependence introduced by GOLD-based eligibility.</w:t>
      </w:r>
    </w:p>
    <w:p>
      <w:pPr/>
      <w:r>
        <w:t>Linguistic construct and example limitations (CS02–CS04/CS09/CS12/CS15). The comparative examples in Supplementary Table S13 were constructed after annotation to explain possible boundaries; they are not previously rated examples or minimal-pair validation. A source-relative causal contradiction does not automatically constitute an internally broken causal chain; explicit contradictory output claims give a stronger OVR-01 reading than a stand-alone SCF-05 diagnosis; and unusual order or an ordinary polysemous term does not alone establish discourse or sense failure. We revise these illustrative contrasts, identify credible alternative diagnoses where the mechanism cannot be isolated, and do not apply any new precedence rules retrospectively to FINAL GOLD.</w:t>
      </w:r>
    </w:p>
    <w:p>
      <w:pPr/>
      <w:r>
        <w:t>Reproducibility boundary for judge protocols. The original FP16 and E1/rot0 T1 input representations have now been independently reconstructed with complete agreement against all 2,880 recorded protocol-specific input SHA-256 hashes and token counts. Source-defined prompt comparison identified a newline separating the final two T1 rubric instructions in E1/rot0, sufficient to reproduce all historical T1 hash discrepancies. This is a verified input-construction replay, not a fresh weight-loaded judge inference run or causal perturbation experiment identifying the source of four Qwen and nine Mistral decision changes. Internally case-paired E1/E2 contrasts retain their separate baseline. Conclusions remain restricted to fixed cases, model-specific prompt implementations, selected cyclic perturbations and post-hoc analytic choices.</w:t>
      </w:r>
    </w:p>
    <w:p>
      <w:pPr/>
      <w:r>
        <w:t>Historical input-forensics disposition (resolved input identity; remaining inference boundary). Exact FP16 Reference and E1/rot0 historical input SHA-256 records were fully reproduced from frozen case content, original prompt-building logic, revision-pinned tokenizers and chat templates (720 cases × two judges × two protocols). The one-newline change in the final T1 rubric instructions produces the full observed cross-protocol input-hash divergence; no inversion of SHA-256 was attempted. The archived token counts also matched for both protocols. A separate controlled fresh-inference experiment changing only this newline would be needed to attribute the observed 4/720 Qwen and 9/720 Mistral prediction switches causally. No such causal experiment is claimed here. For future archival completeness, retain the rendered prompts and token IDs in addition to hashes, model/tokenizer revisions, and scoring settings.</w:t>
      </w:r>
    </w:p>
    <w:p>
      <w:pPr/>
      <w:r>
        <w:t>Interpretive implication for measurement reliability (descriptive and post hoc). Complete byte-level divergence between the T1 reference and E1/rot0 prompts co-occurred with high case-level agreement in decoded decisions: 716/720 (99.44%) for Qwen and 711/720 (98.75%) for Mistral. This contrast distinguishes prompt identity, tokenisation, decision stability, and agreement with the adjudicated criterion: none is a proxy for another. These are two archived executions, not a randomised one-factor formatting intervention; accordingly, the 13 discordant decisions across judges are not attributable exclusively to a newline and must not be portrayed as a statistically validated effect, architectural contrast, or new study endpoint. Since cases share 120 Prompt_ID clusters, individual decisions must not be treated as independent experimental replicates in any future uncertainty calculation.</w:t>
      </w:r>
    </w:p>
    <w:p>
      <w:pPr>
        <w:widowControl/>
      </w:pPr>
      <w:r>
        <w:t>The E1/E2 audits hold eligible cases and reference labels fixed while changing the permitted answer-code mapping (E1) or displayed option order (E2) within a judge protocol. Their paired change indicator records any decoded-label change, not necessarily a loss in accuracy; differences in macro-F1 are a separate descriptive outcome. Prompt_ID-cluster intervals quantify variation across sampled prompt clusters conditional on the already completed judge invocations. These experiments identify response-presentation sensitivity of the executed scoring interfaces, not a unique internal mechanism.</w:t>
      </w:r>
    </w:p>
    <w:p>
      <w:r>
        <w:t>The historical M4 Qwen3-8B NF4 judge and the later FP16-offloaded Qwen3-8B/Mistral-7B judges instantiate different measurement protocols. For each FP16 judge, E1/E2 variants are compared exclusively with that judge's E1/rot0 case-matched control, rather than the separately executed reference invocation. Their restricted next-token answer-code scores, code-to-label decoding rules, and non-identical chat serialization are material details of the estimand; between-protocol category differences cannot be attributed to model family or architecture. Top-two next-token log-score gaps remain uncalibrated decision margins rather than probabilities of semantic correctness.</w:t>
      </w:r>
    </w:p>
    <w:p>
      <w:pPr>
        <w:widowControl/>
      </w:pPr>
      <w:r>
        <w:t>The measurement implication is narrower than format-invariant judging: complete Case_ID coverage and plausible aggregate macro-F1 do not guarantee stable category use when an answer-code map or visible option order changes. Reproducible evaluation therefore requires archiving the decision interface and reporting paired changes and class-specific error patterns, not only target-level scores. The audit did not test whether these practices improve downstream decisions or human trust.</w:t>
      </w:r>
    </w:p>
    <w:p>
      <w:r>
        <w:t>Interpretive mechanisms (non-causal). Answer-code remapping (E1) and visible option-order perturbation (E2) are controlled changes to the response interface, not to the evaluated text or adjudicated gold labels. The observations are compatible with answer-token preferences, option-position sensitivity, and differences in response-scoring margins; their relative contributions were not independently identified. These are competing or interacting explanations, not identified causal mechanisms: the study does not isolate token priors or establish that smaller next-token score gaps measure semantic boundary proximity. Accordingly, category collapse under one encoding should not be equated with semantic inability to represent that category. The contribution is an audit of measurement-protocol stability for semantic-error labels, not a ranking of generator or judge architectures. Archived next-token scores permit a descriptive top-two score-gap audit rather than identification of the causal source: in E2 T1, median baseline top-two log-probability gaps for cases with versus without a label change were 1.66 versus 11.38 (Mistral) and 0.97 versus 15.31 (Qwen). These score gaps are not calibrated semantic-confidence probabilities; counterexamples exist across the target–perturbation matrix (see Supplement Table S80).</w:t>
      </w:r>
    </w:p>
    <w:p>
      <w:r>
        <w:t>Human–judge instability association (post-hoc exploratory sensitivity analysis). Frozen A1–A3 non-unanimity was related to the E1/E2 within-case prediction-change indicator across 20 paired contrasts and three rating axes (60 exploratory tests). We retained crude risk differences and additionally standardised each contrast to the target-specific gold-class distribution with 2,500 Prompt_ID-cluster bootstrap resamples (PCG64 seed 20261010; corrected deterministic regeneration documented in Supplement §S9.15). As a further sensitivity check, the covariate-adjusted logistic GEE model in Eq. (8) was fitted, and the resulting 60 p-values were adjusted by both Benjamini–Hochberg and Holm methods. The patterns remained heterogeneous: Mistral T2 E1/grounding-boundary disagreement gave a crude risk difference of +0.110, class-standardised +0.083 (95% descriptive cluster interval [+0.026, +0.150]); the corresponding GEE coefficient had the only Holm-adjusted p-value below .05 across the 60 exploratory tests (adjusted p = .0333), conditional on the fitted covariate and cluster specification. For Mistral T2 E1/primary-label disagreement, the crude +0.077 attenuated to class-standardised +0.049, with an interval crossing zero. Full 60-row crude/adjusted estimates are reported in Supplement Table S79 and released CSV; these overlapping post-hoc tests do not identify a causal mechanism and should not be interpreted as a general law linking human disagreement to judge instability. Cluster intervals condition on the stored case outputs, and adjusted model p-values remain exploratory.</w:t>
      </w:r>
    </w:p>
    <w:p>
      <w:r>
        <w:t>Statistical interpretation. The descriptive endpoint is the within-case change indicator following a specified E1/E2 perturbation. Class-standardised risk differences compare marginal change rates in percentage points. Separately, a binomial GEE estimates a conditional disagreement coefficient, adjusting for GOLD category and generator identity, with working-independence correlation and robust Prompt_ID-clustered uncertainty. Exponentiating this coefficient yields an odds ratio, not a marginal risk difference. These 60 overlapping comparisons form one post-hoc exploratory multiplicity family; their single Holm-surviving association is described with its numerical estimates in the preceding paragraph. The model-specific association is not evidence of human disagreement causing judge instability. This association measures answer-encoding decision instability under one constrained judging interface, not semantic uncertainty, independent criterion validity, or a causal effect of human disagreement. The marginal RD is standardised for GOLD class, whereas the GEE odds ratio additionally adjusts generator stratum.</w:t>
      </w:r>
    </w:p>
    <w:p>
      <w:pPr/>
      <w:r>
        <w:t>Relationship of the post-hoc GEE precision audit to the other analyses. E1/E2 measures decision changes when answer codes or option positions are altered; the Human–Judge association layer asks whether the *same change indicator* is associated with frozen human non-unanimity, reporting a descriptive GOLD-class-standardised risk difference and a differently adjusted conditional GEE odds ratio. The additional stability audit interrogates only the precision and event support of this latter GEE coefficient: it neither tests whether E1/E2 improves or degrades macro-F1, nor re-estimates the marginal risk difference, nor assesses model calibration or independent construct validity. In particular, 60 diagnostic interval displays do not constitute 60 fresh discovery tests, and asymptotic robust standard errors cannot guarantee trustworthy intervals for sparsely changing cases. We consequently retain one Holm-surviving association as exploratory and do not infer that pre-resolution disagreement causes answer-format sensitivity.</w:t>
      </w:r>
    </w:p>
    <w:p w14:paraId="5B7C5CCB">
      <w:pPr>
        <w:pStyle w:val="2"/>
        <w:keepNext/>
        <w:keepLines/>
      </w:pPr>
      <w:r>
        <w:rPr>
          <w:color w:val="000000"/>
        </w:rPr>
        <w:t>8. Limitations and Threats to Validity</w:t>
      </w:r>
    </w:p>
    <w:p>
      <w:r>
        <w:rPr>
          <w:b/>
        </w:rPr>
        <w:t>Further post-hoc limitations. The sparse-event cutoff of 30 is diagnostic rather than an inferential threshold; leave-one-cluster-out fits are sensitivity descriptions, not multiplicity-corrected confirmatory tests. The T1 reference-versus-rot0 byte-level input discrepancy is now explained and verified by complete historical input-hash and token-count reconstruction (2,880/2,880 comparisons across both judges and protocols), identifying a single rubric newline in the source-defined prompts. This does not establish why 4 Qwen or 9 Mistral decoded predictions changed, nor does it establish architecture, model-size or prompt-template causal effects. The independent standardized T1 rerun is a distinct exercise; all original archival runs and E1/E2 estimates are unchanged.</w:t>
      </w:r>
      <w:r/>
    </w:p>
    <w:p>
      <w:pPr/>
      <w:r>
        <w:t>Additional construct and statistical boundary. The 2,880/2,880 figure counts successful case-by-protocol-by-judge input-hash reconstructions; it is not 2,880 independent observations, a predictive accuracy score, a robustness rate, or evidence that the judges are format invariant. Historical agreement rates (716/720 and 711/720) are descriptive only and reflect possible execution-level as well as formatting-related differences. The archive supports an exact provenance explanation for hashes but not a causal or multiplicity-adjusted inference about decision changes. No additional hypothesis test was introduced post hoc.</w:t>
      </w:r>
    </w:p>
    <w:p>
      <w:r>
        <w:t>Reproducibility-specific boundary. Numerical replay of 60 GEE fits and 60 cluster-bootstrap intervals is conditional on the retained de-identified paired rows, implementation and cluster ordering; it is not an independent prospective replication with new judges, prompts or labels. The historical Wald confidence-interval endpoint discrepancy (up to approximately 0.000217) is now mathematically reconciled: archived intervals use exp(beta ± 1.96 × robust SE), whereas the independent refit used exp(beta ± 1.959963984540054 × robust SE); all 60 pairs of interval endpoints in both calculations reproduce their respective records to numerical precision. The coefficient estimates, p-values and adjusted bootstrap inference are unchanged. The historical FP16 Reference versus E1/rot0 T1 serialized-input difference was resolved by an exact 2,880/2,880 hash-reconstruction audit: a single newline in the final rubric lines sufficed to account for cross-protocol hash discrepancies. Nevertheless, these were not identical input protocols, and the audit does not establish a causal explanation for the four Qwen and nine Mistral decision differences. The original pre-freeze analyses and post-hoc sensitivity results remain distinct.</w:t>
      </w:r>
    </w:p>
    <w:p w14:paraId="4361B8BA">
      <w:pPr>
        <w:widowControl/>
      </w:pPr>
      <w:r>
        <w:t>Construct and measurement validity. The codebook predates the main human study and the prompt bank deliberately exercises its target phenomena. The study therefore evaluates operational reproducibility and computational recoverability under that framework, not the truth or completeness of a universal ontology. All 720 cases could be assigned because no outside-taxonomy option was prespecified; operational coverage is not evidence that every possible semantic-coherence failure is represented. Agreement estimates characterise one trained three-annotator workflow, not reproducibility in a new annotator population.</w:t>
        <w:t xml:space="preserve"> Codebook rules link NONE, no_failure and severity 0, and source-relative grounding is constrained by visible evidence; the three columns are not psychometrically orthogonal. Empirical support is especially weak for rare fine labels, even when the pooled reliability coefficient is satisfactory.</w:t>
      </w:r>
    </w:p>
    <w:p>
      <w:pPr/>
      <w:r>
        <w:t>Unresolved discourse construct validity (CS01–CS15). The coding unit is an entire generated response, not independently segmented discourse units; no expert-validated rhetorical-relation graphs, coreference chains, QUD trajectories or lexical-sense alignments were collected. The codebook aggregates partly overlapping discourse, pragmatic, reference, consistency and grounding phenomena with fixed operational precedence. Synthetic post-study contrastive illustrations provide interpretive transparency but no further human-rated validation, and sparse fine codes preclude class-specific recovery claims. Generation-health symptoms and source availability co-vary with model/task strata. None of these limits is repaired by higher grouped macro-F1 or by the supplementary post-hoc examples.</w:t>
      </w:r>
    </w:p>
    <w:p w14:paraId="57B47F7B">
      <w:pPr>
        <w:widowControl/>
      </w:pPr>
      <w:r>
        <w:t>Adjudication and reference dependence. The senior reference is not an independent external gold standard: A4 resolved disagreements after viewing A1–A3 decisions, and the 29-case re-review was selected by a project-lead manual-consistency audit and conducted by the same adjudicator. The four final HREF ordering corrections were deterministic clerical normalisations. Accordingly, adjudication outcomes support reference construction and provenance, while inter-rater reliability remains based only on the frozen pre-resolution A1–A3 layer. Post-hoc annotator-to-reference concordance is contextual rather than an independent human ceiling.</w:t>
        <w:t xml:space="preserve"> Of the 720 references, 297 unanimous cases were not independently verified by A4; the 423 selected cases were adjudicated with visibility of the pre-resolution ratings. Targeted re-review does not provide a probability-sampled criterion-error estimate.</w:t>
      </w:r>
    </w:p>
    <w:p>
      <w:pPr>
        <w:spacing w:after="100"/>
      </w:pPr>
      <w:r>
        <w:t>Inference boundary for conclusions. All uncertainty summaries condition on this deliberately balanced corpus, six selected generator strata, selected models, and completed predictions. They do not estimate population prevalence, unseen-generator transportability, full retraining/split-selection uncertainty, or family-wise discovery counts for the descriptive E1/E2 macro-F1 differences. The nominal 12/20 interval exclusions and 11/60 marginal-RD exclusions are not separate multiplicity-controlled conclusions.</w:t>
      </w:r>
    </w:p>
    <w:p w14:paraId="611D8978">
      <w:pPr>
        <w:widowControl/>
      </w:pPr>
      <w:r>
        <w:t>Sampling and transportability. Although 720 outputs are analysed, the dependence structure is 120 prompt clusters crossed with six purposively selected generators. Prompt-grouped folds and cluster bootstrapping preserve that structure, but the corpus is balanced for diagnostic coverage rather than population prevalence. LOTO remains internal, with only 20 prompt clusters per held-out task and task-specific class imbalance. The strict dual block excludes each test prompt fold and anonymous generator stratum from training but still operates within the same six observed generators. External validity therefore requires new prompt distributions, task families, domains, languages, generators, and annotator populations. Because all observed outputs come from purposively selected small language model checkpoints and no larger-model comparison is included, the findings do not establish that these failure patterns or evaluator behaviours are specific to small language models. No external sample or new independent annotator panel was obtained; neither transported performance nor independent external criterion validity is established by the present results. Both are identified as future directions (§9; Supplement S12), with no new observations added here.</w:t>
      </w:r>
      <w:r>
        <w:t xml:space="preserve"> The label inventory includes no out-of-taxonomy selection category, further limiting any assertion of conceptual exhaustiveness or natural population prevalence.</w:t>
      </w:r>
    </w:p>
    <w:p w14:paraId="323D5D88">
      <w:pPr>
        <w:widowControl/>
      </w:pPr>
      <w:r>
        <w:t>Leakage and corpus shortcuts. Exact, lexical, character, embedding, and manual audits reduce concern about obvious duplication but cannot prove semantic independence. Generator identity is not an input feature, yet output-only provenance remains recoverable. Five size-matched repetitions for each M1/M3 target control total training-row count when comparing against strict dual blocking. They do not equalise generator or class composition, nor guarantee identical inner-development populations. The reference supervised scores therefore remain within-corpus recoverability estimates rather than generator-invariant linguistic competence.</w:t>
      </w:r>
    </w:p>
    <w:p w14:paraId="1B8EB2D8">
      <w:pPr>
        <w:widowControl/>
      </w:pPr>
      <w:r>
        <w:t>Evidence and evaluator scope. Source availability is coupled to task type, and M3 B/C systems are separately trained. The archived Qwen3-8B NF4 A/B/C and rubric/code perturbations are retained as historical protocol results. New unquantised FP16 Qwen3-8B and Mistral-7B-Instruct-v0.3 runs cover only Condition C under the reference rubric and code mapping; FP16 is not FP32. Differences from the archived judge cannot be attributed solely to quantization because the executions were not a controlled numerical-precision ablation. The two instantiated judge protocols use different chat serialization, and only one next-token answer-scoring rule was tested for each new FP16 run. Category concentration, token priors, option order, and symbol binding therefore remain threats to measurement validity. Neither these observations nor differences in supervision, scale, objective, or post-training are used to rank architectures or model families: the study audits stability of automatic semantic-error assessment, not architectural superiority.</w:t>
        <w:t xml:space="preserve"> Grounding involvement is defined against visible authorised material and must not be equated with world-level factual correctness; four task types always have sources and two do not.</w:t>
      </w:r>
    </w:p>
    <w:p w14:paraId="10964726">
      <w:pPr>
        <w:widowControl/>
      </w:pPr>
      <w:r>
        <w:t>Model-selection and uncertainty scope. M3 uses one predefined encoder and fixed non-epoch hyperparameters; one predesignated development fold selects training duration within each outer iteration. This protects the outer test fold but does not quantify variability across alternative development partitions, hyperparameter grids, encoder families, or repeated fold assignments. Cluster-bootstrap intervals condition on the archived predictions and fold assignment rather than integrating full retraining uncertainty. T4 is evaluated with ordinal metrics but trained with a class-weighted categorical loss, and predictive-entropy analyses are uncalibrated. The deterministic qualitative error audit is illustrative, not an estimate of error-type prevalence.</w:t>
      </w:r>
    </w:p>
    <w:p w14:paraId="29504375">
      <w:pPr>
        <w:pStyle w:val="2"/>
        <w:keepNext/>
        <w:keepLines/>
      </w:pPr>
      <w:r>
        <w:rPr>
          <w:color w:val="000000"/>
        </w:rPr>
        <w:t>9. Future Work</w:t>
      </w:r>
    </w:p>
    <w:p w14:paraId="54526A18">
      <w:pPr>
        <w:widowControl/>
      </w:pPr>
      <w:r>
        <w:t>Future work could examine independent transportability using new prompts, domains, languages, task families, generation systems, and annotators who did not participate in this study. Such work would require a prespecified external sampling frame, independently collected annotations, frozen evaluation rules, and an evaluation of conditional versus end-to-end performance; none of these steps was executed for this study. Separately, an independently blinded audit of the existing adjudicated reference could assess its stability without replacing or retrospectively editing FINAL GOLD v1.0. Within the measurement framework, further work could compare format-invariant or permutation-aggregated judgment rules, independently phrased rubrics, and alternative score extraction to determine whether the E1/E2 encoding sensitivity can be reduced. Controlled context-quality interventions, explicitly ordinal or cost-sensitive severity models, calibration, and selective human referral also remain untested extensions. Additional judge implementations, if introduced, should serve measurement validation rather than architecture ranking.</w:t>
      </w:r>
      <w:r/>
    </w:p>
    <w:p>
      <w:pPr/>
      <w:r>
        <w:t>A dedicated future measurement-reliability study should preregister a single-factor rubric-format intervention using exactly the same case payloads, model weights and pinned revisions, inference kernels, deterministic settings, scoring procedure and answer-code definitions, while changing only the rubric line break. Include repeated controlled runs and a negative control with identical prompts; archive exact rendered prompts, token IDs and logits/margins. Prespecify case-level switch rate, direction of GOLD-relative correctness changes, paired macro-F1 differences, and Prompt_ID-cluster bootstrap intervals; analyse borderline-margin and ambiguity strata as exploratory moderators, controlling multiplicity across judges and conditions. Extend to T2–T4 and A/B/C only if independently motivated. This is proposed research, not performed validation, and does not alter the current research questions or claims.</w:t>
      </w:r>
    </w:p>
    <w:p w14:paraId="13D44F78">
      <w:pPr>
        <w:widowControl/>
      </w:pPr>
      <w:r>
        <w:t>A second direction is disagreement-aware learning. Soft labels, uncertainty-triggered review, and prospective independent difficulty annotation could test whether preserving human disagreement improves decisions near the semantic, grounding, and severity boundaries identified here.</w:t>
      </w:r>
    </w:p>
    <w:p w14:paraId="43D5D181">
      <w:pPr>
        <w:pStyle w:val="2"/>
        <w:keepNext/>
        <w:keepLines/>
      </w:pPr>
      <w:r>
        <w:rPr>
          <w:color w:val="000000"/>
        </w:rPr>
        <w:t>10. Conclusion</w:t>
      </w:r>
    </w:p>
    <w:p w14:paraId="372C8ABC">
      <w:pPr>
        <w:widowControl/>
      </w:pPr>
      <w:r>
        <w:t>This study approaches semantic-coherence assessment as a staged measurement and computational-recovery problem rather than as a comparison of generation or judge architectures. Three trained annotators produced 2,160 locked pre-resolution ratings for 720 outputs. Framework agreement was .703 for fine labels, .731 for families, .723 for grounding boundaries, and .784 for full-sample ordinal severity, but decreased to .528 in the majority-failure severity subset. The adjudicated reference was then constructed through a documented resolution process, retaining the distinction between measured human agreement and a single operational reference label. The reported agreement estimates are internal to the trained annotation workflow, while T2–T4 evaluate GOLD-conditioned diagnosis rather than end-to-end detection. E1/E2 already provide selected response-encoding sensitivity analyses within this corpus; independent-reference replication and testing on new populations remain unperformed future work.</w:t>
      </w:r>
      <w:r/>
      <w:r>
        <w:t xml:space="preserve"> Importantly, the rubric contains structurally dependent fields and highly uneven fine-code support; these results establish auditable operational measurement and conditional reference-label recovery, not discriminant validity of three latent factors, a universal taxonomy, or correctness of every GOLD case. The 445-case majority-failure severity-reliability subset and the 474-case T4 reference are distinct.</w:t>
      </w:r>
    </w:p>
    <w:p>
      <w:r>
        <w:t>Reproducibility update. Exact raw-case reproduction of the 60 post-hoc GEE coefficient tests and 2,500-replicate class-standardised bootstrap intervals per contrast increases confidence in the computational audit trail, without altering the original research questions, the primary M0–M4 estimates, or the association-versus-causation boundary. Remaining threats include sparse change events, historical T1 prompt-serialization differences and external validity.</w:t>
      </w:r>
    </w:p>
    <w:p>
      <w:r>
        <w:rPr>
          <w:b/>
        </w:rPr>
        <w:t>Post-hoc contribution to the conclusion. CPU and GPU robustness checks reinforce the need to report judge protocol and category-level failure recovery, but do not establish invariance or a superiority ordering. Three low-event GEE fits remain exploratory. The historical T1 input mismatch is now accounted for by an exactly reconstructed single-newline rubric formatting difference (2,880/2,880 archived protocol-specific input-hash matches), although the resulting 4/720 Qwen and 9/720 Mistral decision changes are not causally attributed by this forensic audit. These findings supplement, not replace, the four original research-question results.</w:t>
      </w:r>
      <w:r/>
    </w:p>
    <w:p>
      <w:pPr/>
      <w:r>
        <w:t>The defensible computational-semantic result is recoverability of adjudicated, response-level operational labels for the six observed task families and fixed generator strata. Neither an abstract, model-independent discourse-coherence factor nor open-domain factuality, discourse-relation localisation, or full fifteen-code mechanism validity is demonstrated. The source-relative grounding boundary and technical sequence health remain necessary qualifiers of this evidence.</w:t>
      </w:r>
    </w:p>
    <w:p>
      <w:pPr/>
      <w:r>
        <w:t>Literature-positioned conclusion. Relative to fine-grained error taxonomies, localisation systems and documented LLM option biases, the present contribution is a traceable, case-aligned audit of what the reported scores mean under human disagreement, operational eligibility, partition changes and judge-format perturbations. E1/E2 constitute post-hoc extension evidence, not a new discovery of symbol/order bias. No independent criterion validity, external transportability, mechanistic cause of judge instability or deployment benefit has been established.</w:t>
      </w:r>
    </w:p>
    <w:p>
      <w:r>
        <w:t>Practical implication, not deployment validation. Within an information-quality workflow, the results motivate retaining provenance and label eligibility, inspecting rare-class recall alongside aggregate scores, and recording evaluator answer encodings. These are suggested audit safeguards; the study does not test improvements in user trust, real-world information utility, or downstream organisational decisions. In particular, the small adjudicated HREF category (14 cases) limits generalisation from per-family point estimates.</w:t>
        <w:t xml:space="preserve"> Audit policy should also distinguish source-relative grounding judgments from real-world factual truth and interpret human-hard/model-hard associations as internal to the same reference-construction chain.</w:t>
      </w:r>
    </w:p>
    <w:p w14:paraId="25117B12">
      <w:pPr>
        <w:widowControl/>
      </w:pPr>
      <w:r>
        <w:t>Computational recovery depends on the target, eligibility, evidence, and validation protocol. Standard Condition-C ModernBERT macro-F1 is .655/.777/.791/.637 on T1–T4; dual-blocked reruns yield .591/.671/.682/.573, below five-repeat training-size-matched means of .630/.749/.781/.644. The archived Qwen rubric/code perturbations and new FP16 judge audits show that automatic category assignments can change or concentrate even when every eligible case receives a valid prediction. In particular, Mistral recovers only 3/178 T2 grounding-involved cases, and Qwen does not assign T4 severity 2. These are limits of the implemented judgment protocols, not rankings of model families or architectures. For comparable within-corpus studies, these findings motivate documenting human-reference provenance, evidence and eligibility rules, leakage checks, and class-specific performance alongside aggregate scores; new domains, independently recruited annotators, and prospective validation of protocol-invariant scoring remain future validation tasks. In the completed E1–E2 FP16 audits, remapping answer symbols and reordering options changed numerous case-level predictions under fixed gold labels, reinforcing that the implemented judgment protocol is part of the reported measurement.</w:t>
      </w:r>
      <w:r/>
      <w:r/>
    </w:p>
    <w:p>
      <w:pPr/>
      <w:r>
        <w:t>Release-candidate evidence boundary. The completed post-hoc M3 dual-blocked predictions, 60 corrected HJI bootstrap intervals, and 60 GEE-precision fits have versioned case/contrast-level provenance with successful module-specific numerical tests on a clean GitHub runner. The 31 earlier experiment links were rebuilt against current main Tables 1–18 and Supplementary Tables S1–S82; two additional post-hoc statistical rows are explicitly marked. All other release-wide claims remain bounded by the actual archived files and checks; a single GEE/HJI/M3 verification pipeline is not evidence of independent end-to-end historical GPU regeneration. Separate post-study linguistic examples, GOLD v1.0 case decisions, prospective reference-design choices and post-hoc E1/E2 checks remain distinct audit layers.</w:t>
      </w:r>
    </w:p>
    <w:p>
      <w:pPr/>
      <w:r>
        <w:t>Publication-version governance. Original A1–A3 pre-resolution files, round-1 A4 resolution of 423 cases, the targeted 29-case senior re-review, four clerical consistency normalisations, and FINAL GOLD v1.0 form the operational reference history. The legacy 394-case summary count is identified as stale workflow metadata rather than a competing case-level reference. Any post-study “v1.3” column or mapping note is a documentary interpretive addendum, not an independent relabelling or a replacement for FINAL GOLD v1.0; its release authorship and document-version identity require source confirmation. Public dataset redistribution, coauthor CRediT approval, final deposit identifier and ethical-policy support remain release gates rather than presumed completed approvals.</w:t>
      </w:r>
    </w:p>
    <w:p w14:paraId="13CA888E">
      <w:pPr>
        <w:pStyle w:val="2"/>
        <w:keepNext/>
        <w:keepLines/>
      </w:pPr>
      <w:r>
        <w:rPr>
          <w:color w:val="000000"/>
        </w:rPr>
        <w:t>Declarations</w:t>
      </w:r>
    </w:p>
    <w:p w14:paraId="525ECB05">
      <w:pPr>
        <w:pStyle w:val="3"/>
        <w:keepNext/>
        <w:keepLines/>
      </w:pPr>
      <w:r>
        <w:rPr>
          <w:color w:val="000000"/>
        </w:rPr>
        <w:t>Data availability</w:t>
      </w:r>
    </w:p>
    <w:p w14:paraId="7543917D">
      <w:pPr>
        <w:widowControl/>
        <w:spacing w:after="80"/>
      </w:pPr>
      <w:r>
        <w:t>The study retains 720 frozen generated outputs, human pre-resolution annotations, the operational adjudicated reference, saved predictions, and analysis code. The study owner has expressly approved public dissemination of the project data and information (15 October 2026); owner-level publication permission is therefore not an outstanding blocker. The main-branch repository (https://github.com/fatmas1982/semantic-coherence-recovery) publicly provides the CPU E1/E2/GEE Colab notebook, frozen paired inputs, analysis code, and four CSV products of the successful reanalysis (results/validity_2026_10/colab_success_20261014/). The original results.rar binary and the latest manuscript DOCX binaries must not be described as deposited on GitHub until independently verified there. Owner authorization does not certify third-party redistribution rights, any additional coauthor sign-offs required by policy, a formal ethics determination, or compliance with a journal's masked-review rules. No DOI or repository-wide completeness claim is made.</w:t>
      </w:r>
    </w:p>
    <w:p w14:paraId="0AE0911D">
      <w:pPr>
        <w:pStyle w:val="3"/>
        <w:keepNext/>
        <w:keepLines/>
      </w:pPr>
      <w:r>
        <w:rPr>
          <w:color w:val="000000"/>
        </w:rPr>
        <w:t>Code and reproducibility availability</w:t>
      </w:r>
    </w:p>
    <w:p w14:paraId="568F11B8">
      <w:pPr>
        <w:widowControl/>
        <w:spacing w:after="80"/>
      </w:pPr>
      <w:r>
        <w:t>We distinguish (i) numerically recomputable point results from frozen OOF predictions, (ii) historical bit-identical generation/training replay, and (iii) specification-based reconstructed reruns. An independent GitHub Actions run verified the 60 post-hoc GEE fits from frozen paired predictions; a separate clean-run gate verified the 60 corrected 2,500-resample HJI class-standardised bootstrap intervals and M3 dual-blocked four-target macro-F1 computed from 2,128 retained case predictions. These tests do not establish fresh M0–M4 model training, generator replay, independent annotation replication, or release-wide table-by-table verification. The original M0–M2 training executable was not retained, and five historical SLM generation checkpoint environments cannot be replayed bit-identically. The HJI 20261010 corrected-CI file supersedes historical endpoints, which remain available only for audit. The FP16 T1 reference and paired E1/rot0 runs differ by a reconstructed newline in the T1 rubric; all 2,880 archived protocol-specific input hashes and token counts have now been matched, while the separate executions remain non-interchangeable and prediction-change causality is not established. A final repository-commit/manuscript-hash manifest and full claim-to-artifact map accompany the release candidate, subject to documented final approval. The successful CPU Colab rerun (14 October 2026) reproduced 20 case-paired E1/E2 analyses and 60 exploratory GEE fits and separately passed the 60-fit GEE stability audit (return code 0; three low-event fits); the prior missing-reference-file failure is superseded. Executable notebook: https://github.com/fatmas1982/semantic-coherence-recovery/blob/main/code/validity/P2_E1E2_GEE_CPU_REANALYSIS_COLAB_20261014.ipynb. Released latest-run result CSVs: https://github.com/fatmas1982/semantic-coherence-recovery/tree/main/results/validity_2026_10/colab_success_20261014. These are archive-prediction recalculations rather than fresh judge-inference replication.</w:t>
      </w:r>
    </w:p>
    <w:p>
      <w:r>
        <w:t>Independent raw-case computational verification (15 October 2026; post-hoc E1/E2 validity analyses). From 11 frozen paired-case CSV parts (10,408 joined contrast-level records across 20 judge/target/perturbation groups), the recorded binomial working-independence GEE specification was independently refitted for all 60 human-non-unanimity × judge-instability contrasts, with robust Prompt_ID-clustered standard errors and fixed adjustment for GOLD class and anonymous generator slot. All 60 refits converged. The maximum absolute difference relative to the archived results was 1.11×10⁻¹⁵ for adjusted odds ratios and 1.89×10⁻¹⁵ for nominal p-values. The 60 class-standardised risk differences and their 95% Prompt_ID-cluster bootstrap percentile endpoints were also reproduced (2,500 PCG64 resamples per contrast; seed 20261010), with maximum absolute differences below 1×10⁻¹⁵. These checks verify numerical re-computation of these frozen-data analyses, not fresh judge inference, external validity, causal interpretation, or resolution of the historical T1 input-serialization discrepancy. See Supplement S9.15 and its SHA-256 source manifest.</w:t>
      </w:r>
    </w:p>
    <w:p w14:paraId="603A9CE1">
      <w:pPr>
        <w:pStyle w:val="3"/>
        <w:keepNext/>
        <w:keepLines/>
      </w:pPr>
      <w:r>
        <w:rPr>
          <w:color w:val="000000"/>
        </w:rPr>
        <w:t>Ethics and responsible use</w:t>
      </w:r>
    </w:p>
    <w:p w14:paraId="72B8E92A">
      <w:pPr>
        <w:widowControl/>
        <w:spacing w:after="80"/>
      </w:pPr>
      <w:r>
        <w:t>This non-clinical methodological study analyses model-generated text and professional linguistic judgments. The research team reports that formal ethics/IRB review was not required under the applicable institutional policy, although no institutional reference or dated competent-office determination was available for independent verification. The study owner explicitly authorizes public dissemination of project data and study information. This declaration is not independent confirmation of third-party rights, other contributors' approvals where required, or screening of free-text historical notes for identifying information. Human A1–A3 ratings and senior-adjudicator decisions were not replaced by AI-generated labels; no ethics approval number or documentary consent is invented.</w:t>
      </w:r>
    </w:p>
    <w:p w14:paraId="200B8136">
      <w:pPr>
        <w:pStyle w:val="3"/>
        <w:keepNext/>
        <w:keepLines/>
      </w:pPr>
      <w:r>
        <w:rPr>
          <w:color w:val="000000"/>
        </w:rPr>
        <w:t>Declaration of generative AI and AI-assisted technologies in the manuscript preparation process</w:t>
      </w:r>
    </w:p>
    <w:p w14:paraId="6A4A1506">
      <w:pPr>
        <w:widowControl/>
        <w:spacing w:after="80"/>
        <w:rPr>
          <w:rFonts w:hint="default"/>
        </w:rPr>
      </w:pPr>
      <w:r>
        <w:t>During preparation of this manuscript, the authors used ChatGPT to support evidence organisation, language editing, consistency checking, and manuscript restructuring. All AI-assisted text and suggestions were critically reviewed and edited by the human authors, who take full responsibility for the accuracy, originality, interpretation, and content of the article. Limited ChatGPT assistance with drafting analysis code is disclosed separately in the Methods section. The reported results—including model predictions, inter-rater reliability estimates, performance metrics, statistical comparisons, confidence intervals, and tables—were calculated by executing and checking research code on the study data and archived outputs; they were not generated as unverified ChatGPT answers. Generative AI did not assign the locked human annotations, resolve adjudication cases, determine model-selection outcomes, or decide the scientific conclusions. The AI-assisted, human-curated preparation of candidate prompts is reported in Supplementary Section S1.2.</w:t>
      </w:r>
    </w:p>
    <w:p>
      <w:pPr>
        <w:pStyle w:val="3"/>
      </w:pPr>
      <w:r>
        <w:t>CRediT authorship contribution statement</w:t>
      </w:r>
    </w:p>
    <w:p>
      <w:pPr>
        <w:spacing w:before="40" w:after="80"/>
      </w:pPr>
      <w:r>
        <w:rPr>
          <w:rFonts w:ascii="Times New Roman" w:hAnsi="Times New Roman"/>
          <w:b w:val="0"/>
          <w:sz w:val="20"/>
        </w:rPr>
        <w:t>Fatma S. Gadelrab: Conceptualization; Methodology; Investigation; Data curation; Software; Formal analysis; Validation; Project administration; Writing – original draft; Writing – review &amp; editing.</w:t>
      </w:r>
    </w:p>
    <w:p>
      <w:pPr>
        <w:spacing w:before="40" w:after="80"/>
      </w:pPr>
      <w:r>
        <w:rPr>
          <w:rFonts w:ascii="Times New Roman" w:hAnsi="Times New Roman"/>
          <w:b w:val="0"/>
          <w:sz w:val="20"/>
        </w:rPr>
        <w:t>Ahmed M. Abdelmoniem: Conceptualization (E1/E2 sensitivity experiments); Methodology (E1/E2 experimental design); Resources (KUber computing access); Supervision; Writing – review &amp; editing.</w:t>
      </w:r>
    </w:p>
    <w:p>
      <w:pPr/>
      <w:r>
        <w:t>Ikram Ullah: Investigation (independent pre-resolution linguistic annotation); Data curation (annotation records).</w:t>
      </w:r>
    </w:p>
    <w:p>
      <w:pPr/>
      <w:r>
        <w:t>Wesam El-Sayed: Investigation (independent pre-resolution linguistic annotation); Data curation (annotation records).</w:t>
      </w:r>
    </w:p>
    <w:p>
      <w:pPr/>
      <w:r>
        <w:t>Mahdi Duris: Investigation (independent pre-resolution linguistic annotation); Data curation (annotation records).</w:t>
      </w:r>
    </w:p>
    <w:p>
      <w:pPr/>
      <w:r>
        <w:t>Wirdatul Khasanah: Investigation (senior human adjudication); Validation (adjudication and annotation consistency checks).</w:t>
      </w:r>
    </w:p>
    <w:p>
      <w:pPr>
        <w:pStyle w:val="3"/>
      </w:pPr>
      <w:r>
        <w:t>Acknowledgements</w:t>
      </w:r>
    </w:p>
    <w:p>
      <w:pPr/>
      <w:r>
        <w:t>The authors gratefully acknowledge the KUber research computing infrastructure (https://kuber.org.uk/) for providing computing resources used in the server-executed experiments, including the post-hoc E1 answer-code permutation and E2 option-order sensitivity analyses.</w:t>
      </w:r>
    </w:p>
    <w:p>
      <w:pPr>
        <w:pStyle w:val="3"/>
      </w:pPr>
      <w:r>
        <w:t>Machine-learning engineering interpretation and reporting boundary (post-hoc reviewer clarification)</w:t>
      </w:r>
    </w:p>
    <w:p>
      <w:r>
        <w:t>Conditional task contract. T1 covers 720 outputs, T2 and T4 cover 474 GOLD-confirmed failures, and T3 covers 460 eligible family-labeled failures. These denominators are selected from adjudicated reference labels; no end-to-end deployed cascade was run. Scores for T2–T4 quantify recovery conditional on oracle eligibility and cannot estimate prospective screening-and-triage performance on an unlabelled stream.</w:t>
      </w:r>
    </w:p>
    <w:p>
      <w:r>
        <w:t>Estimator and split contract. The 120 Prompt_ID groups, each contributing six generator outputs, form the dependency units. Frozen five-fold prompt-grouped cross-validation prevents direct same-prompt train–test overlap, but cannot guarantee that unseen prompts, generators, languages or institutions will follow the observed distribution. M3 uses a single designated development fold per outer iteration for epoch-count selection (up to eight), then refits on the four non-test folds. This is not exhaustive nested tuning; resampling frozen out-of-fold decisions does not quantify fresh-fold or retraining uncertainty.</w:t>
      </w:r>
    </w:p>
    <w:p>
      <w:r>
        <w:t>Generator and training-set confounding. The output-only six-way generator probe macro-F1 of .536 indicates recoverable provenance-associated cues, despite withheld explicit generator identifiers. M3 strict dual-blocked macro-F1 on T1–T4 was .591/.671/.682/.573 versus five-repeat row-count-matched means .630/.749/.781/.644. These observational contrasts do not uniquely identify generator shortcuts because blocking also changes class/generator mixture and development-set composition. The five matched draws constrain only overall training row counts.</w:t>
      </w:r>
    </w:p>
    <w:p>
      <w:r>
        <w:t>Cross-protocol comparability. M3 is a supervised ModernBERT classifier while M4 uses restricted-label scoring by an unfitted LLM judge; training, scoring, inputs and implementation differ. Contrasts characterize completed protocols, not a causal superiority of architectural families. In particular, the completed FP16 Mistral judge identified only 3 of 178 T2 grounding-involved cases and the FP16 Qwen judge did not predict any T4 severity-2 cases. Macro-F1 should therefore be interpreted with per-class recall, prediction-frequency and confusion evidence.</w:t>
      </w:r>
    </w:p>
    <w:p>
      <w:r>
        <w:t>Measurement validity. Internal pre-resolution inter-annotator agreement and agreement with senior-adjudicated GOLD are distinct from criterion or construct validation against an independent blinded reference. The adjudicated GOLD shares evidence from participating raters; severity agreement in the majority-failure subset was α=.528. Operational whole-answer label recovery must not be equated with independent verification of fine-grained discourse or causal mechanisms.</w:t>
      </w:r>
    </w:p>
    <w:p>
      <w:r>
        <w:t>Reproducibility boundary. The 2,880/2,880 T1 input-hash reconstruction comparisons validate byte-level input provenance for two judges under FP16 Reference and E1/rot0, not bit-identical regeneration of prediction outcomes. A single rubric newline fully reproduces the historical input-hash discrepancy; its causal effect on the 4 Qwen and 9 Mistral differing decisions has not been experimentally isolated. Historical M0–M2 trainer provenance and five generator environments do not support bit-identical fresh replay. Tables are subject to the source-specific verification ledger; internal arithmetic agreement alone is not independent source replay.</w:t>
      </w:r>
    </w:p>
    <w:p>
      <w:pPr/>
      <w:r>
        <w:t>Archived M3 fold-level audit (existing data only). The 24 complete historical M3 OOF exports contain selected_epochs, inner_dev_fold, train_n, held-out Fold, Generator_Stratum, and case-level predictions. Across four targets, one dual-blocked and five size-matched runs per target yield 120 target–variant–repeat–held-out-fold summaries and 720 generator-stratum-level records. The accompanying supplement and machine-readable ledger give the 20 dual-blocked fold summaries, all 120 grouped records, and the complete 720 generator-fold records. These are records of completed historical executions rather than newly trained models. Reported train_n is the archived field, not an independently reconstructed count of eligible development examples; no missing train/dev class counts are inferred. The audit does not extend fixed-test-fold uncertainty to external samples or isolate generator-signature effects from sample-composition changes.</w:t>
      </w:r>
    </w:p>
    <w:p w14:paraId="0959A159">
      <w:pPr>
        <w:pStyle w:val="2"/>
        <w:keepNext/>
        <w:keepLines/>
      </w:pPr>
      <w:bookmarkStart w:id="0" w:name="_GoBack"/>
      <w:bookmarkEnd w:id="0"/>
      <w:r>
        <w:rPr>
          <w:color w:val="000000"/>
        </w:rPr>
        <w:t>References</w:t>
      </w:r>
    </w:p>
    <w:p w14:paraId="775A613C">
      <w:pPr>
        <w:widowControl/>
        <w:spacing w:before="0" w:after="0"/>
        <w:ind w:left="720" w:hanging="720"/>
      </w:pPr>
      <w:r/>
      <w:r/>
      <w:r>
        <w:rPr>
          <w:i/>
        </w:rPr>
      </w:r>
      <w:r/>
      <w:r/>
      <w:r/>
      <w:r>
        <w:rPr>
          <w:i/>
        </w:rPr>
      </w:r>
      <w:r/>
      <w:r>
        <w:t xml:space="preserve">Abdin, M., Aneja, J., Awadalla, H., Awadallah, A., Awan, A. A., Bach, N., Bahree, A., Bakhtiari, A., Bao, J., Behl, H., Benhaim, A., Bilenko, M., Bjorck, J., Bubeck, S., Cai, M., Cai, Q., Chaudhary, V., Chen, D., Chen, D., ... Zhou, X. (2024). </w:t>
      </w:r>
      <w:r>
        <w:rPr>
          <w:i/>
        </w:rPr>
        <w:t>Phi-3 technical report: A highly capable language model locally on your phone</w:t>
      </w:r>
      <w:r>
        <w:t xml:space="preserve"> [Preprint]. arXiv. https://doi.org/10.48550/arXiv.2404.14219</w:t>
      </w:r>
    </w:p>
    <w:p w14:paraId="3E85BFF4">
      <w:pPr>
        <w:widowControl/>
        <w:spacing w:before="0" w:after="0"/>
        <w:ind w:left="720" w:hanging="720"/>
      </w:pPr>
      <w:r/>
      <w:r/>
      <w:r/>
      <w:r>
        <w:rPr>
          <w:i/>
        </w:rPr>
      </w:r>
      <w:r/>
      <w:r>
        <w:rPr>
          <w:i/>
        </w:rPr>
      </w:r>
      <w:r/>
      <w:r/>
      <w:r/>
      <w:r>
        <w:t xml:space="preserve">Artstein, R., &amp; Poesio, M. (2008). </w:t>
      </w:r>
      <w:r>
        <w:t xml:space="preserve">Survey article: Inter-coder agreement for computational linguistics. </w:t>
      </w:r>
      <w:r>
        <w:rPr>
          <w:i/>
        </w:rPr>
        <w:t>Computational Linguistics</w:t>
      </w:r>
      <w:r>
        <w:t xml:space="preserve">, </w:t>
      </w:r>
      <w:r>
        <w:rPr>
          <w:i/>
        </w:rPr>
        <w:t>34</w:t>
      </w:r>
      <w:r>
        <w:t>(4)</w:t>
      </w:r>
      <w:r>
        <w:t>, 555–596.</w:t>
      </w:r>
      <w:r>
        <w:t xml:space="preserve"> https://doi.org/10.1162/coli.07-034-R2</w:t>
      </w:r>
    </w:p>
    <w:p w14:paraId="3D18DCE1">
      <w:pPr>
        <w:spacing w:before="0" w:after="0"/>
        <w:ind w:left="720" w:hanging="720"/>
      </w:pPr>
      <w:r/>
      <w:r/>
      <w:r>
        <w:rPr>
          <w:i/>
        </w:rPr>
      </w:r>
      <w:r/>
      <w:r>
        <w:t xml:space="preserve">Asher, N., &amp; Lascarides, A. (2003). </w:t>
      </w:r>
      <w:r>
        <w:rPr>
          <w:i/>
        </w:rPr>
        <w:t>Logics of conversation.</w:t>
      </w:r>
      <w:r>
        <w:t xml:space="preserve"> Cambridge University Press.</w:t>
      </w:r>
    </w:p>
    <w:p w14:paraId="4B7A07BF">
      <w:pPr>
        <w:widowControl/>
        <w:spacing w:before="0" w:after="0"/>
        <w:ind w:left="720" w:hanging="720"/>
      </w:pPr>
      <w:r/>
      <w:r/>
      <w:r/>
      <w:r/>
      <w:r>
        <w:rPr>
          <w:i/>
        </w:rPr>
      </w:r>
      <w:r/>
      <w:r>
        <w:t xml:space="preserve">Bai, Y., Lv, X., Zhang, J., Lyu, H., Tang, J., Huang, Z., Du, Z., Liu, X., Zeng, A., Hou, L., Dong, Y., Tang, J., &amp; Li, J. (2024). </w:t>
      </w:r>
      <w:r>
        <w:t xml:space="preserve">LongBench: A bilingual, multitask benchmark for long context understanding. </w:t>
      </w:r>
      <w:r>
        <w:t xml:space="preserve">In </w:t>
      </w:r>
      <w:r>
        <w:rPr>
          <w:i/>
        </w:rPr>
        <w:t>Proceedings of the 62nd Annual Meeting of the Association for Computational Linguistics (Volume 1: Long Papers)</w:t>
      </w:r>
      <w:r>
        <w:t xml:space="preserve"> (pp. 3119–3137). Association for Computational Linguistics. https://doi.org/10.18653/v1/2024.acl-long.172</w:t>
      </w:r>
    </w:p>
    <w:p w14:paraId="1030F98D">
      <w:pPr>
        <w:widowControl/>
        <w:spacing w:before="0" w:after="0"/>
        <w:ind w:left="720" w:hanging="720"/>
      </w:pPr>
      <w:r/>
      <w:r/>
      <w:r/>
      <w:r>
        <w:rPr>
          <w:i/>
        </w:rPr>
      </w:r>
      <w:r/>
      <w:r>
        <w:rPr>
          <w:i/>
        </w:rPr>
      </w:r>
      <w:r/>
      <w:r/>
      <w:r/>
      <w:r>
        <w:t xml:space="preserve">Barzilay, R., &amp; Lapata, M. (2008). </w:t>
      </w:r>
      <w:r>
        <w:t xml:space="preserve">Modeling local coherence: An entity-based approach. </w:t>
      </w:r>
      <w:r>
        <w:rPr>
          <w:i/>
        </w:rPr>
        <w:t>Computational Linguistics</w:t>
      </w:r>
      <w:r>
        <w:t xml:space="preserve">, </w:t>
      </w:r>
      <w:r>
        <w:rPr>
          <w:i/>
        </w:rPr>
        <w:t>34</w:t>
      </w:r>
      <w:r>
        <w:t>(1)</w:t>
      </w:r>
      <w:r>
        <w:t>, 1–34.</w:t>
      </w:r>
      <w:r>
        <w:t xml:space="preserve"> https://doi.org/10.1162/coli.2008.34.1.1</w:t>
      </w:r>
    </w:p>
    <w:p w14:paraId="3DC2B3B4">
      <w:pPr>
        <w:widowControl/>
        <w:spacing w:before="0" w:after="0"/>
        <w:ind w:left="720" w:hanging="720"/>
      </w:pPr>
      <w:r/>
      <w:r/>
      <w:r/>
      <w:r/>
      <w:r>
        <w:rPr>
          <w:i/>
        </w:rPr>
      </w:r>
      <w:r/>
      <w:r>
        <w:t xml:space="preserve">Bavaresco, A., Bernardi, R., Bertolazzi, L., Elliott, D., Fernández, R., Gatt, A., Ghaleb, E., Giulianelli, M., Hanna, M., Koller, A., Martins, A. F. T., Mondorf, P., Neplenbroek, V., Pezzelle, S., Plank, B., Schlangen, D., Suglia, A., Surikuchi, A. K., Takmaz, E., &amp; Testoni, A. (2025). </w:t>
      </w:r>
      <w:r>
        <w:t xml:space="preserve">LLMs instead of human judges? A large scale empirical study across 20 NLP evaluation tasks. </w:t>
      </w:r>
      <w:r>
        <w:t xml:space="preserve">In W. Che, J. Nabende, E. Shutova, &amp; M. T. Pilehvar (Eds.), </w:t>
      </w:r>
      <w:r>
        <w:rPr>
          <w:i/>
        </w:rPr>
        <w:t>Proceedings of the 63rd Annual Meeting of the Association for Computational Linguistics (Volume 2: Short Papers)</w:t>
      </w:r>
      <w:r>
        <w:t xml:space="preserve"> (pp. 238–255). Association for Computational Linguistics. https://doi.org/10.18653/v1/2025.acl-short.20</w:t>
      </w:r>
    </w:p>
    <w:p w14:paraId="582B85C4">
      <w:pPr>
        <w:widowControl/>
        <w:spacing w:before="0" w:after="0"/>
        <w:ind w:left="720" w:hanging="720"/>
      </w:pPr>
      <w:r/>
      <w:r/>
      <w:r/>
      <w:r/>
      <w:r>
        <w:rPr>
          <w:i/>
        </w:rPr>
      </w:r>
      <w:r/>
      <w:r>
        <w:t xml:space="preserve">Brunato, D., Dell'Orletta, F., Dini, I., &amp; Amelio Ravelli, A. (2023). </w:t>
      </w:r>
      <w:r>
        <w:t xml:space="preserve">Coherent or not? Stressing a neural language model for discourse coherence in multiple languages. </w:t>
      </w:r>
      <w:r>
        <w:t xml:space="preserve">In </w:t>
      </w:r>
      <w:r>
        <w:rPr>
          <w:i/>
        </w:rPr>
        <w:t>Findings of the Association for Computational Linguistics: ACL 2023</w:t>
      </w:r>
      <w:r>
        <w:t xml:space="preserve"> (pp. 10690–10700). Association for Computational Linguistics. https://doi.org/10.18653/v1/2023.findings-acl.680</w:t>
      </w:r>
    </w:p>
    <w:p w14:paraId="08863D6E">
      <w:pPr>
        <w:widowControl/>
        <w:spacing w:before="0" w:after="0"/>
        <w:ind w:left="720" w:hanging="720"/>
      </w:pPr>
      <w:r/>
      <w:r/>
      <w:r/>
      <w:r/>
      <w:r>
        <w:rPr>
          <w:i/>
        </w:rPr>
      </w:r>
      <w:r/>
      <w:r>
        <w:t xml:space="preserve">Camburu, O.-M., Rocktäschel, T., Lukasiewicz, T., &amp; Blunsom, P. (2018). </w:t>
      </w:r>
      <w:r>
        <w:t xml:space="preserve">e-SNLI: Natural language inference with natural language explanations. </w:t>
      </w:r>
      <w:r>
        <w:t xml:space="preserve">In S. Bengio, H. Wallach, H. Larochelle, K. Grauman, N. Cesa-Bianchi, &amp; R. Garnett (Eds.), </w:t>
      </w:r>
      <w:r>
        <w:rPr>
          <w:i/>
        </w:rPr>
        <w:t>Advances in neural information processing systems (Vol. 31, pp. 9539–9549)</w:t>
      </w:r>
      <w:r>
        <w:t>. Curran Associates, Inc. https://proceedings.neurips.cc/paper/2018/hash/4c7a167bb329bd92580a99ce422d6fa6-Abstract.html</w:t>
      </w:r>
    </w:p>
    <w:p w14:paraId="52206E7F">
      <w:pPr>
        <w:widowControl/>
        <w:spacing w:before="0" w:after="0"/>
        <w:ind w:left="720" w:hanging="720"/>
      </w:pPr>
      <w:r/>
      <w:r/>
      <w:r/>
      <w:r>
        <w:rPr>
          <w:i/>
        </w:rPr>
      </w:r>
      <w:r/>
      <w:r>
        <w:rPr>
          <w:i/>
        </w:rPr>
      </w:r>
      <w:r/>
      <w:r/>
      <w:r>
        <w:t xml:space="preserve">Cattan, A., Roit, P., Zhang, S., Wan, D., Aharoni, R., Szpektor, I., Bansal, M., &amp; Dagan, I. (2026). </w:t>
      </w:r>
      <w:r>
        <w:t xml:space="preserve">Localizing factual inconsistencies in attributable text generation. </w:t>
      </w:r>
      <w:r>
        <w:rPr>
          <w:i/>
        </w:rPr>
        <w:t>Transactions of the Association for Computational Linguistics</w:t>
      </w:r>
      <w:r>
        <w:t xml:space="preserve">, </w:t>
      </w:r>
      <w:r>
        <w:rPr>
          <w:i/>
        </w:rPr>
        <w:t>14</w:t>
      </w:r>
      <w:r>
        <w:t>, 100–123.</w:t>
      </w:r>
      <w:r>
        <w:t xml:space="preserve"> https://doi.org/10.1162/tacl.a.598</w:t>
      </w:r>
    </w:p>
    <w:p w14:paraId="54F6F1F8">
      <w:pPr>
        <w:widowControl/>
        <w:spacing w:before="0" w:after="0"/>
        <w:ind w:left="720" w:hanging="720"/>
      </w:pPr>
      <w:r/>
      <w:r/>
      <w:r/>
      <w:r/>
      <w:r>
        <w:rPr>
          <w:i/>
        </w:rPr>
      </w:r>
      <w:r/>
      <w:r>
        <w:t xml:space="preserve">Chan, H. P., Zeng, Q., &amp; Ji, H. (2023). </w:t>
      </w:r>
      <w:r>
        <w:t xml:space="preserve">Interpretable automatic fine-grained inconsistency detection in text summarization. </w:t>
      </w:r>
      <w:r>
        <w:t xml:space="preserve">In </w:t>
      </w:r>
      <w:r>
        <w:rPr>
          <w:i/>
        </w:rPr>
        <w:t>Findings of the Association for Computational Linguistics: ACL 2023</w:t>
      </w:r>
      <w:r>
        <w:t xml:space="preserve"> (pp. 6433–6444). Association for Computational Linguistics. https://doi.org/10.18653/v1/2023.findings-acl.402</w:t>
      </w:r>
    </w:p>
    <w:p w14:paraId="20D4D8AE">
      <w:pPr>
        <w:widowControl/>
        <w:spacing w:before="0" w:after="0"/>
        <w:ind w:left="720" w:hanging="720"/>
      </w:pPr>
      <w:r/>
      <w:r/>
      <w:r/>
      <w:r>
        <w:rPr>
          <w:i/>
        </w:rPr>
      </w:r>
      <w:r/>
      <w:r>
        <w:rPr>
          <w:i/>
        </w:rPr>
      </w:r>
      <w:r/>
      <w:r/>
      <w:r/>
      <w:r>
        <w:t xml:space="preserve">Chung, H. W., Hou, L., Longpre, S., Zoph, B., Tay, Y., Fedus, W., Li, Y., Wang, X., Dehghani, M., Brahma, S., Webson, A., Gu, S. S., Dai, Z., Suzgun, M., Chen, X., Chowdhery, A., Castro-Ros, A., Pellat, M., Robinson, K., ... Wei, J. (2024). </w:t>
      </w:r>
      <w:r>
        <w:t xml:space="preserve">Scaling instruction-finetuned language models. </w:t>
      </w:r>
      <w:r>
        <w:rPr>
          <w:i/>
        </w:rPr>
        <w:t>Journal of Machine Learning Research</w:t>
      </w:r>
      <w:r>
        <w:t xml:space="preserve">, </w:t>
      </w:r>
      <w:r>
        <w:rPr>
          <w:i/>
        </w:rPr>
        <w:t>25</w:t>
      </w:r>
      <w:r>
        <w:t>(70)</w:t>
      </w:r>
      <w:r>
        <w:t>, 1–53.</w:t>
      </w:r>
      <w:r/>
    </w:p>
    <w:p w14:paraId="67B610AB">
      <w:pPr>
        <w:widowControl/>
        <w:spacing w:before="0" w:after="0"/>
        <w:ind w:left="720" w:hanging="720"/>
      </w:pPr>
      <w:r/>
      <w:r/>
      <w:r/>
      <w:r>
        <w:rPr>
          <w:i/>
        </w:rPr>
      </w:r>
      <w:r/>
      <w:r>
        <w:rPr>
          <w:i/>
        </w:rPr>
      </w:r>
      <w:r/>
      <w:r/>
      <w:r/>
      <w:r>
        <w:t xml:space="preserve">Cohen, J. (1968). </w:t>
      </w:r>
      <w:r>
        <w:t xml:space="preserve">Weighted kappa: Nominal scale agreement with provision for scaled disagreement or partial credit. </w:t>
      </w:r>
      <w:r>
        <w:rPr>
          <w:i/>
        </w:rPr>
        <w:t>Psychological Bulletin</w:t>
      </w:r>
      <w:r>
        <w:t xml:space="preserve">, </w:t>
      </w:r>
      <w:r>
        <w:rPr>
          <w:i/>
        </w:rPr>
        <w:t>70</w:t>
      </w:r>
      <w:r>
        <w:t>(4)</w:t>
      </w:r>
      <w:r>
        <w:t>, 213–220.</w:t>
      </w:r>
      <w:r>
        <w:t xml:space="preserve"> https://doi.org/10.1037/h0026256</w:t>
      </w:r>
    </w:p>
    <w:p w14:paraId="3C480F95">
      <w:pPr>
        <w:widowControl/>
        <w:spacing w:before="0" w:after="0"/>
        <w:ind w:left="720" w:hanging="720"/>
      </w:pPr>
      <w:r/>
      <w:r/>
      <w:r>
        <w:rPr>
          <w:i/>
        </w:rPr>
      </w:r>
      <w:r/>
      <w:r/>
      <w:r/>
      <w:r>
        <w:rPr>
          <w:i/>
        </w:rPr>
      </w:r>
      <w:r/>
      <w:r>
        <w:t xml:space="preserve">Dong, X., Fu, Y., Diao, S., Byeon, W., Chen, Z., Mahabaleshwarkar, A. S., Liu, S.-Y., Van Keirsbilck, M., Chen, M.-H., Suhara, Y., Lin, Y., Kautz, J., &amp; Molchanov, P. (2024). </w:t>
      </w:r>
      <w:r>
        <w:rPr>
          <w:i/>
        </w:rPr>
        <w:t>Hymba: A hybrid-head architecture for small language models</w:t>
      </w:r>
      <w:r>
        <w:t xml:space="preserve"> [Preprint]. arXiv. https://doi.org/10.48550/arXiv.2411.13676</w:t>
      </w:r>
    </w:p>
    <w:p w14:paraId="605C538A">
      <w:pPr>
        <w:widowControl/>
        <w:spacing w:before="0" w:after="0"/>
        <w:ind w:left="720" w:hanging="720"/>
      </w:pPr>
      <w:r/>
      <w:r/>
      <w:r/>
      <w:r/>
      <w:r>
        <w:rPr>
          <w:i/>
        </w:rPr>
      </w:r>
      <w:r/>
      <w:r>
        <w:t xml:space="preserve">Elangovan, A., Liu, L., Xu, L., Bodapati, S. B., &amp; Roth, D. (2024). </w:t>
      </w:r>
      <w:r>
        <w:t xml:space="preserve">ConSiDERS-The-Human Evaluation Framework: Rethinking human evaluation for generative large language models. </w:t>
      </w:r>
      <w:r>
        <w:t xml:space="preserve">In </w:t>
      </w:r>
      <w:r>
        <w:rPr>
          <w:i/>
        </w:rPr>
        <w:t>Proceedings of the 62nd Annual Meeting of the Association for Computational Linguistics (Volume 1: Long Papers)</w:t>
      </w:r>
      <w:r>
        <w:t xml:space="preserve"> (pp. 1137–1160). Association for Computational Linguistics. https://doi.org/10.18653/v1/2024.acl-long.63</w:t>
      </w:r>
    </w:p>
    <w:p w14:paraId="6903E992">
      <w:pPr>
        <w:widowControl/>
        <w:spacing w:before="0" w:after="0"/>
        <w:ind w:left="720" w:hanging="720"/>
      </w:pPr>
      <w:r/>
      <w:r/>
      <w:r/>
      <w:r>
        <w:rPr>
          <w:i/>
        </w:rPr>
      </w:r>
      <w:r/>
      <w:r>
        <w:rPr>
          <w:i/>
        </w:rPr>
      </w:r>
      <w:r/>
      <w:r/>
      <w:r>
        <w:t xml:space="preserve">Fabbri, A. R., Kryściński, W., McCann, B., Xiong, C., Socher, R., &amp; Radev, D. R. (2021). </w:t>
      </w:r>
      <w:r>
        <w:t xml:space="preserve">SummEval: Re-evaluating summarization evaluation. </w:t>
      </w:r>
      <w:r>
        <w:rPr>
          <w:i/>
        </w:rPr>
        <w:t>Transactions of the Association for Computational Linguistics</w:t>
      </w:r>
      <w:r>
        <w:t xml:space="preserve">, </w:t>
      </w:r>
      <w:r>
        <w:rPr>
          <w:i/>
        </w:rPr>
        <w:t>9</w:t>
      </w:r>
      <w:r>
        <w:t>, 391–409.</w:t>
      </w:r>
      <w:r>
        <w:t xml:space="preserve"> https://doi.org/10.1162/tacl_a_00373</w:t>
      </w:r>
    </w:p>
    <w:p w14:paraId="5B1BB817">
      <w:pPr>
        <w:widowControl/>
        <w:spacing w:before="0" w:after="0"/>
        <w:ind w:left="720" w:hanging="720"/>
      </w:pPr>
      <w:r/>
      <w:r/>
      <w:r/>
      <w:r>
        <w:rPr>
          <w:i/>
        </w:rPr>
      </w:r>
      <w:r/>
      <w:r>
        <w:rPr>
          <w:i/>
        </w:rPr>
      </w:r>
      <w:r/>
      <w:r/>
      <w:r/>
      <w:r>
        <w:t xml:space="preserve">Feinstein, A. R., &amp; Cicchetti, D. V. (1990). </w:t>
      </w:r>
      <w:r>
        <w:t xml:space="preserve">High agreement but low kappa: I. </w:t>
      </w:r>
      <w:r>
        <w:rPr>
          <w:i/>
        </w:rPr>
        <w:t>The problems of two paradoxes. Journal of Clinical Epidemiology</w:t>
      </w:r>
      <w:r>
        <w:t xml:space="preserve">, </w:t>
      </w:r>
      <w:r>
        <w:rPr>
          <w:i/>
        </w:rPr>
        <w:t>43</w:t>
      </w:r>
      <w:r>
        <w:t>(6)</w:t>
      </w:r>
      <w:r>
        <w:t>, 543–549.</w:t>
      </w:r>
      <w:r>
        <w:t xml:space="preserve"> https://doi.org/10.1016/0895-4356(90)90158-L</w:t>
      </w:r>
    </w:p>
    <w:p w14:paraId="1F970493">
      <w:pPr>
        <w:widowControl/>
        <w:spacing w:before="0" w:after="0"/>
        <w:ind w:left="720" w:hanging="720"/>
      </w:pPr>
      <w:r/>
      <w:r/>
      <w:r/>
      <w:r>
        <w:rPr>
          <w:i/>
        </w:rPr>
      </w:r>
      <w:r/>
      <w:r>
        <w:rPr>
          <w:i/>
        </w:rPr>
      </w:r>
      <w:r/>
      <w:r/>
      <w:r/>
      <w:r>
        <w:t xml:space="preserve">Fleiss, J. L. (1971). </w:t>
      </w:r>
      <w:r>
        <w:t xml:space="preserve">Measuring nominal scale agreement among many raters. </w:t>
      </w:r>
      <w:r>
        <w:rPr>
          <w:i/>
        </w:rPr>
        <w:t>Psychological Bulletin</w:t>
      </w:r>
      <w:r>
        <w:t xml:space="preserve">, </w:t>
      </w:r>
      <w:r>
        <w:rPr>
          <w:i/>
        </w:rPr>
        <w:t>76</w:t>
      </w:r>
      <w:r>
        <w:t>(5)</w:t>
      </w:r>
      <w:r>
        <w:t>, 378–382.</w:t>
      </w:r>
      <w:r>
        <w:t xml:space="preserve"> https://doi.org/10.1037/h0031619</w:t>
      </w:r>
    </w:p>
    <w:p w14:paraId="7EDB7964">
      <w:pPr>
        <w:widowControl/>
        <w:spacing w:before="0" w:after="0"/>
        <w:ind w:left="720" w:hanging="720"/>
      </w:pPr>
      <w:r/>
      <w:r/>
      <w:r/>
      <w:r/>
      <w:r>
        <w:rPr>
          <w:i/>
        </w:rPr>
      </w:r>
      <w:r/>
      <w:r>
        <w:t xml:space="preserve">Fu, J., Ng, S.-K., Jiang, Z., &amp; Liu, P. (2024). </w:t>
      </w:r>
      <w:r>
        <w:t xml:space="preserve">GPTScore: Evaluate as you desire. </w:t>
      </w:r>
      <w:r>
        <w:t xml:space="preserve">In </w:t>
      </w:r>
      <w:r>
        <w:rPr>
          <w:i/>
        </w:rPr>
        <w:t>Proceedings of the 2024 Conference of the North American Chapter of the Association for Computational Linguistics: Human Language Technologies (Volume 1: Long Papers)</w:t>
      </w:r>
      <w:r>
        <w:t xml:space="preserve"> (pp. 6556–6576). Association for Computational Linguistics. https://doi.org/10.18653/v1/2024.naacl-long.365</w:t>
      </w:r>
    </w:p>
    <w:p w14:paraId="0CE69EE2">
      <w:pPr>
        <w:widowControl/>
        <w:spacing w:before="0" w:after="0"/>
        <w:ind w:left="720" w:hanging="720"/>
      </w:pPr>
      <w:r/>
      <w:r/>
      <w:r/>
      <w:r>
        <w:rPr>
          <w:i/>
        </w:rPr>
      </w:r>
      <w:r/>
      <w:r>
        <w:rPr>
          <w:i/>
        </w:rPr>
      </w:r>
      <w:r/>
      <w:r/>
      <w:r>
        <w:t xml:space="preserve">Gao, M., Hu, X., Yin, X., Ruan, J., Pu, X., &amp; Wan, X. (2025). </w:t>
      </w:r>
      <w:r>
        <w:t xml:space="preserve">LLM-based NLG evaluation: Current status and challenges. </w:t>
      </w:r>
      <w:r>
        <w:rPr>
          <w:i/>
        </w:rPr>
        <w:t>Computational Linguistics</w:t>
      </w:r>
      <w:r>
        <w:t xml:space="preserve">, </w:t>
      </w:r>
      <w:r>
        <w:rPr>
          <w:i/>
        </w:rPr>
        <w:t>51</w:t>
      </w:r>
      <w:r>
        <w:t>(2), 661–687.</w:t>
      </w:r>
      <w:r>
        <w:t xml:space="preserve"> https://doi.org/10.1162/coli_a_00561</w:t>
      </w:r>
    </w:p>
    <w:p w14:paraId="1C9485BF">
      <w:pPr>
        <w:widowControl/>
        <w:spacing w:before="0" w:after="0"/>
        <w:ind w:left="720" w:hanging="720"/>
      </w:pPr>
      <w:r/>
      <w:r/>
      <w:r/>
      <w:r/>
      <w:r>
        <w:rPr>
          <w:i/>
        </w:rPr>
      </w:r>
      <w:r/>
      <w:r>
        <w:t xml:space="preserve">Gehrmann, S., Adewumi, T., Aggarwal, K., Ammanamanchi, P. S., Aremu, A., Bosselut, A., Chandu, K. R., Clinciu, M.-A., Das, D., Dhole, K. D., Du, W., Durmus, E., Dušek, O., Emezue, C. C., Gangal, V., Garbacea, C., Hashimoto, T., Hou, Y., Jernite, Y., ... Zhou, J. (2021). </w:t>
      </w:r>
      <w:r>
        <w:t xml:space="preserve">The GEM benchmark: Natural language generation, its evaluation and metrics. </w:t>
      </w:r>
      <w:r>
        <w:t xml:space="preserve">In </w:t>
      </w:r>
      <w:r>
        <w:rPr>
          <w:i/>
        </w:rPr>
        <w:t>Proceedings of the First Workshop on Natural Language Generation, Evaluation, and Metrics (GEM)</w:t>
      </w:r>
      <w:r>
        <w:t xml:space="preserve"> (pp. 96–120). Association for Computational Linguistics. https://doi.org/10.18653/v1/2021.gem-1.10</w:t>
      </w:r>
    </w:p>
    <w:p w14:paraId="3EB4878F">
      <w:pPr>
        <w:widowControl/>
        <w:spacing w:before="0" w:after="0"/>
        <w:ind w:left="720" w:hanging="720"/>
      </w:pPr>
      <w:r/>
      <w:r/>
      <w:r/>
      <w:r/>
      <w:r>
        <w:rPr>
          <w:i/>
        </w:rPr>
      </w:r>
      <w:r/>
      <w:r>
        <w:t xml:space="preserve">Goyal, T., Li, J. J., &amp; Durrett, G. (2022). </w:t>
      </w:r>
      <w:r>
        <w:t xml:space="preserve">SNaC: Coherence error detection for narrative summarization. </w:t>
      </w:r>
      <w:r>
        <w:t xml:space="preserve">In </w:t>
      </w:r>
      <w:r>
        <w:rPr>
          <w:i/>
        </w:rPr>
        <w:t>Proceedings of the 2022 Conference on Empirical Methods in Natural Language Processing</w:t>
      </w:r>
      <w:r>
        <w:t xml:space="preserve"> (pp. 444–463). Association for Computational Linguistics. https://doi.org/10.18653/v1/2022.emnlp-main.29</w:t>
      </w:r>
    </w:p>
    <w:p w14:paraId="63FD4FDF">
      <w:pPr>
        <w:widowControl/>
        <w:spacing w:before="0" w:after="0"/>
        <w:ind w:left="720" w:hanging="720"/>
      </w:pPr>
      <w:r/>
      <w:r/>
      <w:r/>
      <w:r/>
      <w:r>
        <w:rPr>
          <w:i/>
        </w:rPr>
      </w:r>
      <w:r/>
      <w:r>
        <w:t xml:space="preserve">Grice, H. P. (1975). </w:t>
      </w:r>
      <w:r>
        <w:t xml:space="preserve">Logic and conversation. </w:t>
      </w:r>
      <w:r>
        <w:t xml:space="preserve">In P. Cole &amp; J. L. Morgan (Eds.), </w:t>
      </w:r>
      <w:r>
        <w:rPr>
          <w:i/>
        </w:rPr>
        <w:t>Syntax and semantics: Vol. 3. Speech acts</w:t>
      </w:r>
      <w:r>
        <w:t xml:space="preserve"> (pp. 41–58). Academic Press.</w:t>
      </w:r>
    </w:p>
    <w:p w14:paraId="01294CE0">
      <w:pPr>
        <w:widowControl/>
        <w:spacing w:before="0" w:after="0"/>
        <w:ind w:left="720" w:hanging="720"/>
      </w:pPr>
      <w:r/>
      <w:r/>
      <w:r/>
      <w:r>
        <w:rPr>
          <w:i/>
        </w:rPr>
      </w:r>
      <w:r/>
      <w:r>
        <w:rPr>
          <w:i/>
        </w:rPr>
      </w:r>
      <w:r/>
      <w:r/>
      <w:r/>
      <w:r>
        <w:t xml:space="preserve">Grosz, B. J., Joshi, A. K., &amp; Weinstein, S. (1995). </w:t>
      </w:r>
      <w:r>
        <w:t xml:space="preserve">Centering: A framework for modeling the local coherence of discourse. </w:t>
      </w:r>
      <w:r>
        <w:rPr>
          <w:i/>
        </w:rPr>
        <w:t>Computational Linguistics</w:t>
      </w:r>
      <w:r>
        <w:t xml:space="preserve">, </w:t>
      </w:r>
      <w:r>
        <w:rPr>
          <w:i/>
        </w:rPr>
        <w:t>21</w:t>
      </w:r>
      <w:r>
        <w:t>(2)</w:t>
      </w:r>
      <w:r>
        <w:t>, 203–225.</w:t>
      </w:r>
      <w:r>
        <w:t xml:space="preserve"> https://aclanthology.org/J95-2003/</w:t>
      </w:r>
    </w:p>
    <w:p w14:paraId="05AB0691">
      <w:pPr>
        <w:widowControl/>
        <w:spacing w:before="0" w:after="0"/>
        <w:ind w:left="720" w:hanging="720"/>
      </w:pPr>
      <w:r/>
      <w:r/>
      <w:r>
        <w:rPr>
          <w:i/>
        </w:rPr>
      </w:r>
      <w:r/>
      <w:r/>
      <w:r/>
      <w:r>
        <w:rPr>
          <w:i/>
        </w:rPr>
      </w:r>
      <w:r/>
      <w:r>
        <w:t xml:space="preserve">Gu, A., &amp; Dao, T. (2023). </w:t>
      </w:r>
      <w:r>
        <w:rPr>
          <w:i/>
        </w:rPr>
        <w:t>Mamba: Linear-time sequence modeling with selective state spaces</w:t>
      </w:r>
      <w:r>
        <w:t xml:space="preserve"> [Preprint]. arXiv. https://doi.org/10.48550/arXiv.2312.00752</w:t>
      </w:r>
    </w:p>
    <w:p w14:paraId="606CF1CD">
      <w:pPr>
        <w:widowControl/>
        <w:spacing w:before="0" w:after="0"/>
        <w:ind w:left="720" w:hanging="720"/>
      </w:pPr>
      <w:r/>
      <w:r/>
      <w:r/>
      <w:r>
        <w:rPr>
          <w:i/>
        </w:rPr>
      </w:r>
      <w:r/>
      <w:r>
        <w:rPr>
          <w:i/>
        </w:rPr>
      </w:r>
      <w:r/>
      <w:r/>
      <w:r/>
      <w:r>
        <w:t xml:space="preserve">Gwet, K. L. (2008). </w:t>
      </w:r>
      <w:r>
        <w:t xml:space="preserve">Computing inter-rater reliability and its variance in the presence of high agreement. </w:t>
      </w:r>
      <w:r>
        <w:rPr>
          <w:i/>
        </w:rPr>
        <w:t>British Journal of Mathematical and Statistical Psychology</w:t>
      </w:r>
      <w:r>
        <w:t xml:space="preserve">, </w:t>
      </w:r>
      <w:r>
        <w:rPr>
          <w:i/>
        </w:rPr>
        <w:t>61</w:t>
      </w:r>
      <w:r>
        <w:t>(1)</w:t>
      </w:r>
      <w:r>
        <w:t>, 29–48.</w:t>
      </w:r>
      <w:r>
        <w:t xml:space="preserve"> https://doi.org/10.1348/000711006X126600</w:t>
      </w:r>
    </w:p>
    <w:p w14:paraId="4D3C3D04">
      <w:pPr>
        <w:widowControl/>
        <w:spacing w:before="0" w:after="0"/>
        <w:ind w:left="720" w:hanging="720"/>
      </w:pPr>
      <w:r/>
      <w:r/>
      <w:r>
        <w:rPr>
          <w:i/>
        </w:rPr>
      </w:r>
      <w:r/>
      <w:r>
        <w:t xml:space="preserve">Gwet, K. L. (2014). </w:t>
      </w:r>
      <w:r>
        <w:rPr>
          <w:i/>
        </w:rPr>
        <w:t>Handbook of inter-rater reliability: The definitive guide to measuring the extent of agreement among raters (4th ed.).</w:t>
      </w:r>
      <w:r>
        <w:t xml:space="preserve"> Advanced Analytics, LLC.</w:t>
      </w:r>
    </w:p>
    <w:p w14:paraId="3A9DF44D">
      <w:pPr>
        <w:spacing w:before="0" w:after="0"/>
        <w:ind w:left="720" w:hanging="720"/>
      </w:pPr>
      <w:r/>
      <w:r/>
      <w:r>
        <w:rPr>
          <w:i/>
        </w:rPr>
      </w:r>
      <w:r/>
      <w:r>
        <w:t xml:space="preserve">Halliday, M. A. K., &amp; Hasan, R. (1976). </w:t>
      </w:r>
      <w:r>
        <w:rPr>
          <w:i/>
        </w:rPr>
        <w:t>Cohesion in English.</w:t>
      </w:r>
      <w:r>
        <w:t xml:space="preserve"> Longman.</w:t>
      </w:r>
    </w:p>
    <w:p w14:paraId="44F82C42">
      <w:pPr>
        <w:widowControl/>
        <w:spacing w:before="0" w:after="0"/>
        <w:ind w:left="720" w:hanging="720"/>
      </w:pPr>
      <w:r/>
      <w:r/>
      <w:r/>
      <w:r>
        <w:rPr>
          <w:i/>
        </w:rPr>
      </w:r>
      <w:r/>
      <w:r>
        <w:rPr>
          <w:i/>
        </w:rPr>
      </w:r>
      <w:r/>
      <w:r/>
      <w:r/>
      <w:r>
        <w:t xml:space="preserve">Hayes, A. F., &amp; Krippendorff, K. (2007). </w:t>
      </w:r>
      <w:r>
        <w:t xml:space="preserve">Answering the call for a standard reliability measure for coding data. </w:t>
      </w:r>
      <w:r>
        <w:rPr>
          <w:i/>
        </w:rPr>
        <w:t>Communication Methods and Measures</w:t>
      </w:r>
      <w:r>
        <w:t xml:space="preserve">, </w:t>
      </w:r>
      <w:r>
        <w:rPr>
          <w:i/>
        </w:rPr>
        <w:t>1</w:t>
      </w:r>
      <w:r>
        <w:t>(1)</w:t>
      </w:r>
      <w:r>
        <w:t>, 77–89.</w:t>
      </w:r>
      <w:r>
        <w:t xml:space="preserve"> https://doi.org/10.1080/19312450709336664</w:t>
      </w:r>
    </w:p>
    <w:p w14:paraId="5B911848">
      <w:pPr>
        <w:widowControl/>
        <w:spacing w:before="0" w:after="0"/>
        <w:ind w:left="720" w:hanging="720"/>
      </w:pPr>
      <w:r/>
      <w:r/>
      <w:r/>
      <w:r/>
      <w:r>
        <w:rPr>
          <w:i/>
        </w:rPr>
      </w:r>
      <w:r/>
      <w:r>
        <w:t xml:space="preserve">Honovich, O., Aharoni, R., Herzig, J., Taitelbaum, H., Kukliansy, D., Cohen, V., Scialom, T., Szpektor, I., Hassidim, A., &amp; Matias, Y. (2022). </w:t>
      </w:r>
      <w:r>
        <w:t xml:space="preserve">TRUE: Re-evaluating factual consistency evaluation. </w:t>
      </w:r>
      <w:r>
        <w:t xml:space="preserve">In </w:t>
      </w:r>
      <w:r>
        <w:rPr>
          <w:i/>
        </w:rPr>
        <w:t>Proceedings of the 2022 Conference of the North American Chapter of the Association for Computational Linguistics: Human Language Technologies</w:t>
      </w:r>
      <w:r>
        <w:t xml:space="preserve"> (pp. 3905–3920). Association for Computational Linguistics. https://doi.org/10.18653/v1/2022.naacl-main.287</w:t>
      </w:r>
    </w:p>
    <w:p w14:paraId="2C8F3A7D">
      <w:pPr>
        <w:widowControl/>
        <w:spacing w:before="0" w:after="0"/>
        <w:ind w:left="720" w:hanging="720"/>
      </w:pPr>
      <w:r/>
      <w:r/>
      <w:r/>
      <w:r/>
      <w:r>
        <w:rPr>
          <w:i/>
        </w:rPr>
      </w:r>
      <w:r/>
      <w:r>
        <w:t xml:space="preserve">Hou, A., Jurayj, W., Holzenberger, N., Blair-Stanek, A., &amp; Van Durme, B. (2024). </w:t>
      </w:r>
      <w:r>
        <w:t xml:space="preserve">Gaps or hallucinations? Scrutinizing machine-generated legal analysis for fine-grained text evaluations. </w:t>
      </w:r>
      <w:r>
        <w:t xml:space="preserve">In </w:t>
      </w:r>
      <w:r>
        <w:rPr>
          <w:i/>
        </w:rPr>
        <w:t>Proceedings of the Natural Legal Language Processing Workshop 2024</w:t>
      </w:r>
      <w:r>
        <w:t xml:space="preserve"> (pp. 280–302). Association for Computational Linguistics. https://doi.org/10.18653/v1/2024.nllp-1.24</w:t>
      </w:r>
    </w:p>
    <w:p w14:paraId="34CBEC4E">
      <w:pPr>
        <w:widowControl/>
        <w:spacing w:before="0" w:after="0"/>
        <w:ind w:left="720" w:hanging="720"/>
      </w:pPr>
      <w:r/>
      <w:r/>
      <w:r/>
      <w:r/>
      <w:r>
        <w:rPr>
          <w:i/>
        </w:rPr>
      </w:r>
      <w:r/>
      <w:r>
        <w:t xml:space="preserve">Hua, A., Tang, K., Gu, C., Gu, J., Wong, E., &amp; Qin, Y. (2025). </w:t>
      </w:r>
      <w:r>
        <w:t xml:space="preserve">Flaw or artifact? Rethinking prompt sensitivity in evaluating LLMs. </w:t>
      </w:r>
      <w:r>
        <w:t xml:space="preserve">In </w:t>
      </w:r>
      <w:r>
        <w:rPr>
          <w:i/>
        </w:rPr>
        <w:t>Proceedings of the 2025 Conference on Empirical Methods in Natural Language Processing</w:t>
      </w:r>
      <w:r>
        <w:t xml:space="preserve"> (pp. 19889–19899). Association for Computational Linguistics. https://doi.org/10.18653/v1/2025.emnlp-main.1006</w:t>
      </w:r>
    </w:p>
    <w:p w14:paraId="5BEDCA29">
      <w:pPr>
        <w:widowControl/>
        <w:spacing w:before="0" w:after="0"/>
        <w:ind w:left="720" w:hanging="720"/>
      </w:pPr>
      <w:r/>
      <w:r/>
      <w:r/>
      <w:r>
        <w:rPr>
          <w:i/>
        </w:rPr>
      </w:r>
      <w:r/>
      <w:r>
        <w:rPr>
          <w:i/>
        </w:rPr>
      </w:r>
      <w:r/>
      <w:r/>
      <w:r/>
      <w:r>
        <w:t xml:space="preserve">Huang, K., Xiao, C., Xiao, Y., Cai, M., &amp; Al Moubayed, N. (2026). </w:t>
      </w:r>
      <w:r>
        <w:t xml:space="preserve">Reevaluating zero-shot information extraction: Sampling bias, prompting transferability and sensitivity in large language models. </w:t>
      </w:r>
      <w:r>
        <w:rPr>
          <w:i/>
        </w:rPr>
        <w:t>Information Processing &amp; Management</w:t>
      </w:r>
      <w:r>
        <w:t xml:space="preserve">, </w:t>
      </w:r>
      <w:r>
        <w:rPr>
          <w:i/>
        </w:rPr>
        <w:t>63</w:t>
      </w:r>
      <w:r>
        <w:t>(4)</w:t>
      </w:r>
      <w:r>
        <w:t>, Article 104611.</w:t>
      </w:r>
      <w:r>
        <w:t xml:space="preserve"> https://doi.org/10.1016/j.ipm.2026.104611</w:t>
      </w:r>
    </w:p>
    <w:p w14:paraId="4596CA8E">
      <w:pPr>
        <w:widowControl/>
        <w:spacing w:before="0" w:after="0"/>
        <w:ind w:left="720" w:hanging="720"/>
      </w:pPr>
      <w:r>
        <w:rPr>
          <w:rFonts w:ascii="Times New Roman" w:hAnsi="Times New Roman" w:eastAsia="Times New Roman"/>
        </w:rPr>
      </w:r>
      <w:r/>
      <w:r/>
      <w:r>
        <w:rPr>
          <w:i/>
        </w:rPr>
      </w:r>
      <w:r/>
      <w:r>
        <w:rPr>
          <w:i/>
        </w:rPr>
      </w:r>
      <w:r/>
      <w:r/>
      <w:r/>
      <w:r>
        <w:t xml:space="preserve">Huang, L., Yu, W., Ma, W., Zhong, W., Feng, Z., Wang, H., Chen, Q., Peng, W., Feng, X., Qin, B., &amp; Liu, T. (2025). </w:t>
      </w:r>
      <w:r>
        <w:t xml:space="preserve">A survey on hallucination in large language models: Principles, taxonomy, challenges, and open questions. </w:t>
      </w:r>
      <w:r>
        <w:rPr>
          <w:i/>
        </w:rPr>
        <w:t>ACM Transactions on Information Systems</w:t>
      </w:r>
      <w:r>
        <w:t xml:space="preserve">, </w:t>
      </w:r>
      <w:r>
        <w:rPr>
          <w:i/>
        </w:rPr>
        <w:t>43</w:t>
      </w:r>
      <w:r>
        <w:t>(2)</w:t>
      </w:r>
      <w:r>
        <w:t>, Article 42, 1–55.</w:t>
      </w:r>
      <w:r>
        <w:t xml:space="preserve"> https://doi.org/10.1145/3703155</w:t>
      </w:r>
    </w:p>
    <w:p w14:paraId="4A47128D">
      <w:pPr>
        <w:widowControl/>
        <w:spacing w:before="0" w:after="0"/>
        <w:ind w:left="720" w:hanging="720"/>
      </w:pPr>
      <w:r/>
      <w:r/>
      <w:r/>
      <w:r/>
      <w:r>
        <w:rPr>
          <w:i/>
        </w:rPr>
      </w:r>
      <w:r/>
      <w:r>
        <w:t xml:space="preserve">Huidrom, R., &amp; Belz, A. (2022). </w:t>
      </w:r>
      <w:r>
        <w:t xml:space="preserve">A survey of recent error annotation schemes for automatically generated text. </w:t>
      </w:r>
      <w:r>
        <w:t xml:space="preserve">In </w:t>
      </w:r>
      <w:r>
        <w:rPr>
          <w:i/>
        </w:rPr>
        <w:t>Proceedings of the Second Workshop on Natural Language Generation, Evaluation, and Metrics</w:t>
      </w:r>
      <w:r>
        <w:t xml:space="preserve"> (pp. 383–398). Association for Computational Linguistics. https://doi.org/10.18653/v1/2022.gem-1.33</w:t>
      </w:r>
    </w:p>
    <w:p w14:paraId="45FBE309">
      <w:pPr>
        <w:widowControl/>
        <w:spacing w:before="0" w:after="0"/>
        <w:ind w:left="720" w:hanging="720"/>
      </w:pPr>
      <w:r/>
      <w:r/>
      <w:r/>
      <w:r/>
      <w:r>
        <w:rPr>
          <w:i/>
        </w:rPr>
      </w:r>
      <w:r/>
      <w:r>
        <w:t xml:space="preserve">Huidrom, R., &amp; Belz, A. (2023). </w:t>
      </w:r>
      <w:r>
        <w:t xml:space="preserve">Towards a consensus taxonomy for annotating errors in automatically generated text. </w:t>
      </w:r>
      <w:r>
        <w:t xml:space="preserve">In </w:t>
      </w:r>
      <w:r>
        <w:rPr>
          <w:i/>
        </w:rPr>
        <w:t>Proceedings of the 14th International Conference on Recent Advances in Natural Language Processing</w:t>
      </w:r>
      <w:r>
        <w:t xml:space="preserve"> (pp. 527–540). INCOMA Ltd. https://aclanthology.org/2023.ranlp-1.58/</w:t>
      </w:r>
    </w:p>
    <w:p w14:paraId="065321F5">
      <w:pPr>
        <w:widowControl/>
        <w:spacing w:before="0" w:after="0"/>
        <w:ind w:left="720" w:hanging="720"/>
      </w:pPr>
      <w:r/>
      <w:r/>
      <w:r/>
      <w:r/>
      <w:r>
        <w:rPr>
          <w:i/>
        </w:rPr>
      </w:r>
      <w:r/>
      <w:r>
        <w:t xml:space="preserve">Huidrom, R., Lorandi, M., Mille, S., Thomson, C., &amp; Belz, A. (2025). </w:t>
      </w:r>
      <w:r>
        <w:t xml:space="preserve">Assessing semantic consistency in data-to-text generation: A meta-evaluation of textual, semantic and model-based metrics. </w:t>
      </w:r>
      <w:r>
        <w:t xml:space="preserve">In </w:t>
      </w:r>
      <w:r>
        <w:rPr>
          <w:i/>
        </w:rPr>
        <w:t>Proceedings of the 18th International Natural Language Generation Conference</w:t>
      </w:r>
      <w:r>
        <w:t xml:space="preserve"> (pp. 98–107). Association for Computational Linguistics. https://aclanthology.org/2025.inlg-main.6/</w:t>
      </w:r>
    </w:p>
    <w:p w14:paraId="692D90F2">
      <w:pPr>
        <w:widowControl/>
        <w:spacing w:before="0" w:after="0"/>
        <w:ind w:left="720" w:hanging="720"/>
      </w:pPr>
      <w:r/>
      <w:r/>
      <w:r/>
      <w:r>
        <w:rPr>
          <w:i/>
        </w:rPr>
      </w:r>
      <w:r/>
      <w:r>
        <w:rPr>
          <w:i/>
        </w:rPr>
      </w:r>
      <w:r/>
      <w:r/>
      <w:r/>
      <w:r>
        <w:t xml:space="preserve">Ji, Z., Lee, N., Frieske, R., Yu, T., Su, D., Xu, Y., Ishii, E., Bang, Y., Chen, D., Dai, W., Chan, H. S., Madotto, A., &amp; Fung, P. (2023). </w:t>
      </w:r>
      <w:r>
        <w:t xml:space="preserve">Survey of hallucination in natural language generation. </w:t>
      </w:r>
      <w:r>
        <w:rPr>
          <w:i/>
        </w:rPr>
        <w:t>ACM Computing Surveys</w:t>
      </w:r>
      <w:r>
        <w:t xml:space="preserve">, </w:t>
      </w:r>
      <w:r>
        <w:rPr>
          <w:i/>
        </w:rPr>
        <w:t>55</w:t>
      </w:r>
      <w:r>
        <w:t>(12)</w:t>
      </w:r>
      <w:r>
        <w:t>, Article 248, 1–38.</w:t>
      </w:r>
      <w:r>
        <w:t xml:space="preserve"> https://doi.org/10.1145/3571730</w:t>
      </w:r>
    </w:p>
    <w:p w14:paraId="50E2E533">
      <w:pPr>
        <w:spacing w:before="0" w:after="0"/>
        <w:ind w:left="720" w:hanging="720"/>
      </w:pPr>
      <w:r/>
      <w:r/>
      <w:r>
        <w:rPr>
          <w:i/>
        </w:rPr>
      </w:r>
      <w:r/>
      <w:r>
        <w:t xml:space="preserve">Kehler, A. (2002). </w:t>
      </w:r>
      <w:r>
        <w:rPr>
          <w:i/>
        </w:rPr>
        <w:t>Coherence, reference, and the theory of grammar.</w:t>
      </w:r>
      <w:r>
        <w:t xml:space="preserve"> CSLI Publications.</w:t>
      </w:r>
    </w:p>
    <w:p w14:paraId="6EA1C2E7">
      <w:pPr>
        <w:widowControl/>
        <w:spacing w:before="0" w:after="0"/>
        <w:ind w:left="720" w:hanging="720"/>
      </w:pPr>
      <w:r/>
      <w:r/>
      <w:r/>
      <w:r/>
      <w:r>
        <w:rPr>
          <w:i/>
        </w:rPr>
      </w:r>
      <w:r/>
      <w:r>
        <w:t xml:space="preserve">Kim, S., Suk, J., Longpre, S., Lin, B. Y., Shin, J., Welleck, S., Neubig, G., Lee, M., Lee, K., &amp; Seo, M. (2024). </w:t>
      </w:r>
      <w:r>
        <w:t xml:space="preserve">Prometheus 2: An open source language model specialized in evaluating other language models. </w:t>
      </w:r>
      <w:r>
        <w:t xml:space="preserve">In </w:t>
      </w:r>
      <w:r>
        <w:rPr>
          <w:i/>
        </w:rPr>
        <w:t>Proceedings of the 2024 Conference on Empirical Methods in Natural Language Processing</w:t>
      </w:r>
      <w:r>
        <w:t xml:space="preserve"> (pp. 4334–4353). Association for Computational Linguistics. https://doi.org/10.18653/v1/2024.emnlp-main.248</w:t>
      </w:r>
    </w:p>
    <w:p w14:paraId="591C10D6">
      <w:pPr>
        <w:widowControl/>
        <w:spacing w:before="0" w:after="0"/>
        <w:ind w:left="720" w:hanging="720"/>
      </w:pPr>
      <w:r/>
      <w:r/>
      <w:r/>
      <w:r>
        <w:rPr>
          <w:i/>
        </w:rPr>
      </w:r>
      <w:r/>
      <w:r>
        <w:rPr>
          <w:i/>
        </w:rPr>
      </w:r>
      <w:r/>
      <w:r/>
      <w:r/>
      <w:r>
        <w:t xml:space="preserve">Klie, J.-C., Eckart de Castilho, R., &amp; Gurevych, I. (2024). </w:t>
      </w:r>
      <w:r>
        <w:t xml:space="preserve">Analyzing dataset annotation quality management in the wild. </w:t>
      </w:r>
      <w:r>
        <w:rPr>
          <w:i/>
        </w:rPr>
        <w:t>Computational Linguistics</w:t>
      </w:r>
      <w:r>
        <w:t xml:space="preserve">, </w:t>
      </w:r>
      <w:r>
        <w:rPr>
          <w:i/>
        </w:rPr>
        <w:t>50</w:t>
      </w:r>
      <w:r>
        <w:t>(3)</w:t>
      </w:r>
      <w:r>
        <w:t>, 817–866.</w:t>
      </w:r>
      <w:r>
        <w:t xml:space="preserve"> https://doi.org/10.1162/coli_a_00516</w:t>
      </w:r>
    </w:p>
    <w:p w14:paraId="1CA71C1E">
      <w:pPr>
        <w:widowControl/>
        <w:spacing w:before="0" w:after="0"/>
        <w:ind w:left="720" w:hanging="720"/>
      </w:pPr>
      <w:r/>
      <w:r/>
      <w:r/>
      <w:r/>
      <w:r>
        <w:rPr>
          <w:i/>
        </w:rPr>
      </w:r>
      <w:r/>
      <w:r>
        <w:t xml:space="preserve">Ko, W.-J., &amp; Li, J. J. (2020). </w:t>
      </w:r>
      <w:r>
        <w:t xml:space="preserve">Assessing discourse relations in language generation from GPT-2. </w:t>
      </w:r>
      <w:r>
        <w:t xml:space="preserve">In </w:t>
      </w:r>
      <w:r>
        <w:rPr>
          <w:i/>
        </w:rPr>
        <w:t>Proceedings of the 13th International Conference on Natural Language Generation</w:t>
      </w:r>
      <w:r>
        <w:t xml:space="preserve"> (pp. 52–59). Association for Computational Linguistics. https://doi.org/10.18653/v1/2020.inlg-1.8</w:t>
      </w:r>
    </w:p>
    <w:p w14:paraId="08CCDB4D">
      <w:pPr>
        <w:widowControl/>
        <w:spacing w:before="0" w:after="0"/>
        <w:ind w:left="720" w:hanging="720"/>
      </w:pPr>
      <w:r/>
      <w:r/>
      <w:r/>
      <w:r/>
      <w:r>
        <w:rPr>
          <w:i/>
        </w:rPr>
      </w:r>
      <w:r/>
      <w:r>
        <w:t xml:space="preserve">Kocmi, T., &amp; Federmann, C. (2023). </w:t>
      </w:r>
      <w:r>
        <w:t xml:space="preserve">GEMBA-MQM: Detecting translation quality error spans with GPT-4. </w:t>
      </w:r>
      <w:r>
        <w:t xml:space="preserve">In </w:t>
      </w:r>
      <w:r>
        <w:rPr>
          <w:i/>
        </w:rPr>
        <w:t>Proceedings of the Eighth Conference on Machine Translation</w:t>
      </w:r>
      <w:r>
        <w:t xml:space="preserve"> (pp. 768–775). Association for Computational Linguistics. https://doi.org/10.18653/v1/2023.wmt-1.64</w:t>
      </w:r>
    </w:p>
    <w:p w14:paraId="5DCE15AA">
      <w:pPr>
        <w:spacing w:before="0" w:after="0"/>
        <w:ind w:left="720" w:hanging="720"/>
      </w:pPr>
      <w:r/>
      <w:r/>
      <w:r>
        <w:rPr>
          <w:i/>
        </w:rPr>
      </w:r>
      <w:r/>
      <w:r>
        <w:t xml:space="preserve">Krippendorff, K. (2018). </w:t>
      </w:r>
      <w:r>
        <w:rPr>
          <w:i/>
        </w:rPr>
        <w:t>Content analysis: An introduction to its methodology (4th ed.).</w:t>
      </w:r>
      <w:r>
        <w:t xml:space="preserve"> SAGE Publications.</w:t>
      </w:r>
    </w:p>
    <w:p w14:paraId="75DBBE8D">
      <w:pPr>
        <w:widowControl/>
        <w:spacing w:before="0" w:after="0"/>
        <w:ind w:left="720" w:hanging="720"/>
      </w:pPr>
      <w:r/>
      <w:r/>
      <w:r/>
      <w:r/>
      <w:r>
        <w:rPr>
          <w:i/>
        </w:rPr>
      </w:r>
      <w:r/>
      <w:r>
        <w:t xml:space="preserve">Kryściński, W., McCann, B., Xiong, C., &amp; Socher, R. (2020). </w:t>
      </w:r>
      <w:r>
        <w:t xml:space="preserve">Evaluating the factual consistency of abstractive text summarization. </w:t>
      </w:r>
      <w:r>
        <w:t xml:space="preserve">In B. Webber, T. Cohn, Y. He, &amp; Y. Liu (Eds.), </w:t>
      </w:r>
      <w:r>
        <w:rPr>
          <w:i/>
        </w:rPr>
        <w:t>Proceedings of the 2020 Conference on Empirical Methods in Natural Language Processing (EMNLP)</w:t>
      </w:r>
      <w:r>
        <w:t xml:space="preserve"> (pp. 9332–9346). Association for Computational Linguistics. https://doi.org/10.18653/v1/2020.emnlp-main.750</w:t>
      </w:r>
    </w:p>
    <w:p w14:paraId="0B4421F9">
      <w:pPr>
        <w:widowControl/>
        <w:spacing w:before="0" w:after="0"/>
        <w:ind w:left="720" w:hanging="720"/>
      </w:pPr>
      <w:r/>
      <w:r/>
      <w:r/>
      <w:r>
        <w:rPr>
          <w:i/>
        </w:rPr>
      </w:r>
      <w:r/>
      <w:r>
        <w:rPr>
          <w:i/>
        </w:rPr>
      </w:r>
      <w:r/>
      <w:r/>
      <w:r>
        <w:t xml:space="preserve">Kwiatkowski, T., Palomaki, J., Redfield, O., Collins, M., Parikh, A., Alberti, C., Epstein, D., Polosukhin, I., Devlin, J., Lee, K., Toutanova, K., Jones, L., Kelcey, M., Chang, M.-W., Dai, A. M., Uszkoreit, J., Le, Q., &amp; Petrov, S. (2019). </w:t>
      </w:r>
      <w:r>
        <w:t xml:space="preserve">Natural Questions: A benchmark for question answering research. </w:t>
      </w:r>
      <w:r>
        <w:rPr>
          <w:i/>
        </w:rPr>
        <w:t>Transactions of the Association for Computational Linguistics</w:t>
      </w:r>
      <w:r>
        <w:t xml:space="preserve">, </w:t>
      </w:r>
      <w:r>
        <w:rPr>
          <w:i/>
        </w:rPr>
        <w:t>7</w:t>
      </w:r>
      <w:r>
        <w:t>, 452–466.</w:t>
      </w:r>
      <w:r>
        <w:t xml:space="preserve"> https://doi.org/10.1162/tacl_a_00276</w:t>
      </w:r>
    </w:p>
    <w:p w14:paraId="571FF6B3">
      <w:pPr>
        <w:widowControl/>
        <w:spacing w:before="0" w:after="0"/>
        <w:ind w:left="720" w:hanging="720"/>
      </w:pPr>
      <w:r/>
      <w:r/>
      <w:r/>
      <w:r/>
      <w:r>
        <w:rPr>
          <w:i/>
        </w:rPr>
      </w:r>
      <w:r/>
      <w:r>
        <w:t xml:space="preserve">Lauriola, I., Campese, S., &amp; Moschitti, A. (2025). </w:t>
      </w:r>
      <w:r>
        <w:t xml:space="preserve">Analyzing and improving coherence of large language models in question answering. </w:t>
      </w:r>
      <w:r>
        <w:t xml:space="preserve">In L. Chiruzzo, A. Ritter, &amp; L. Wang (Eds.), </w:t>
      </w:r>
      <w:r>
        <w:rPr>
          <w:i/>
        </w:rPr>
        <w:t>Proceedings of the 2025 Conference of the Nations of the Americas Chapter of the Association for Computational Linguistics: Human Language Technologies (Volume 1: Long Papers)</w:t>
      </w:r>
      <w:r>
        <w:t xml:space="preserve"> (pp. 11740–11755). Association for Computational Linguistics. https://doi.org/10.18653/v1/2025.naacl-long.588</w:t>
      </w:r>
    </w:p>
    <w:p w14:paraId="05AFF0CB">
      <w:pPr>
        <w:widowControl/>
        <w:spacing w:before="0" w:after="0"/>
        <w:ind w:left="720" w:hanging="720"/>
      </w:pPr>
      <w:r/>
      <w:r/>
      <w:r/>
      <w:r>
        <w:rPr>
          <w:i/>
        </w:rPr>
      </w:r>
      <w:r/>
      <w:r>
        <w:rPr>
          <w:i/>
        </w:rPr>
      </w:r>
      <w:r/>
      <w:r/>
      <w:r/>
      <w:r>
        <w:t xml:space="preserve">Lee, Y. W., Strong, D. M., Kahn, B. K., &amp; Wang, R. Y. (2002). </w:t>
      </w:r>
      <w:r>
        <w:t xml:space="preserve">AIMQ: A methodology for information quality assessment. </w:t>
      </w:r>
      <w:r>
        <w:rPr>
          <w:i/>
        </w:rPr>
        <w:t>Information &amp; Management</w:t>
      </w:r>
      <w:r>
        <w:t xml:space="preserve">, </w:t>
      </w:r>
      <w:r>
        <w:rPr>
          <w:i/>
        </w:rPr>
        <w:t>40</w:t>
      </w:r>
      <w:r>
        <w:t>(2)</w:t>
      </w:r>
      <w:r>
        <w:t>, 133–146.</w:t>
      </w:r>
      <w:r>
        <w:t xml:space="preserve"> https://doi.org/10.1016/S0378-7206(02)00043-5</w:t>
      </w:r>
    </w:p>
    <w:p w14:paraId="472FBA1D">
      <w:pPr>
        <w:widowControl/>
        <w:spacing w:before="0" w:after="0"/>
        <w:ind w:left="720" w:hanging="720"/>
      </w:pPr>
      <w:r/>
      <w:r/>
      <w:r/>
      <w:r/>
      <w:r>
        <w:rPr>
          <w:i/>
        </w:rPr>
      </w:r>
      <w:r/>
      <w:r>
        <w:t xml:space="preserve">Li, S., Li, J., Qu, Y., Shi, X., Guo, Y., He, Z., Wang, Y., &amp; Tan, W. (2025). </w:t>
      </w:r>
      <w:r>
        <w:t xml:space="preserve">Semantic-Eval: A semantic comprehension evaluation framework for large language models generation without training. </w:t>
      </w:r>
      <w:r>
        <w:t xml:space="preserve">In W. Che, J. Nabende, E. Shutova, &amp; M. T. Pilehvar (Eds.), </w:t>
      </w:r>
      <w:r>
        <w:rPr>
          <w:i/>
        </w:rPr>
        <w:t>Proceedings of the 63rd Annual Meeting of the Association for Computational Linguistics (Volume 1: Long Papers)</w:t>
      </w:r>
      <w:r>
        <w:t xml:space="preserve"> (pp. 9675–9690). Association for Computational Linguistics. https://doi.org/10.18653/v1/2025.acl-long.477</w:t>
      </w:r>
    </w:p>
    <w:p w14:paraId="709DA514">
      <w:pPr>
        <w:widowControl/>
        <w:spacing w:before="0" w:after="0"/>
        <w:ind w:left="720" w:hanging="720"/>
      </w:pPr>
      <w:r>
        <w:rPr>
          <w:rFonts w:ascii="Times New Roman" w:hAnsi="Times New Roman" w:eastAsia="Times New Roman"/>
        </w:rPr>
      </w:r>
      <w:r/>
      <w:r/>
      <w:r>
        <w:rPr>
          <w:i/>
        </w:rPr>
      </w:r>
      <w:r/>
      <w:r>
        <w:rPr>
          <w:i/>
        </w:rPr>
      </w:r>
      <w:r/>
      <w:r/>
      <w:r/>
      <w:r>
        <w:t xml:space="preserve">Li, Y., &amp; Sun, Y. (2026). </w:t>
      </w:r>
      <w:r>
        <w:t xml:space="preserve">A fine-grained evaluation framework for language models: Combining pointwise grading and pairwise comparison. </w:t>
      </w:r>
      <w:r>
        <w:rPr>
          <w:i/>
        </w:rPr>
        <w:t>Information Processing &amp; Management</w:t>
      </w:r>
      <w:r>
        <w:t xml:space="preserve">, </w:t>
      </w:r>
      <w:r>
        <w:rPr>
          <w:i/>
        </w:rPr>
        <w:t>63</w:t>
      </w:r>
      <w:r>
        <w:t>(1)</w:t>
      </w:r>
      <w:r>
        <w:t>, Article 104270.</w:t>
      </w:r>
      <w:r>
        <w:t xml:space="preserve"> https://doi.org/10.1016/j.ipm.2025.104270</w:t>
      </w:r>
    </w:p>
    <w:p w14:paraId="516EE7A5">
      <w:pPr>
        <w:widowControl/>
        <w:spacing w:before="0" w:after="0"/>
        <w:ind w:left="720" w:hanging="720"/>
      </w:pPr>
      <w:r/>
      <w:r/>
      <w:r/>
      <w:r>
        <w:rPr>
          <w:i/>
        </w:rPr>
      </w:r>
      <w:r/>
      <w:r>
        <w:t xml:space="preserve">Liang, P., Bommasani, R., Lee, T., Tsipras, D., Soylu, D., Yasunaga, M., Zhang, Y., Narayanan, D., Wu, Y., Kumar, A., Newman, B., Yuan, B., Yan, B., Zhang, C., Cosgrove, C., Manning, C. D., Ré, C., Acosta-Navas, D., Hudson, D. A., ... Koreeda, Y. (2023). </w:t>
      </w:r>
      <w:r>
        <w:t xml:space="preserve">Holistic evaluation of language models. </w:t>
      </w:r>
      <w:r>
        <w:rPr>
          <w:i/>
        </w:rPr>
        <w:t>Transactions on Machine Learning Research.</w:t>
      </w:r>
      <w:r>
        <w:t xml:space="preserve"> https://openreview.net/forum?id=iO4LZibEqW</w:t>
      </w:r>
    </w:p>
    <w:p w14:paraId="189D7DB3">
      <w:pPr>
        <w:widowControl/>
        <w:spacing w:before="0" w:after="0"/>
        <w:ind w:left="720" w:hanging="720"/>
      </w:pPr>
      <w:r/>
      <w:r/>
      <w:r/>
      <w:r>
        <w:rPr>
          <w:i/>
        </w:rPr>
      </w:r>
      <w:r/>
      <w:r>
        <w:rPr>
          <w:i/>
        </w:rPr>
      </w:r>
      <w:r/>
      <w:r/>
      <w:r/>
      <w:r>
        <w:t xml:space="preserve">Lim, J. P., &amp; Lauw, H. W. (2024). </w:t>
      </w:r>
      <w:r>
        <w:t xml:space="preserve">Aligning human and computational coherence evaluations. </w:t>
      </w:r>
      <w:r>
        <w:rPr>
          <w:i/>
        </w:rPr>
        <w:t>Computational Linguistics</w:t>
      </w:r>
      <w:r>
        <w:t xml:space="preserve">, </w:t>
      </w:r>
      <w:r>
        <w:rPr>
          <w:i/>
        </w:rPr>
        <w:t>50</w:t>
      </w:r>
      <w:r>
        <w:t>(3)</w:t>
      </w:r>
      <w:r>
        <w:t>, 893–952.</w:t>
      </w:r>
      <w:r>
        <w:t xml:space="preserve"> https://doi.org/10.1162/coli_a_00518</w:t>
      </w:r>
    </w:p>
    <w:p w14:paraId="556BAAC4">
      <w:pPr>
        <w:widowControl/>
        <w:spacing w:before="0" w:after="0"/>
        <w:ind w:left="720" w:hanging="720"/>
      </w:pPr>
      <w:r/>
      <w:r/>
      <w:r/>
      <w:r/>
      <w:r>
        <w:rPr>
          <w:i/>
        </w:rPr>
      </w:r>
      <w:r/>
      <w:r>
        <w:t xml:space="preserve">Liu, Y., Iter, D., Xu, Y., Wang, S., Xu, R., &amp; Zhu, C. (2023). </w:t>
      </w:r>
      <w:r>
        <w:t xml:space="preserve">G-Eval: NLG evaluation using GPT-4 with better human alignment. </w:t>
      </w:r>
      <w:r>
        <w:t xml:space="preserve">In </w:t>
      </w:r>
      <w:r>
        <w:rPr>
          <w:i/>
        </w:rPr>
        <w:t>Proceedings of the 2023 Conference on Empirical Methods in Natural Language Processing</w:t>
      </w:r>
      <w:r>
        <w:t xml:space="preserve"> (pp. 2511–2522). Association for Computational Linguistics. https://doi.org/10.18653/v1/2023.emnlp-main.153</w:t>
      </w:r>
    </w:p>
    <w:p w14:paraId="67EC2482">
      <w:pPr>
        <w:widowControl/>
        <w:spacing w:before="0" w:after="0"/>
        <w:ind w:left="720" w:hanging="720"/>
      </w:pPr>
      <w:r/>
      <w:r/>
      <w:r/>
      <w:r/>
      <w:r>
        <w:rPr>
          <w:i/>
        </w:rPr>
      </w:r>
      <w:r/>
      <w:r>
        <w:t xml:space="preserve">Lommel, A. R., Burchardt, A., &amp; Uszkoreit, H. (2013). </w:t>
      </w:r>
      <w:r>
        <w:t xml:space="preserve">Multidimensional quality metrics: A flexible system for assessing translation quality. </w:t>
      </w:r>
      <w:r>
        <w:t xml:space="preserve">In </w:t>
      </w:r>
      <w:r>
        <w:rPr>
          <w:i/>
        </w:rPr>
        <w:t>Proceedings of Translating and the Computer 35</w:t>
      </w:r>
      <w:r>
        <w:t>. Aslib. https://aclanthology.org/2013.tc-1.6/</w:t>
      </w:r>
    </w:p>
    <w:p w14:paraId="29A1217B">
      <w:pPr>
        <w:widowControl/>
        <w:spacing w:before="0" w:after="0"/>
        <w:ind w:left="720" w:hanging="720"/>
      </w:pPr>
      <w:r/>
      <w:r/>
      <w:r/>
      <w:r/>
      <w:r>
        <w:rPr>
          <w:i/>
        </w:rPr>
      </w:r>
      <w:r/>
      <w:r>
        <w:t xml:space="preserve">Lu, J., Ma, K., Wang, K., Xiao, K., Lee, R. K.-W., Xu, B., Yang, L., &amp; Lin, H. (2025). </w:t>
      </w:r>
      <w:r>
        <w:t xml:space="preserve">Is LLM an overconfident judge? Unveiling the capabilities of LLMs in detecting offensive language with annotation disagreement. </w:t>
      </w:r>
      <w:r>
        <w:t xml:space="preserve">In </w:t>
      </w:r>
      <w:r>
        <w:rPr>
          <w:i/>
        </w:rPr>
        <w:t>Findings of the Association for Computational Linguistics: ACL 2025</w:t>
      </w:r>
      <w:r>
        <w:t xml:space="preserve"> (pp. 5609–5626). Association for Computational Linguistics. https://doi.org/10.18653/v1/2025.findings-acl.293</w:t>
      </w:r>
    </w:p>
    <w:p w14:paraId="292D2015">
      <w:pPr>
        <w:widowControl/>
        <w:spacing w:before="0" w:after="0"/>
        <w:ind w:left="720" w:hanging="720"/>
      </w:pPr>
      <w:r/>
      <w:r/>
      <w:r/>
      <w:r/>
      <w:r>
        <w:rPr>
          <w:i/>
        </w:rPr>
      </w:r>
      <w:r/>
      <w:r>
        <w:t xml:space="preserve">Lu, Q., Ding, L., Zhang, K., Zhang, J., &amp; Tao, D. (2025). </w:t>
      </w:r>
      <w:r>
        <w:t xml:space="preserve">MQM-APE: Toward high-quality error annotation predictors with automatic post-editing in LLM translation evaluators. </w:t>
      </w:r>
      <w:r>
        <w:t xml:space="preserve">In </w:t>
      </w:r>
      <w:r>
        <w:rPr>
          <w:i/>
        </w:rPr>
        <w:t>Proceedings of the 31st International Conference on Computational Linguistics</w:t>
      </w:r>
      <w:r>
        <w:t xml:space="preserve"> (pp. 5570–5587). Association for Computational Linguistics. https://aclanthology.org/2025.coling-main.374/</w:t>
      </w:r>
    </w:p>
    <w:p w14:paraId="6E580410">
      <w:pPr>
        <w:widowControl/>
        <w:spacing w:before="0" w:after="0"/>
        <w:ind w:left="720" w:hanging="720"/>
      </w:pPr>
      <w:r/>
      <w:r/>
      <w:r/>
      <w:r/>
      <w:r>
        <w:rPr>
          <w:i/>
        </w:rPr>
      </w:r>
      <w:r/>
      <w:r>
        <w:t xml:space="preserve">Lu, Z., Li, X., Cai, D., Yi, R., Liu, F., Liu, W., Luan, J., Zhang, X., Lane, N. D., &amp; Xu, M. (2025). </w:t>
      </w:r>
      <w:r>
        <w:t xml:space="preserve">Demystifying small language models for edge deployment. </w:t>
      </w:r>
      <w:r>
        <w:t xml:space="preserve">In </w:t>
      </w:r>
      <w:r>
        <w:rPr>
          <w:i/>
        </w:rPr>
        <w:t>Proceedings of the 63rd Annual Meeting of the Association for Computational Linguistics (Volume 1: Long Papers)</w:t>
      </w:r>
      <w:r>
        <w:t xml:space="preserve"> (pp. 14747–14764). Association for Computational Linguistics. https://doi.org/10.18653/v1/2025.acl-long.718</w:t>
      </w:r>
    </w:p>
    <w:p w14:paraId="65EA63E4">
      <w:pPr>
        <w:widowControl/>
        <w:spacing w:before="0" w:after="0"/>
        <w:ind w:left="720" w:hanging="720"/>
      </w:pPr>
      <w:r/>
      <w:r/>
      <w:r/>
      <w:r/>
      <w:r>
        <w:rPr>
          <w:i/>
        </w:rPr>
      </w:r>
      <w:r/>
      <w:r>
        <w:t xml:space="preserve">Magdy, S. M., Alwajih, F., El Mekki, A., El Sayed, W., &amp; Abdul-Mageed, M. (2026). </w:t>
      </w:r>
      <w:r>
        <w:t xml:space="preserve">LQM: Linguistically motivated multidimensional quality metrics for machine translation. </w:t>
      </w:r>
      <w:r>
        <w:t xml:space="preserve">In </w:t>
      </w:r>
      <w:r>
        <w:rPr>
          <w:i/>
        </w:rPr>
        <w:t>Findings of the Association for Computational Linguistics: ACL 2026</w:t>
      </w:r>
      <w:r>
        <w:t xml:space="preserve"> (pp. 40470–40493). Association for Computational Linguistics. https://doi.org/10.18653/v1/2026.findings-acl.2012</w:t>
      </w:r>
    </w:p>
    <w:p w14:paraId="4B9E50BC">
      <w:pPr>
        <w:widowControl/>
        <w:spacing w:before="0" w:after="0"/>
        <w:ind w:left="720" w:hanging="720"/>
      </w:pPr>
      <w:r/>
      <w:r/>
      <w:r/>
      <w:r>
        <w:rPr>
          <w:i/>
        </w:rPr>
      </w:r>
      <w:r/>
      <w:r>
        <w:rPr>
          <w:i/>
        </w:rPr>
      </w:r>
      <w:r/>
      <w:r/>
      <w:r/>
      <w:r>
        <w:t xml:space="preserve">Mann, W. C., &amp; Thompson, S. A. (1988). </w:t>
      </w:r>
      <w:r>
        <w:t xml:space="preserve">Rhetorical structure theory: Toward a functional theory of text organization. </w:t>
      </w:r>
      <w:r>
        <w:rPr>
          <w:i/>
        </w:rPr>
        <w:t>Text</w:t>
      </w:r>
      <w:r>
        <w:t xml:space="preserve">, </w:t>
      </w:r>
      <w:r>
        <w:rPr>
          <w:i/>
        </w:rPr>
        <w:t>8</w:t>
      </w:r>
      <w:r>
        <w:t>(3)</w:t>
      </w:r>
      <w:r>
        <w:t>, 243–281.</w:t>
      </w:r>
      <w:r>
        <w:t xml:space="preserve"> https://doi.org/10.1515/text.1.1988.8.3.243</w:t>
      </w:r>
    </w:p>
    <w:p w14:paraId="33561ECA">
      <w:pPr>
        <w:widowControl/>
        <w:spacing w:before="0" w:after="0"/>
        <w:ind w:left="720" w:hanging="720"/>
      </w:pPr>
      <w:r/>
      <w:r/>
      <w:r/>
      <w:r/>
      <w:r>
        <w:rPr>
          <w:i/>
        </w:rPr>
      </w:r>
      <w:r/>
      <w:r>
        <w:t xml:space="preserve">Maynez, J., Narayan, S., Bohnet, B., &amp; McDonald, R. (2020). </w:t>
      </w:r>
      <w:r>
        <w:t xml:space="preserve">On faithfulness and factuality in abstractive summarization. </w:t>
      </w:r>
      <w:r>
        <w:t xml:space="preserve">In D. Jurafsky, J. Chai, N. Schluter, &amp; J. Tetreault (Eds.), </w:t>
      </w:r>
      <w:r>
        <w:rPr>
          <w:i/>
        </w:rPr>
        <w:t>Proceedings of the 58th Annual Meeting of the Association for Computational Linguistics</w:t>
      </w:r>
      <w:r>
        <w:t xml:space="preserve"> (pp. 1906–1919). Association for Computational Linguistics. https://doi.org/10.18653/v1/2020.acl-main.173</w:t>
      </w:r>
    </w:p>
    <w:p w14:paraId="1A66C0CD">
      <w:pPr>
        <w:widowControl/>
        <w:spacing w:before="0" w:after="0"/>
        <w:ind w:left="720" w:hanging="720"/>
      </w:pPr>
      <w:r/>
      <w:r/>
      <w:r/>
      <w:r/>
      <w:r>
        <w:rPr>
          <w:i/>
        </w:rPr>
      </w:r>
      <w:r/>
      <w:r>
        <w:t xml:space="preserve">Murugesan, K., Swaminathan, S., Dan, S., Chaudhury, S., Gunasekara, C., Crouse, M., Mahajan, D., Abdelaziz, I., Fokoue, A., Kapanipathi, P., Roukos, S., &amp; Gray, A. (2023). </w:t>
      </w:r>
      <w:r>
        <w:t xml:space="preserve">MISMATCH: Fine-grained evaluation of machine-generated text with mismatch error types. </w:t>
      </w:r>
      <w:r>
        <w:t xml:space="preserve">In </w:t>
      </w:r>
      <w:r>
        <w:rPr>
          <w:i/>
        </w:rPr>
        <w:t>Findings of the Association for Computational Linguistics: ACL 2023</w:t>
      </w:r>
      <w:r>
        <w:t xml:space="preserve"> (pp. 4485–4503). Association for Computational Linguistics. https://doi.org/10.18653/v1/2023.findings-acl.274</w:t>
      </w:r>
    </w:p>
    <w:p w14:paraId="5236A65D">
      <w:pPr>
        <w:widowControl/>
        <w:spacing w:before="0" w:after="0"/>
        <w:ind w:left="720" w:hanging="720"/>
      </w:pPr>
      <w:r/>
      <w:r/>
      <w:r/>
      <w:r/>
      <w:r>
        <w:rPr>
          <w:i/>
        </w:rPr>
      </w:r>
      <w:r/>
      <w:r/>
      <w:r>
        <w:t xml:space="preserve">Nguyen, C. V., Shen, X., Aponte, R., Xia, Y., Basu, S., Hu, Z., Chen, J., Parmar, M., Kunapuli, S., Barrow, J., Wu, J., Singh, A., Wang, Y., Gu, J., Ahmed, N. K., Lipka, N., Zhang, R., Chen, X., Yu, T., ... Nguyen, T. H. (2025). </w:t>
      </w:r>
      <w:r>
        <w:t xml:space="preserve">A survey of small language models. </w:t>
      </w:r>
      <w:r>
        <w:t xml:space="preserve">In G. Angelova, M. Kunilovskaya, M. Escribe, &amp; R. Mitkov (Eds.), </w:t>
      </w:r>
      <w:r>
        <w:rPr>
          <w:i/>
        </w:rPr>
        <w:t>Proceedings of the 15th International Conference on Recent Advances in Natural Language Processing—Natural Language Processing in the Generative AI Era</w:t>
      </w:r>
      <w:r>
        <w:t xml:space="preserve"> (pp. 807–821). INCOMA Ltd. https://doi.org/10.26615/978-954-452-098-4-093</w:t>
      </w:r>
    </w:p>
    <w:p w14:paraId="502450B5">
      <w:pPr>
        <w:widowControl/>
        <w:spacing w:before="0" w:after="0"/>
        <w:ind w:left="720" w:hanging="720"/>
      </w:pPr>
      <w:r/>
      <w:r/>
      <w:r/>
      <w:r/>
      <w:r>
        <w:rPr>
          <w:i/>
        </w:rPr>
      </w:r>
      <w:r/>
      <w:r>
        <w:t xml:space="preserve">Niu, C., Wu, Y., Zhu, J., Xu, S., Shum, K., Zhong, R., Song, J., &amp; Zhang, T. (2024). </w:t>
      </w:r>
      <w:r>
        <w:t xml:space="preserve">RAGTruth: A hallucination corpus for developing trustworthy retrieval-augmented language models. </w:t>
      </w:r>
      <w:r>
        <w:t xml:space="preserve">In L.-W. Ku, A. Martins, &amp; V. Srikumar (Eds.), </w:t>
      </w:r>
      <w:r>
        <w:rPr>
          <w:i/>
        </w:rPr>
        <w:t>Proceedings of the 62nd Annual Meeting of the Association for Computational Linguistics (Volume 1: Long Papers)</w:t>
      </w:r>
      <w:r>
        <w:t xml:space="preserve"> (pp. 10862–10878). Association for Computational Linguistics. https://doi.org/10.18653/v1/2024.acl-long.585</w:t>
      </w:r>
    </w:p>
    <w:p w14:paraId="51A736C0">
      <w:pPr>
        <w:widowControl/>
        <w:spacing w:before="0" w:after="0"/>
        <w:ind w:left="720" w:hanging="720"/>
      </w:pPr>
      <w:r/>
      <w:r/>
      <w:r/>
      <w:r>
        <w:rPr>
          <w:i/>
        </w:rPr>
      </w:r>
      <w:r/>
      <w:r>
        <w:rPr>
          <w:i/>
        </w:rPr>
      </w:r>
      <w:r/>
      <w:r/>
      <w:r/>
      <w:r/>
      <w:r>
        <w:t xml:space="preserve">Opitz, J., Wein, S., &amp; Schneider, N. (2025). </w:t>
      </w:r>
      <w:r>
        <w:t xml:space="preserve">Natural language processing RELIES on linguistics. </w:t>
      </w:r>
      <w:r>
        <w:rPr>
          <w:i/>
        </w:rPr>
        <w:t>Computational Linguistics</w:t>
      </w:r>
      <w:r>
        <w:t xml:space="preserve">, </w:t>
      </w:r>
      <w:r>
        <w:rPr>
          <w:i/>
        </w:rPr>
        <w:t>51</w:t>
      </w:r>
      <w:r>
        <w:t>(3)</w:t>
      </w:r>
      <w:r>
        <w:t>, 1009–1032.</w:t>
      </w:r>
      <w:r>
        <w:t xml:space="preserve"> https://doi.org/10.1162/coli_a_00560</w:t>
      </w:r>
    </w:p>
    <w:p w14:paraId="58D8CAB3">
      <w:pPr>
        <w:widowControl/>
        <w:spacing w:before="0" w:after="0"/>
        <w:ind w:left="720" w:hanging="720"/>
      </w:pPr>
      <w:r/>
      <w:r/>
      <w:r/>
      <w:r/>
      <w:r>
        <w:rPr>
          <w:i/>
        </w:rPr>
      </w:r>
      <w:r/>
      <w:r>
        <w:t xml:space="preserve">Pagnoni, A., Balachandran, V., &amp; Tsvetkov, Y. (2021). </w:t>
      </w:r>
      <w:r>
        <w:t xml:space="preserve">Understanding factuality in abstractive summarization with FRANK: A benchmark for factuality metrics. </w:t>
      </w:r>
      <w:r>
        <w:t xml:space="preserve">In </w:t>
      </w:r>
      <w:r>
        <w:rPr>
          <w:i/>
        </w:rPr>
        <w:t>Proceedings of the 2021 Conference of the North American Chapter of the Association for Computational Linguistics: Human Language Technologies</w:t>
      </w:r>
      <w:r>
        <w:t xml:space="preserve"> (pp. 4812–4829). Association for Computational Linguistics. https://doi.org/10.18653/v1/2021.naacl-main.383</w:t>
      </w:r>
    </w:p>
    <w:p w14:paraId="33CCEE3F">
      <w:pPr>
        <w:widowControl/>
        <w:spacing w:before="0" w:after="0"/>
        <w:ind w:left="720" w:hanging="720"/>
      </w:pPr>
      <w:r/>
      <w:r/>
      <w:r/>
      <w:r/>
      <w:r>
        <w:rPr>
          <w:i/>
        </w:rPr>
      </w:r>
      <w:r/>
      <w:r>
        <w:t xml:space="preserve">Peng, B., Alcaide, E., Anthony, Q., Albalak, A., Arcadinho, S., Biderman, S., Cao, H., Cheng, X., Chung, M., Grella, M., GV, K. K., He, X., Hou, H., Lin, J., Kazienko, P., Kocoń, J., Kong, J., Koptyra, B., Lau, H., ... Zhu, R.-J. (2023). </w:t>
      </w:r>
      <w:r>
        <w:t xml:space="preserve">RWKV: Reinventing RNNs for the Transformer era. </w:t>
      </w:r>
      <w:r>
        <w:t xml:space="preserve">In H. Bouamor, J. Pino, &amp; K. Bali (Eds.), </w:t>
      </w:r>
      <w:r>
        <w:rPr>
          <w:i/>
        </w:rPr>
        <w:t>Findings of the Association for Computational Linguistics: EMNLP 2023</w:t>
      </w:r>
      <w:r>
        <w:t xml:space="preserve"> (pp. 14048–14077). Association for Computational Linguistics. https://doi.org/10.18653/v1/2023.findings-emnlp.936</w:t>
      </w:r>
    </w:p>
    <w:p w14:paraId="01A6C6FC">
      <w:pPr>
        <w:widowControl/>
        <w:spacing w:before="0" w:after="0"/>
        <w:ind w:left="720" w:hanging="720"/>
      </w:pPr>
      <w:r/>
      <w:r/>
      <w:r/>
      <w:r/>
      <w:r>
        <w:rPr>
          <w:i/>
        </w:rPr>
      </w:r>
      <w:r/>
      <w:r>
        <w:t xml:space="preserve">Qin, Y., Song, K., Hu, Y., Yao, W., Cho, S., Wang, X., Wu, X., Liu, F., Liu, P., &amp; Yu, D. (2024). </w:t>
      </w:r>
      <w:r>
        <w:t xml:space="preserve">InFoBench: Evaluating instruction following ability in large language models. </w:t>
      </w:r>
      <w:r>
        <w:t xml:space="preserve">In </w:t>
      </w:r>
      <w:r>
        <w:rPr>
          <w:i/>
        </w:rPr>
        <w:t>Findings of the Association for Computational Linguistics: ACL 2024</w:t>
      </w:r>
      <w:r>
        <w:t xml:space="preserve"> (pp. 13025–13048). Association for Computational Linguistics. https://doi.org/10.18653/v1/2024.findings-acl.772</w:t>
      </w:r>
    </w:p>
    <w:p w14:paraId="37E4B516">
      <w:pPr>
        <w:widowControl/>
        <w:spacing w:before="0" w:after="0"/>
        <w:ind w:left="720" w:hanging="720"/>
      </w:pPr>
      <w:r/>
      <w:r/>
      <w:r/>
      <w:r>
        <w:rPr>
          <w:i/>
        </w:rPr>
      </w:r>
      <w:r/>
      <w:r>
        <w:rPr>
          <w:i/>
        </w:rPr>
      </w:r>
      <w:r/>
      <w:r/>
      <w:r/>
      <w:r>
        <w:t xml:space="preserve">Raffel, C., Shazeer, N., Roberts, A., Lee, K., Narang, S., Matena, M., Zhou, Y., Li, W., &amp; Liu, P. J. (2020). </w:t>
      </w:r>
      <w:r>
        <w:t xml:space="preserve">Exploring the limits of transfer learning with a unified text-to-text Transformer. </w:t>
      </w:r>
      <w:r>
        <w:rPr>
          <w:i/>
        </w:rPr>
        <w:t>Journal of Machine Learning Research</w:t>
      </w:r>
      <w:r>
        <w:t xml:space="preserve">, </w:t>
      </w:r>
      <w:r>
        <w:rPr>
          <w:i/>
        </w:rPr>
        <w:t>21</w:t>
      </w:r>
      <w:r>
        <w:t>(140)</w:t>
      </w:r>
      <w:r>
        <w:t>, 1–67.</w:t>
      </w:r>
      <w:r/>
    </w:p>
    <w:p w14:paraId="2847B8B1">
      <w:pPr>
        <w:widowControl/>
        <w:spacing w:before="0" w:after="0"/>
        <w:ind w:left="720" w:hanging="720"/>
      </w:pPr>
      <w:r/>
      <w:r/>
      <w:r/>
      <w:r/>
      <w:r>
        <w:rPr>
          <w:i/>
        </w:rPr>
      </w:r>
      <w:r/>
      <w:r>
        <w:t xml:space="preserve">Rajpurkar, P., Zhang, J., Lopyrev, K., &amp; Liang, P. (2016). </w:t>
      </w:r>
      <w:r>
        <w:t xml:space="preserve">SQuAD: 100,000+ questions for machine comprehension of text. </w:t>
      </w:r>
      <w:r>
        <w:t xml:space="preserve">In </w:t>
      </w:r>
      <w:r>
        <w:rPr>
          <w:i/>
        </w:rPr>
        <w:t>Proceedings of the 2016 Conference on Empirical Methods in Natural Language Processing</w:t>
      </w:r>
      <w:r>
        <w:t xml:space="preserve"> (pp. 2383–2392). Association for Computational Linguistics. https://doi.org/10.18653/v1/D16-1264</w:t>
      </w:r>
    </w:p>
    <w:p w14:paraId="2AB831F0">
      <w:pPr>
        <w:widowControl/>
        <w:spacing w:before="0" w:after="0"/>
        <w:ind w:left="720" w:hanging="720"/>
      </w:pPr>
      <w:r/>
      <w:r/>
      <w:r/>
      <w:r>
        <w:rPr>
          <w:i/>
        </w:rPr>
      </w:r>
      <w:r/>
      <w:r>
        <w:rPr>
          <w:i/>
        </w:rPr>
      </w:r>
      <w:r/>
      <w:r/>
      <w:r>
        <w:t xml:space="preserve">Roberts, C. (2012). </w:t>
      </w:r>
      <w:r>
        <w:t xml:space="preserve">Information structure in discourse: Towards an integrated formal theory of pragmatics. </w:t>
      </w:r>
      <w:r>
        <w:rPr>
          <w:i/>
        </w:rPr>
        <w:t>Semantics and Pragmatics</w:t>
      </w:r>
      <w:r>
        <w:t xml:space="preserve">, </w:t>
      </w:r>
      <w:r>
        <w:rPr>
          <w:i/>
        </w:rPr>
        <w:t>5</w:t>
      </w:r>
      <w:r>
        <w:t>, Article 6, 1–69.</w:t>
      </w:r>
      <w:r>
        <w:t xml:space="preserve"> https://doi.org/10.3765/sp.5.6</w:t>
      </w:r>
    </w:p>
    <w:p w14:paraId="4921588C">
      <w:pPr>
        <w:widowControl/>
        <w:spacing w:before="0" w:after="0"/>
        <w:ind w:left="720" w:hanging="720"/>
      </w:pPr>
      <w:r/>
      <w:r/>
      <w:r/>
      <w:r/>
      <w:r>
        <w:rPr>
          <w:i/>
        </w:rPr>
      </w:r>
      <w:r/>
      <w:r>
        <w:t xml:space="preserve">Schroeder, H., Roy, D., &amp; Kabbara, J. (2025). </w:t>
      </w:r>
      <w:r>
        <w:t xml:space="preserve">Just put a human in the loop? Investigating LLM-assisted annotation for subjective tasks. </w:t>
      </w:r>
      <w:r>
        <w:t xml:space="preserve">In </w:t>
      </w:r>
      <w:r>
        <w:rPr>
          <w:i/>
        </w:rPr>
        <w:t>Findings of the Association for Computational Linguistics: ACL 2025</w:t>
      </w:r>
      <w:r>
        <w:t xml:space="preserve"> (pp. 25771–25795). Association for Computational Linguistics. https://doi.org/10.18653/v1/2025.findings-acl.1323</w:t>
      </w:r>
    </w:p>
    <w:p w14:paraId="53E00605">
      <w:pPr>
        <w:widowControl/>
        <w:spacing w:before="0" w:after="0"/>
        <w:ind w:left="720" w:hanging="720"/>
      </w:pPr>
      <w:r/>
      <w:r/>
      <w:r/>
      <w:r>
        <w:rPr>
          <w:i/>
        </w:rPr>
      </w:r>
      <w:r/>
      <w:r>
        <w:rPr>
          <w:i/>
        </w:rPr>
      </w:r>
      <w:r/>
      <w:r/>
      <w:r/>
      <w:r>
        <w:t xml:space="preserve">Sim, J., &amp; Wright, C. C. (2005). </w:t>
      </w:r>
      <w:r>
        <w:t xml:space="preserve">The kappa statistic in reliability studies: Use, interpretation, and sample size requirements. </w:t>
      </w:r>
      <w:r>
        <w:rPr>
          <w:i/>
        </w:rPr>
        <w:t>Physical Therapy</w:t>
      </w:r>
      <w:r>
        <w:t xml:space="preserve">, </w:t>
      </w:r>
      <w:r>
        <w:rPr>
          <w:i/>
        </w:rPr>
        <w:t>85</w:t>
      </w:r>
      <w:r>
        <w:t>(3)</w:t>
      </w:r>
      <w:r>
        <w:t>, 257–268.</w:t>
      </w:r>
      <w:r>
        <w:t xml:space="preserve"> https://doi.org/10.1093/ptj/85.3.257</w:t>
      </w:r>
    </w:p>
    <w:p w14:paraId="3082BDF8">
      <w:pPr>
        <w:widowControl/>
        <w:spacing w:before="0" w:after="0"/>
        <w:ind w:left="720" w:hanging="720"/>
      </w:pPr>
      <w:r/>
      <w:r/>
      <w:r/>
      <w:r/>
      <w:r>
        <w:rPr>
          <w:i/>
        </w:rPr>
      </w:r>
      <w:r/>
      <w:r>
        <w:t xml:space="preserve">Tang, L., Shalyminov, I., Wong, A., Burnsky, J., Vincent, J. W., Yang, Y., Singh, S., Feng, S., Song, H., Su, H., Sun, L., Zhang, Y., Mansour, S., &amp; McKeown, K. (2024). </w:t>
      </w:r>
      <w:r>
        <w:t xml:space="preserve">TofuEval: Evaluating hallucinations of LLMs on topic-focused dialogue summarization. </w:t>
      </w:r>
      <w:r>
        <w:t xml:space="preserve">In </w:t>
      </w:r>
      <w:r>
        <w:rPr>
          <w:i/>
        </w:rPr>
        <w:t>Proceedings of the 2024 Conference of the North American Chapter of the Association for Computational Linguistics: Human Language Technologies (Volume 1: Long Papers)</w:t>
      </w:r>
      <w:r>
        <w:t xml:space="preserve"> (pp. 4455–4480). Association for Computational Linguistics. https://doi.org/10.18653/v1/2024.naacl-long.251</w:t>
      </w:r>
    </w:p>
    <w:p w14:paraId="18E9E146">
      <w:pPr>
        <w:widowControl/>
        <w:spacing w:before="0" w:after="0"/>
        <w:ind w:left="720" w:hanging="720"/>
      </w:pPr>
      <w:r/>
      <w:r/>
      <w:r>
        <w:rPr>
          <w:i/>
        </w:rPr>
      </w:r>
      <w:r/>
      <w:r/>
      <w:r/>
      <w:r>
        <w:rPr>
          <w:i/>
        </w:rPr>
      </w:r>
      <w:r/>
      <w:r>
        <w:t xml:space="preserve">Team OLMo, Walsh, P., Soldaini, L., Groeneveld, D., Lo, K., Arora, S., Bhagia, A., Gu, Y., Huang, S., Jordan, M., Lambert, N., Schwenk, D., Tafjord, O., Anderson, T., Atkinson, D., Brahman, F., Clark, C., Dasigi, P., Dziri, N., ... Hajishirzi, H. (2025). </w:t>
      </w:r>
      <w:r>
        <w:rPr>
          <w:i/>
        </w:rPr>
        <w:t>2 OLMo 2 Furious</w:t>
      </w:r>
      <w:r>
        <w:t xml:space="preserve"> [Preprint]. arXiv. https://doi.org/10.48550/arXiv.2501.00656</w:t>
      </w:r>
    </w:p>
    <w:p w14:paraId="31ABA2FF">
      <w:pPr>
        <w:widowControl/>
        <w:spacing w:before="0" w:after="0"/>
        <w:ind w:left="720" w:hanging="720"/>
      </w:pPr>
      <w:r/>
      <w:r/>
      <w:r/>
      <w:r/>
      <w:r>
        <w:rPr>
          <w:i/>
        </w:rPr>
      </w:r>
      <w:r/>
      <w:r>
        <w:t xml:space="preserve">Thakur, A. S., Choudhary, K., Ramayapally, V. S., Vaidyanathan, S., &amp; Hupkes, D. (2025). </w:t>
      </w:r>
      <w:r>
        <w:t xml:space="preserve">Judging the judges: Evaluating alignment and vulnerabilities in LLMs-as-judges. </w:t>
      </w:r>
      <w:r>
        <w:t xml:space="preserve">In </w:t>
      </w:r>
      <w:r>
        <w:rPr>
          <w:i/>
        </w:rPr>
        <w:t>Proceedings of the Fourth Workshop on Generation, Evaluation and Metrics (GEM²)</w:t>
      </w:r>
      <w:r>
        <w:t xml:space="preserve"> (pp. 404–430). Association for Computational Linguistics. https://aclanthology.org/2025.gem-1.33/</w:t>
      </w:r>
    </w:p>
    <w:p w14:paraId="7E36CD70">
      <w:pPr>
        <w:widowControl/>
        <w:spacing w:before="0" w:after="0"/>
        <w:ind w:left="720" w:hanging="720"/>
      </w:pPr>
      <w:r>
        <w:rPr>
          <w:rFonts w:ascii="Times New Roman" w:hAnsi="Times New Roman" w:eastAsia="Times New Roman"/>
        </w:rPr>
      </w:r>
      <w:r/>
      <w:r/>
      <w:r>
        <w:rPr>
          <w:i/>
        </w:rPr>
      </w:r>
      <w:r/>
      <w:r>
        <w:rPr>
          <w:i/>
        </w:rPr>
      </w:r>
      <w:r/>
      <w:r/>
      <w:r/>
      <w:r>
        <w:t xml:space="preserve">Tsaneva, S., Dessì, D., Osborne, F., &amp; Sabou, M. (2025). </w:t>
      </w:r>
      <w:r>
        <w:t xml:space="preserve">Knowledge graph validation by integrating LLMs and human-in-the-loop. </w:t>
      </w:r>
      <w:r>
        <w:rPr>
          <w:i/>
        </w:rPr>
        <w:t>Information Processing &amp; Management</w:t>
      </w:r>
      <w:r>
        <w:t xml:space="preserve">, </w:t>
      </w:r>
      <w:r>
        <w:rPr>
          <w:i/>
        </w:rPr>
        <w:t>62</w:t>
      </w:r>
      <w:r>
        <w:t>(5)</w:t>
      </w:r>
      <w:r>
        <w:t>, Article 104145.</w:t>
      </w:r>
      <w:r>
        <w:t xml:space="preserve"> https://doi.org/10.1016/j.ipm.2025.104145</w:t>
      </w:r>
    </w:p>
    <w:p w14:paraId="1A106CA9">
      <w:pPr>
        <w:widowControl/>
        <w:spacing w:before="0" w:after="0"/>
        <w:ind w:left="720" w:hanging="720"/>
      </w:pPr>
      <w:r/>
      <w:r/>
      <w:r/>
      <w:r/>
      <w:r>
        <w:rPr>
          <w:i/>
        </w:rPr>
      </w:r>
      <w:r/>
      <w:r>
        <w:t xml:space="preserve">van der Lee, C., Gatt, A., van Miltenburg, E., Wubben, S., &amp; Krahmer, E. (2019). </w:t>
      </w:r>
      <w:r>
        <w:t xml:space="preserve">Best practices for the human evaluation of automatically generated text. </w:t>
      </w:r>
      <w:r>
        <w:t xml:space="preserve">In K. van Deemter, C.-C. Lin, &amp; H. Takamura (Eds.), </w:t>
      </w:r>
      <w:r>
        <w:rPr>
          <w:i/>
        </w:rPr>
        <w:t>Proceedings of the 12th International Conference on Natural Language Generation</w:t>
      </w:r>
      <w:r>
        <w:t xml:space="preserve"> (pp. 355–368). Association for Computational Linguistics. https://doi.org/10.18653/v1/W19-8643</w:t>
      </w:r>
    </w:p>
    <w:p w14:paraId="426C2572">
      <w:pPr>
        <w:widowControl/>
        <w:spacing w:before="0" w:after="0"/>
        <w:ind w:left="720" w:hanging="720"/>
      </w:pPr>
      <w:r/>
      <w:r/>
      <w:r/>
      <w:r>
        <w:rPr>
          <w:i/>
        </w:rPr>
      </w:r>
      <w:r/>
      <w:r>
        <w:rPr>
          <w:i/>
        </w:rPr>
      </w:r>
      <w:r/>
      <w:r/>
      <w:r/>
      <w:r>
        <w:t xml:space="preserve">Wang, F., Zhang, Z., Zhang, X., Wu, Z., Mo, T., Lu, Q., Wang, W., Li, R., Xu, J., Tang, X., He, Q., Ma, Y., Huang, M., &amp; Wang, S. (2025). </w:t>
      </w:r>
      <w:r>
        <w:t xml:space="preserve">A comprehensive survey of small language models in the era of large language models: Techniques, enhancements, applications, collaboration with LLMs, and trustworthiness. </w:t>
      </w:r>
      <w:r>
        <w:rPr>
          <w:i/>
        </w:rPr>
        <w:t>ACM Transactions on Intelligent Systems and Technology</w:t>
      </w:r>
      <w:r>
        <w:t xml:space="preserve">, </w:t>
      </w:r>
      <w:r>
        <w:rPr>
          <w:i/>
        </w:rPr>
        <w:t>16</w:t>
      </w:r>
      <w:r>
        <w:t>(6)</w:t>
      </w:r>
      <w:r>
        <w:t>, Article 145.</w:t>
      </w:r>
      <w:r>
        <w:t xml:space="preserve"> https://doi.org/10.1145/3768165</w:t>
      </w:r>
    </w:p>
    <w:p w14:paraId="75EF7331">
      <w:pPr>
        <w:widowControl/>
        <w:spacing w:before="0" w:after="0"/>
        <w:ind w:left="720" w:hanging="720"/>
      </w:pPr>
      <w:r/>
      <w:r/>
      <w:r/>
      <w:r>
        <w:rPr>
          <w:i/>
        </w:rPr>
      </w:r>
      <w:r/>
      <w:r>
        <w:rPr>
          <w:i/>
        </w:rPr>
      </w:r>
      <w:r/>
      <w:r/>
      <w:r/>
      <w:r>
        <w:t xml:space="preserve">Wang, R. Y., &amp; Strong, D. M. (1996). </w:t>
      </w:r>
      <w:r>
        <w:t xml:space="preserve">Beyond accuracy: What data quality means to data consumers. </w:t>
      </w:r>
      <w:r>
        <w:rPr>
          <w:i/>
        </w:rPr>
        <w:t>Journal of Management Information Systems</w:t>
      </w:r>
      <w:r>
        <w:t xml:space="preserve">, </w:t>
      </w:r>
      <w:r>
        <w:rPr>
          <w:i/>
        </w:rPr>
        <w:t>12</w:t>
      </w:r>
      <w:r>
        <w:t>(4)</w:t>
      </w:r>
      <w:r>
        <w:t>, 5–33.</w:t>
      </w:r>
      <w:r>
        <w:t xml:space="preserve"> https://doi.org/10.1080/07421222.1996.11518099</w:t>
      </w:r>
    </w:p>
    <w:p w14:paraId="66BD36A4">
      <w:pPr>
        <w:widowControl/>
        <w:spacing w:before="0" w:after="0"/>
        <w:ind w:left="720" w:hanging="720"/>
      </w:pPr>
      <w:r/>
      <w:r/>
      <w:r/>
      <w:r/>
      <w:r>
        <w:rPr>
          <w:i/>
        </w:rPr>
      </w:r>
      <w:r/>
      <w:r>
        <w:t xml:space="preserve">Warner, B., Chaffin, A., Clavié, B., Weller, O., Hallström, O., Taghadouini, S., Gallagher, A., Biswas, R., Ladhak, F., Aarsen, T., Adams, G. T., Howard, J., &amp; Poli, I. (2025). </w:t>
      </w:r>
      <w:r>
        <w:t xml:space="preserve">Smarter, better, faster, longer: A modern bidirectional encoder for fast, memory efficient, and long context finetuning and inference. </w:t>
      </w:r>
      <w:r>
        <w:t xml:space="preserve">In W. Che, J. Nabende, E. Shutova, &amp; M. T. Pilehvar (Eds.), </w:t>
      </w:r>
      <w:r>
        <w:rPr>
          <w:i/>
        </w:rPr>
        <w:t>Proceedings of the 63rd Annual Meeting of the Association for Computational Linguistics (Volume 1: Long Papers)</w:t>
      </w:r>
      <w:r>
        <w:t xml:space="preserve"> (pp. 2526–2547). Association for Computational Linguistics. https://doi.org/10.18653/v1/2025.acl-long.127</w:t>
      </w:r>
    </w:p>
    <w:p w14:paraId="5B5CC3CF">
      <w:pPr>
        <w:widowControl/>
        <w:spacing w:before="0" w:after="0"/>
        <w:ind w:left="720" w:hanging="720"/>
      </w:pPr>
      <w:r/>
      <w:r/>
      <w:r>
        <w:rPr>
          <w:i/>
        </w:rPr>
      </w:r>
      <w:r/>
      <w:r/>
      <w:r/>
      <w:r>
        <w:rPr>
          <w:i/>
        </w:rPr>
      </w:r>
      <w:r/>
      <w:r>
        <w:t xml:space="preserve">Yang, A., Li, A., Yang, B., Zhang, B., Hui, B., Zheng, B., Yu, B., Gao, C., Huang, C., Lv, C., Zheng, C., Liu, D., Zhou, F., Huang, F., Hu, F., Ge, H., Wei, H., Lin, H., Tang, J., ... Qiu, Z. (2025). </w:t>
      </w:r>
      <w:r>
        <w:rPr>
          <w:i/>
        </w:rPr>
        <w:t>Qwen3 technical report</w:t>
      </w:r>
      <w:r>
        <w:t xml:space="preserve"> [Preprint]. arXiv. https://doi.org/10.48550/arXiv.2505.09388</w:t>
      </w:r>
    </w:p>
    <w:p w14:paraId="57885739">
      <w:pPr>
        <w:widowControl/>
        <w:spacing w:before="0" w:after="0"/>
        <w:ind w:left="720" w:hanging="720"/>
      </w:pPr>
      <w:r/>
      <w:r/>
      <w:r/>
      <w:r/>
      <w:r>
        <w:rPr>
          <w:i/>
        </w:rPr>
      </w:r>
      <w:r/>
      <w:r>
        <w:t xml:space="preserve">Yang, Z., Jian, P., &amp; Li, C. (2025). </w:t>
      </w:r>
      <w:r>
        <w:t xml:space="preserve">Option symbol matters: Investigating and mitigating multiple-choice option symbol bias of large language models. </w:t>
      </w:r>
      <w:r>
        <w:t xml:space="preserve">In </w:t>
      </w:r>
      <w:r>
        <w:rPr>
          <w:i/>
        </w:rPr>
        <w:t>Proceedings of the 2025 Conference of the Nations of the Americas Chapter of the Association for Computational Linguistics: Human Language Technologies (Volume 1: Long Papers)</w:t>
      </w:r>
      <w:r>
        <w:t xml:space="preserve"> (pp. 1902–1917). Association for Computational Linguistics. https://doi.org/10.18653/v1/2025.naacl-long.95</w:t>
      </w:r>
    </w:p>
    <w:p w14:paraId="60A7A0E5">
      <w:pPr>
        <w:widowControl/>
        <w:spacing w:before="0" w:after="0"/>
        <w:ind w:left="720" w:hanging="720"/>
      </w:pPr>
      <w:r/>
      <w:r/>
      <w:r/>
      <w:r>
        <w:rPr>
          <w:i/>
        </w:rPr>
      </w:r>
      <w:r/>
      <w:r>
        <w:rPr>
          <w:i/>
        </w:rPr>
      </w:r>
      <w:r/>
      <w:r/>
      <w:r/>
      <w:r>
        <w:t xml:space="preserve">Zhang, Y., Li, Y., Cui, L., Cai, D., Liu, L., Fu, T., Huang, X., Zhao, E., Zhang, Y., Chen, Y., Wang, L., Luu, A. T., Bi, W., Shi, F., &amp; Shi, S. (2025). </w:t>
      </w:r>
      <w:r>
        <w:t xml:space="preserve">Siren's song in the AI ocean: A survey on hallucination in large language models. </w:t>
      </w:r>
      <w:r>
        <w:rPr>
          <w:i/>
        </w:rPr>
        <w:t>Computational Linguistics</w:t>
      </w:r>
      <w:r>
        <w:t xml:space="preserve">, </w:t>
      </w:r>
      <w:r>
        <w:rPr>
          <w:i/>
        </w:rPr>
        <w:t>51</w:t>
      </w:r>
      <w:r>
        <w:t>(4)</w:t>
      </w:r>
      <w:r>
        <w:t>, 1373–1418.</w:t>
      </w:r>
      <w:r>
        <w:t xml:space="preserve"> https://doi.org/10.1162/coli.a.16</w:t>
      </w:r>
    </w:p>
    <w:p w14:paraId="6B92E2B1">
      <w:pPr>
        <w:widowControl/>
        <w:spacing w:before="0" w:after="0"/>
        <w:ind w:left="720" w:hanging="720"/>
      </w:pPr>
      <w:r/>
      <w:r/>
      <w:r/>
      <w:r/>
      <w:r>
        <w:rPr>
          <w:i/>
        </w:rPr>
      </w:r>
      <w:r/>
      <w:r>
        <w:t xml:space="preserve">Zhao, W., Strube, M., &amp; Eger, S. (2023). </w:t>
      </w:r>
      <w:r>
        <w:t xml:space="preserve">DiscoScore: Evaluating text generation with BERT and discourse coherence. </w:t>
      </w:r>
      <w:r>
        <w:t xml:space="preserve">In </w:t>
      </w:r>
      <w:r>
        <w:rPr>
          <w:i/>
        </w:rPr>
        <w:t>Proceedings of the 17th Conference of the European Chapter of the Association for Computational Linguistics</w:t>
      </w:r>
      <w:r>
        <w:t xml:space="preserve"> (pp. 3865–3883). Association for Computational Linguistics. https://doi.org/10.18653/v1/2023.eacl-main.278</w:t>
      </w:r>
    </w:p>
    <w:p w14:paraId="190FA5CB">
      <w:pPr>
        <w:widowControl/>
        <w:spacing w:before="0" w:after="0"/>
        <w:ind w:left="720" w:hanging="720"/>
      </w:pPr>
      <w:r/>
      <w:r/>
      <w:r>
        <w:rPr>
          <w:i/>
        </w:rPr>
      </w:r>
      <w:r/>
      <w:r/>
      <w:r/>
      <w:r>
        <w:rPr>
          <w:i/>
        </w:rPr>
      </w:r>
      <w:r/>
      <w:r>
        <w:t xml:space="preserve">Zhou, J., Lu, T., Mishra, S., Brahma, S., Basu, S., Luan, Y., Zhou, D., &amp; Hou, L. (2023). </w:t>
      </w:r>
      <w:r>
        <w:rPr>
          <w:i/>
        </w:rPr>
        <w:t>Instruction-following evaluation for large language models</w:t>
      </w:r>
      <w:r>
        <w:t xml:space="preserve"> [Preprint]. arXiv. https://doi.org/10.48550/arXiv.2311.07911</w:t>
      </w:r>
    </w:p>
    <w:p w14:paraId="68E7F032">
      <w:pPr>
        <w:widowControl/>
        <w:spacing w:before="0" w:after="0"/>
        <w:ind w:left="720" w:hanging="720"/>
      </w:pPr>
      <w:r/>
      <w:r/>
      <w:r/>
      <w:r/>
      <w:r>
        <w:rPr>
          <w:i/>
        </w:rPr>
      </w:r>
      <w:r/>
      <w:r>
        <w:t xml:space="preserve">Zhu, R., Qi, J., &amp; Lau, J. H. (2023). </w:t>
      </w:r>
      <w:r>
        <w:t xml:space="preserve">Annotating and detecting fine-grained factual errors for dialogue summarization. </w:t>
      </w:r>
      <w:r>
        <w:t xml:space="preserve">In </w:t>
      </w:r>
      <w:r>
        <w:rPr>
          <w:i/>
        </w:rPr>
        <w:t>Proceedings of the 61st Annual Meeting of the Association for Computational Linguistics (Volume 1: Long Papers)</w:t>
      </w:r>
      <w:r>
        <w:t xml:space="preserve"> (pp. 6825–6845). Association for Computational Linguistics. https://doi.org/10.18653/v1/2023.acl-long.377</w:t>
      </w:r>
    </w:p>
    <w:p w14:paraId="17866932">
      <w:pPr>
        <w:widowControl/>
        <w:spacing w:before="0" w:after="0"/>
        <w:ind w:left="720" w:hanging="720"/>
      </w:pPr>
      <w:r/>
      <w:r/>
      <w:r>
        <w:rPr>
          <w:i/>
        </w:rPr>
      </w:r>
      <w:r/>
      <w:r/>
      <w:r/>
      <w:r>
        <w:rPr>
          <w:i/>
        </w:rPr>
      </w:r>
      <w:r/>
      <w:r>
        <w:t xml:space="preserve">Zuo, J., Velikanov, M., Chahed, I., Belkada, Y., Rhayem, D. E., Kunsch, G., Hacid, H., Yous, H., Farhat, B., Khadraoui, I., Farooq, M., Campesan, G., Cojocaru, R., Djilali, Y., Hu, S., Chaabane, I., Khanna, P., Seddik, M. E. A., Huynh, N. D., ... Frikha, S. (2025). </w:t>
      </w:r>
      <w:r>
        <w:rPr>
          <w:i/>
        </w:rPr>
        <w:t>Falcon-H1: A family of hybrid-head language models redefining efficiency and performance</w:t>
      </w:r>
      <w:r>
        <w:t xml:space="preserve"> [Preprint]. arXiv. https://doi.org/10.48550/arXiv.2507.22448</w:t>
      </w:r>
    </w:p>
    <w:sectPr>
      <w:headerReference r:id="rId7" w:type="first"/>
      <w:footerReference r:id="rId10" w:type="first"/>
      <w:headerReference r:id="rId5" w:type="default"/>
      <w:footerReference r:id="rId8" w:type="default"/>
      <w:headerReference r:id="rId6" w:type="even"/>
      <w:footerReference r:id="rId9" w:type="even"/>
      <w:pgSz w:w="11906" w:h="16838"/>
      <w:pgMar w:top="1224" w:right="1224" w:bottom="1224" w:left="1224"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F1281">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1E5D">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6402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33F60">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EF2F2">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0A7CE">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05EA8"/>
    <w:rsid w:val="04B85ED2"/>
    <w:rsid w:val="137333F8"/>
    <w:rsid w:val="14D70FE5"/>
    <w:rsid w:val="1B7711E6"/>
    <w:rsid w:val="21BD027C"/>
    <w:rsid w:val="26E87362"/>
    <w:rsid w:val="2B6526BF"/>
    <w:rsid w:val="3B62589E"/>
    <w:rsid w:val="3B8B680F"/>
    <w:rsid w:val="464F265E"/>
    <w:rsid w:val="47AC0A26"/>
    <w:rsid w:val="48947037"/>
    <w:rsid w:val="5D84769F"/>
    <w:rsid w:val="5DCA6E6D"/>
    <w:rsid w:val="63033C02"/>
    <w:rsid w:val="65FF22E5"/>
    <w:rsid w:val="68122C4A"/>
    <w:rsid w:val="6B9A0018"/>
    <w:rsid w:val="6BAD22E1"/>
    <w:rsid w:val="6EA64798"/>
    <w:rsid w:val="6FF5793D"/>
    <w:rsid w:val="70296B0F"/>
    <w:rsid w:val="7AAC50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jc w:val="both"/>
    </w:pPr>
    <w:rPr>
      <w:rFonts w:ascii="Times New Roman" w:hAnsi="Times New Roman" w:eastAsia="Times New Roman" w:cstheme="minorBidi"/>
      <w:color w:val="000000"/>
      <w:sz w:val="21"/>
      <w:szCs w:val="22"/>
      <w:lang w:val="en-US" w:eastAsia="en-US" w:bidi="ar-SA"/>
    </w:rPr>
  </w:style>
  <w:style w:type="paragraph" w:styleId="2">
    <w:name w:val="heading 1"/>
    <w:basedOn w:val="1"/>
    <w:next w:val="1"/>
    <w:link w:val="139"/>
    <w:qFormat/>
    <w:uiPriority w:val="9"/>
    <w:pPr>
      <w:keepNext/>
      <w:keepLines/>
      <w:spacing w:before="160" w:after="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0"/>
    <w:unhideWhenUsed/>
    <w:qFormat/>
    <w:uiPriority w:val="9"/>
    <w:pPr>
      <w:keepNext/>
      <w:keepLines/>
      <w:spacing w:before="160" w:after="8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i/>
      <w:color w:val="000000"/>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14:textFill>
        <w14:solidFill>
          <w14:schemeClr w14:val="accent1"/>
        </w14:solidFill>
      </w14:textFill>
      <w:color w:val="000000"/>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14:textFill>
        <w14:solidFill>
          <w14:schemeClr w14:val="tx1">
            <w14:lumMod w14:val="75000"/>
            <w14:lumOff w14:val="25000"/>
          </w14:schemeClr>
        </w14:solidFill>
      </w14:textFill>
      <w:color w:val="000000"/>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000000"/>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keepNext/>
      <w:spacing w:before="120" w:after="60" w:line="240" w:lineRule="auto"/>
      <w:jc w:val="center"/>
    </w:pPr>
    <w:rPr>
      <w:rFonts w:ascii="Times New Roman" w:hAnsi="Times New Roman" w:eastAsia="Times New Roman"/>
      <w:bCs/>
      <w:color w:val="000000"/>
      <w:sz w:val="20"/>
      <w:szCs w:val="18"/>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40"/>
      <w:contextualSpacing/>
    </w:pPr>
    <w:rPr>
      <w:rFonts w:ascii="Arial" w:hAnsi="Arial"/>
      <w:sz w:val="20"/>
    </w:rPr>
  </w:style>
  <w:style w:type="paragraph" w:styleId="24">
    <w:name w:val="List Bullet 2"/>
    <w:basedOn w:val="1"/>
    <w:unhideWhenUsed/>
    <w:qFormat/>
    <w:uiPriority w:val="99"/>
    <w:pPr>
      <w:numPr>
        <w:ilvl w:val="0"/>
        <w:numId w:val="2"/>
      </w:numPr>
      <w:spacing w:after="40"/>
      <w:contextualSpacing/>
    </w:pPr>
    <w:rPr>
      <w:rFonts w:ascii="Arial" w:hAnsi="Arial"/>
      <w:sz w:val="20"/>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40"/>
      <w:contextualSpacing/>
    </w:pPr>
    <w:rPr>
      <w:rFonts w:ascii="Arial" w:hAnsi="Arial"/>
      <w:sz w:val="20"/>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000000"/>
      <w:spacing w:val="15"/>
      <w:sz w:val="22"/>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before="200" w:after="80" w:line="240" w:lineRule="auto"/>
      <w:contextualSpacing/>
    </w:pPr>
    <w:rPr>
      <w:rFonts w:asciiTheme="majorHAnsi" w:hAnsiTheme="majorHAnsi" w:eastAsiaTheme="majorEastAsia" w:cstheme="majorBidi"/>
      <w:b/>
      <w:color w:val="000000"/>
      <w:spacing w:val="5"/>
      <w:kern w:val="28"/>
      <w:sz w:val="3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15001</Words>
  <Characters>99177</Characters>
  <Lines>0</Lines>
  <Paragraphs>0</Paragraphs>
  <TotalTime>340</TotalTime>
  <ScaleCrop>false</ScaleCrop>
  <LinksUpToDate>false</LinksUpToDate>
  <CharactersWithSpaces>113413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cp:lastModifiedBy/>
  <dcterms:modified xsi:type="dcterms:W3CDTF">2026-09-21T00:17:29Z</dcterms:modified>
  <dc:title>Reliable Evaluation of Semantic-Coherence Failures in Generated Text: Human Annotation, Computational Recovery, and LLM-Judge Sensitivity</dc:title>
  <cp:revision>1</cp:revision>
  <dc:description/>
  <cp:keywords/>
</cp:coreProperties>
</file>