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3" Type="http://schemas.openxmlformats.org/package/2006/relationships/metadata/core-properties" Target="docProps/core.xml"/><Relationship Id="rId2"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D9FBDE">
      <w:pPr>
        <w:spacing w:before="440" w:after="100" w:line="276" w:lineRule="auto"/>
        <w:jc w:val="both"/>
      </w:pPr>
      <w:bookmarkStart w:id="0" w:name="_GoBack"/>
      <w:bookmarkEnd w:id="0"/>
      <w:r>
        <w:rPr>
          <w:rFonts w:ascii="Times New Roman" w:hAnsi="Times New Roman" w:eastAsia="Times New Roman"/>
          <w:b/>
          <w:i w:val="0"/>
          <w:color w:val="000000"/>
          <w:sz w:val="32"/>
        </w:rPr>
        <w:t>Supplementary Materials</w:t>
      </w:r>
    </w:p>
    <w:p w14:paraId="26F0BE82">
      <w:pPr>
        <w:widowControl/>
        <w:spacing w:before="200" w:after="100" w:line="276" w:lineRule="auto"/>
        <w:jc w:val="both"/>
      </w:pPr>
      <w:r>
        <w:t>Reliable Evaluation of Semantic-Coherence Failures in Generated Text: Human Annotation, Computational Recovery, and LLM-Judge Sensitivity</w:t>
      </w:r>
    </w:p>
    <w:p w14:paraId="6EDBFF88">
      <w:pPr>
        <w:widowControl/>
        <w:spacing w:after="100" w:line="276" w:lineRule="auto"/>
        <w:jc w:val="both"/>
      </w:pPr>
      <w:r>
        <w:t>Cross-reference and scope. The main article contains four original research questions (RQ1–RQ4) and describes its evidence under three complementary contribution strands; these are distinct organisational levels, not seven research questions. The subsequently completed E1/E2 answer-code and option-order perturbations and the human–judge association analysis are post-hoc exploratory validity audits related to RQ4, not prospectively specified confirmatory questions. This supplement preserves the locked A1–A3 reliability record and the separate A4 resolution history leading to FINAL GOLD v1.0, and documents the executed M0–M4 evaluations, evidence and leakage controls, evaluator serialization, and later sensitivity analyses. Sources cited here appear in the main reference list.</w:t>
      </w:r>
      <w:r/>
    </w:p>
    <w:p w14:paraId="6A8FC52A">
      <w:pPr>
        <w:pStyle w:val="2"/>
        <w:keepNext/>
        <w:keepLines/>
        <w:pageBreakBefore w:val="0"/>
        <w:spacing w:before="200" w:after="80"/>
      </w:pPr>
      <w:r>
        <w:rPr>
          <w:rFonts w:ascii="Times New Roman" w:hAnsi="Times New Roman" w:eastAsia="Times New Roman"/>
          <w:color w:val="000000"/>
        </w:rPr>
        <w:t>Contents</w:t>
      </w:r>
    </w:p>
    <w:p w14:paraId="671311CC">
      <w:pPr>
        <w:pStyle w:val="23"/>
      </w:pPr>
      <w:r>
        <w:t>S1. Prompt and task design, including AI-assisted prompt provenance</w:t>
      </w:r>
    </w:p>
    <w:p w14:paraId="5AA37602">
      <w:pPr>
        <w:pStyle w:val="23"/>
      </w:pPr>
      <w:r>
        <w:t>S2. Three-axis annotation framework, construct clarification, and human-rating workflow</w:t>
      </w:r>
    </w:p>
    <w:p>
      <w:r>
        <w:t>Reference interpretation. Annotation Manual v1.2_final_locked governs the independent frozen A1–A3 ratings. The later adjudicated FINAL GOLD v1.0 is an operational reference and not an independent external gold standard; historical provisional dataset v1.3 is not a newer annotation manual. Claims of independent verification should not be inferred from same-adjudicator re-review.</w:t>
      </w:r>
    </w:p>
    <w:p w14:paraId="77A47820">
      <w:pPr>
        <w:pStyle w:val="23"/>
      </w:pPr>
      <w:r>
        <w:t>S3. Checkpoint registry, generation settings, and provenance</w:t>
      </w:r>
    </w:p>
    <w:p w14:paraId="428575D3">
      <w:pPr>
        <w:pStyle w:val="23"/>
      </w:pPr>
      <w:r>
        <w:t>S4. Human statistical analysis, data layers, and reporting policy</w:t>
      </w:r>
    </w:p>
    <w:p w14:paraId="217FAC66">
      <w:pPr>
        <w:pStyle w:val="23"/>
      </w:pPr>
      <w:r>
        <w:t>S5. Extended human results and refrozen FINAL GOLD distributions</w:t>
      </w:r>
    </w:p>
    <w:p w14:paraId="273931AB">
      <w:pPr>
        <w:pStyle w:val="23"/>
      </w:pPr>
      <w:r>
        <w:t>S6. Senior adjudication, targeted same-adjudicator manual-consistency re-review, and consistency freeze</w:t>
      </w:r>
    </w:p>
    <w:p w14:paraId="3E84B67D">
      <w:pPr>
        <w:pStyle w:val="23"/>
        <w:spacing w:after="80" w:line="276" w:lineRule="auto"/>
        <w:jc w:val="both"/>
      </w:pPr>
      <w:r>
        <w:t>S7. Pre-resolution disagreement diagnostics and annotator marginals</w:t>
      </w:r>
    </w:p>
    <w:p w14:paraId="38D9AA77">
      <w:pPr>
        <w:pStyle w:val="23"/>
      </w:pPr>
      <w:r>
        <w:t>S8. Provenance, data access, transfer scope, and reproducibility assets</w:t>
      </w:r>
    </w:p>
    <w:p w14:paraId="7F6CC7FD">
      <w:pPr>
        <w:pStyle w:val="23"/>
      </w:pPr>
      <w:r>
        <w:t>S9. Computational recovery protocol and completed M0–M4 results</w:t>
      </w:r>
    </w:p>
    <w:p>
      <w:r>
        <w:t>S10. Publication metadata and research-integrity statements</w:t>
      </w:r>
    </w:p>
    <w:p>
      <w:pPr>
        <w:pStyle w:val="23"/>
      </w:pPr>
      <w:r>
        <w:t>S11. Companion-study and novelty-positioning boundary</w:t>
      </w:r>
    </w:p>
    <w:p>
      <w:pPr>
        <w:widowControl/>
      </w:pPr>
      <w:r>
        <w:t>The predefined code-family and semantic/grounding boundary structure are treated as prior study infrastructure developed in a separate companion conceptual manuscript. The present article claims a distinct auditable empirical measurement-and-recovery sequence—independent human application to a distinct 720-output corpus, frozen pre-resolution reliability, senior-adjudicated reference construction, hierarchical computational recovery, and validity auditing—not for invention of the taxonomy. No prompt, source, model output, annotation, case identifier, or companion-pilot adjudication is shared between the two empirical corpora (Table S82).</w:t>
      </w:r>
    </w:p>
    <w:p w14:paraId="5BBAE873">
      <w:pPr>
        <w:pStyle w:val="3"/>
        <w:keepNext/>
        <w:keepLines/>
      </w:pPr>
      <w:r>
        <w:rPr>
          <w:color w:val="000000"/>
        </w:rPr>
        <w:t>How to use this supplement</w:t>
      </w:r>
    </w:p>
    <w:p>
      <w:pPr>
        <w:widowControl/>
      </w:pPr>
      <w:r>
        <w:t>The supplement documents the detailed annotation, statistical, provenance, and computational procedures that support the main article without changing its inferential scope. S1–S3 cover prompt/codebook design, S4–S8 cover human reliability and adjudication, S9 provides computational execution and robustness detail, and S10–S12 record integrity, companion-study boundaries, and deferred future validation. Where the main article reports a headline result, the corresponding supplement table supplies the detailed estimator, distribution, or execution record.</w:t>
      </w:r>
    </w:p>
    <w:p w14:paraId="4ECB9579">
      <w:pPr>
        <w:pStyle w:val="2"/>
        <w:keepNext/>
        <w:keepLines/>
        <w:pageBreakBefore w:val="0"/>
        <w:spacing w:before="200" w:after="80"/>
      </w:pPr>
      <w:r>
        <w:rPr>
          <w:rFonts w:ascii="Times New Roman" w:hAnsi="Times New Roman" w:eastAsia="Times New Roman"/>
          <w:color w:val="000000"/>
        </w:rPr>
        <w:t>S1. Prompt and Task Design</w:t>
      </w:r>
    </w:p>
    <w:p w14:paraId="59A0AC0B">
      <w:pPr>
        <w:pStyle w:val="3"/>
        <w:keepNext/>
        <w:keepLines/>
        <w:pageBreakBefore w:val="0"/>
        <w:spacing w:before="140" w:after="80"/>
      </w:pPr>
      <w:r>
        <w:rPr>
          <w:rFonts w:ascii="Times New Roman" w:hAnsi="Times New Roman" w:eastAsia="Times New Roman"/>
          <w:color w:val="000000"/>
        </w:rPr>
        <w:t>S1.1 Purpose and design boundary</w:t>
      </w:r>
    </w:p>
    <w:p w14:paraId="30B453AA">
      <w:pPr>
        <w:widowControl/>
        <w:spacing w:after="100" w:line="276" w:lineRule="auto"/>
        <w:jc w:val="both"/>
      </w:pPr>
      <w:r>
        <w:t>The prompt bank tests operational coverage, annotation reliability, severity discrimination, and semantic–hallucination boundaries under controlled conditions. It is not a general-purpose benchmark or an estimate of natural failure prevalence. The six tasks target topic, causal, discourse, goal-alignment, grounding, entity, and temporal demands.</w:t>
        <w:t xml:space="preserve"> The three rubric fields are rule-coupled operational variables, not independent psychometric factors; prompt coverage was intentionally elicited and cannot validate an exhaustive failure ontology.</w:t>
      </w:r>
    </w:p>
    <w:p w14:paraId="7F063CC7">
      <w:pPr>
        <w:widowControl/>
        <w:spacing w:after="100" w:line="276" w:lineRule="auto"/>
        <w:jc w:val="both"/>
      </w:pPr>
      <w:r>
        <w:t>The 120 unique prompts are equally divided across six categories and crossed with all six checkpoints, yielding 720 output cases. The principal prompt-level sampling unit is 120; each task-by-checkpoint cell contains 20 outputs. Prompt-cluster bootstrap resampling retains all six checkpoint outputs associated with each sampled prompt. The 20 prompts within each task were manually selected from the design matrix, and no within-task subtype variable was retained. Table S1 reports allocation, source availability, and visible input-length summaries.</w:t>
        <w:t xml:space="preserve"> Outputs sharing a Prompt_ID are related experimental cases, so 720 rows do not constitute 720 independent draws from an external use population, and the task-stratified sampling frame cannot supply natural prevalence rates.</w:t>
      </w:r>
    </w:p>
    <w:p w14:paraId="1BDE4088">
      <w:pPr>
        <w:widowControl/>
        <w:spacing w:after="100" w:line="276" w:lineRule="auto"/>
        <w:jc w:val="both"/>
      </w:pPr>
      <w:r>
        <w:t>The 720-case corpus is independent of the earlier 400-case pilot: no prompt, source passage, output, annotation, or case identifier is shared. Only the taxonomy and boundary framework provide conceptual continuity. That earlier pilot appears in a separate conceptual taxonomy manuscript currently under review. The present Supplement therefore treats the locked taxonomy as prior study infrastructure, not as a novel contribution of the current paper, and reproduces the operational definitions needed to interpret the current human and computational analyses.</w:t>
      </w:r>
    </w:p>
    <w:p w14:paraId="4BBADCCC">
      <w:pPr>
        <w:widowControl/>
      </w:pPr>
      <w:r>
        <w:t>Note. Word counts are whitespace-delimited descriptions of the visible archived strings, not tokenizer-specific counts. The longest visible full input was 80 words; exact run-specific token counts and truncation diagnostics were not retained.</w:t>
      </w:r>
    </w:p>
    <w:p w14:paraId="4484A3C7">
      <w:pPr>
        <w:pStyle w:val="16"/>
        <w:keepNext/>
        <w:keepLines/>
        <w:spacing w:before="120" w:after="60"/>
        <w:jc w:val="left"/>
      </w:pPr>
      <w:r>
        <w:rPr>
          <w:rFonts w:ascii="Times New Roman" w:hAnsi="Times New Roman" w:eastAsia="Times New Roman" w:cs="Times New Roman"/>
          <w:b/>
          <w:sz w:val="17"/>
        </w:rPr>
        <w:t>Table S1.</w:t>
      </w:r>
      <w:r>
        <w:rPr>
          <w:rFonts w:ascii="Times New Roman" w:hAnsi="Times New Roman" w:eastAsia="Times New Roman" w:cs="Times New Roman"/>
          <w:b w:val="0"/>
          <w:sz w:val="17"/>
        </w:rPr>
        <w:t xml:space="preserve"> Prompt allocation, source availability, visible input length, and primary semantic demand.</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1405"/>
        <w:gridCol w:w="1405"/>
        <w:gridCol w:w="1405"/>
        <w:gridCol w:w="1405"/>
        <w:gridCol w:w="1405"/>
        <w:gridCol w:w="1405"/>
        <w:gridCol w:w="1405"/>
      </w:tblGrid>
      <w:tr w14:paraId="5A452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blHeader w:val="true"/>
          <w:jc w:val="center"/>
          <w:tblHeader w:val="true"/>
        </w:trPr>
        <w:tc>
          <w:tcPr>
            <w:tcW w:w="1405" w:type="dxa"/>
            <w:vAlign w:val="center"/>
            <w:tcMar>
              <w:top w:w="65" w:type="dxa"/>
              <w:start w:w="68" w:type="dxa"/>
              <w:bottom w:w="65" w:type="dxa"/>
              <w:end w:w="68" w:type="dxa"/>
            </w:tcMar>
            <w:shd w:val="clear" w:color="auto" w:fill="E8F0F8"/>
          </w:tcPr>
          <w:p w14:paraId="441CAB9C">
            <w:pPr>
              <w:spacing w:after="0" w:line="240" w:lineRule="auto" w:before="0"/>
              <w:jc w:val="center"/>
            </w:pPr>
            <w:r>
              <w:rPr>
                <w:rFonts w:ascii="Times New Roman" w:hAnsi="Times New Roman" w:eastAsia="Times New Roman" w:cs="Times New Roman"/>
                <w:b/>
                <w:color w:val="1E364D"/>
                <w:sz w:val="14"/>
              </w:rPr>
              <w:t>Task</w:t>
            </w:r>
          </w:p>
        </w:tc>
        <w:tc>
          <w:tcPr>
            <w:tcW w:w="1405" w:type="dxa"/>
            <w:vAlign w:val="center"/>
            <w:tcMar>
              <w:top w:w="65" w:type="dxa"/>
              <w:start w:w="68" w:type="dxa"/>
              <w:bottom w:w="65" w:type="dxa"/>
              <w:end w:w="68" w:type="dxa"/>
            </w:tcMar>
            <w:shd w:val="clear" w:color="auto" w:fill="E8F0F8"/>
          </w:tcPr>
          <w:p w14:paraId="0198D8BC">
            <w:pPr>
              <w:spacing w:after="0" w:line="240" w:lineRule="auto" w:before="0"/>
              <w:jc w:val="center"/>
            </w:pPr>
            <w:r>
              <w:rPr>
                <w:rFonts w:ascii="Times New Roman" w:hAnsi="Times New Roman" w:eastAsia="Times New Roman" w:cs="Times New Roman"/>
                <w:b/>
                <w:color w:val="1E364D"/>
                <w:sz w:val="14"/>
              </w:rPr>
              <w:t>Prompts</w:t>
            </w:r>
          </w:p>
        </w:tc>
        <w:tc>
          <w:tcPr>
            <w:tcW w:w="1405" w:type="dxa"/>
            <w:vAlign w:val="center"/>
            <w:tcMar>
              <w:top w:w="65" w:type="dxa"/>
              <w:start w:w="68" w:type="dxa"/>
              <w:bottom w:w="65" w:type="dxa"/>
              <w:end w:w="68" w:type="dxa"/>
            </w:tcMar>
            <w:shd w:val="clear" w:color="auto" w:fill="E8F0F8"/>
          </w:tcPr>
          <w:p w14:paraId="2594FCF9">
            <w:pPr>
              <w:spacing w:after="0" w:line="240" w:lineRule="auto" w:before="0"/>
              <w:jc w:val="center"/>
            </w:pPr>
            <w:r>
              <w:rPr>
                <w:rFonts w:ascii="Times New Roman" w:hAnsi="Times New Roman" w:eastAsia="Times New Roman" w:cs="Times New Roman"/>
                <w:b/>
                <w:color w:val="1E364D"/>
                <w:sz w:val="14"/>
              </w:rPr>
              <w:t>Source visible</w:t>
            </w:r>
          </w:p>
        </w:tc>
        <w:tc>
          <w:tcPr>
            <w:tcW w:w="1405" w:type="dxa"/>
            <w:vAlign w:val="center"/>
            <w:tcMar>
              <w:top w:w="65" w:type="dxa"/>
              <w:start w:w="68" w:type="dxa"/>
              <w:bottom w:w="65" w:type="dxa"/>
              <w:end w:w="68" w:type="dxa"/>
            </w:tcMar>
            <w:shd w:val="clear" w:color="auto" w:fill="E8F0F8"/>
          </w:tcPr>
          <w:p w14:paraId="70FC3437">
            <w:pPr>
              <w:spacing w:after="0" w:line="240" w:lineRule="auto" w:before="0"/>
              <w:jc w:val="center"/>
            </w:pPr>
            <w:r>
              <w:rPr>
                <w:rFonts w:ascii="Times New Roman" w:hAnsi="Times New Roman" w:eastAsia="Times New Roman" w:cs="Times New Roman"/>
                <w:b/>
                <w:color w:val="1E364D"/>
                <w:sz w:val="14"/>
              </w:rPr>
              <w:t>Prompt words median (range)</w:t>
            </w:r>
          </w:p>
        </w:tc>
        <w:tc>
          <w:tcPr>
            <w:tcW w:w="1405" w:type="dxa"/>
            <w:vAlign w:val="center"/>
            <w:tcMar>
              <w:top w:w="65" w:type="dxa"/>
              <w:start w:w="68" w:type="dxa"/>
              <w:bottom w:w="65" w:type="dxa"/>
              <w:end w:w="68" w:type="dxa"/>
            </w:tcMar>
            <w:shd w:val="clear" w:color="auto" w:fill="E8F0F8"/>
          </w:tcPr>
          <w:p w14:paraId="7D519AC0">
            <w:pPr>
              <w:spacing w:after="0" w:line="240" w:lineRule="auto" w:before="0"/>
              <w:jc w:val="center"/>
            </w:pPr>
            <w:r>
              <w:rPr>
                <w:rFonts w:ascii="Times New Roman" w:hAnsi="Times New Roman" w:eastAsia="Times New Roman" w:cs="Times New Roman"/>
                <w:b/>
                <w:color w:val="1E364D"/>
                <w:sz w:val="14"/>
              </w:rPr>
              <w:t>Source words median (range)</w:t>
            </w:r>
          </w:p>
        </w:tc>
        <w:tc>
          <w:tcPr>
            <w:tcW w:w="1405" w:type="dxa"/>
            <w:vAlign w:val="center"/>
            <w:tcMar>
              <w:top w:w="65" w:type="dxa"/>
              <w:start w:w="68" w:type="dxa"/>
              <w:bottom w:w="65" w:type="dxa"/>
              <w:end w:w="68" w:type="dxa"/>
            </w:tcMar>
            <w:shd w:val="clear" w:color="auto" w:fill="E8F0F8"/>
          </w:tcPr>
          <w:p w14:paraId="305EF6B9">
            <w:pPr>
              <w:spacing w:after="0" w:line="240" w:lineRule="auto" w:before="0"/>
              <w:jc w:val="center"/>
            </w:pPr>
            <w:r>
              <w:rPr>
                <w:rFonts w:ascii="Times New Roman" w:hAnsi="Times New Roman" w:eastAsia="Times New Roman" w:cs="Times New Roman"/>
                <w:b/>
                <w:color w:val="1E364D"/>
                <w:sz w:val="14"/>
              </w:rPr>
              <w:t>Full visible input words median (range)</w:t>
            </w:r>
          </w:p>
        </w:tc>
        <w:tc>
          <w:tcPr>
            <w:tcW w:w="1405" w:type="dxa"/>
            <w:vAlign w:val="center"/>
            <w:tcMar>
              <w:top w:w="65" w:type="dxa"/>
              <w:start w:w="68" w:type="dxa"/>
              <w:bottom w:w="65" w:type="dxa"/>
              <w:end w:w="68" w:type="dxa"/>
            </w:tcMar>
            <w:shd w:val="clear" w:color="auto" w:fill="E8F0F8"/>
          </w:tcPr>
          <w:p w14:paraId="67F43CE2">
            <w:pPr>
              <w:spacing w:after="0" w:line="240" w:lineRule="auto" w:before="0"/>
              <w:jc w:val="center"/>
            </w:pPr>
            <w:r>
              <w:rPr>
                <w:rFonts w:ascii="Times New Roman" w:hAnsi="Times New Roman" w:eastAsia="Times New Roman" w:cs="Times New Roman"/>
                <w:b/>
                <w:color w:val="1E364D"/>
                <w:sz w:val="14"/>
              </w:rPr>
              <w:t>Primary demand</w:t>
            </w:r>
          </w:p>
        </w:tc>
      </w:tr>
      <w:tr w14:paraId="4E9D1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405" w:type="dxa"/>
            <w:vAlign w:val="center"/>
            <w:tcMar>
              <w:top w:w="65" w:type="dxa"/>
              <w:start w:w="68" w:type="dxa"/>
              <w:bottom w:w="65" w:type="dxa"/>
              <w:end w:w="68" w:type="dxa"/>
            </w:tcMar>
          </w:tcPr>
          <w:p w14:paraId="16ACB7C7">
            <w:pPr>
              <w:spacing w:after="0" w:line="240" w:lineRule="auto" w:before="0"/>
            </w:pPr>
            <w:r>
              <w:rPr>
                <w:rFonts w:ascii="Times New Roman" w:hAnsi="Times New Roman" w:eastAsia="Times New Roman" w:cs="Times New Roman"/>
                <w:b w:val="0"/>
                <w:sz w:val="14"/>
              </w:rPr>
              <w:t>Summarisation</w:t>
            </w:r>
          </w:p>
        </w:tc>
        <w:tc>
          <w:tcPr>
            <w:tcW w:w="1405" w:type="dxa"/>
            <w:vAlign w:val="center"/>
            <w:tcMar>
              <w:top w:w="65" w:type="dxa"/>
              <w:start w:w="68" w:type="dxa"/>
              <w:bottom w:w="65" w:type="dxa"/>
              <w:end w:w="68" w:type="dxa"/>
            </w:tcMar>
          </w:tcPr>
          <w:p w14:paraId="37B3C7BF">
            <w:pPr>
              <w:spacing w:after="0" w:line="240" w:lineRule="auto" w:before="0"/>
            </w:pPr>
            <w:r>
              <w:rPr>
                <w:rFonts w:ascii="Times New Roman" w:hAnsi="Times New Roman" w:eastAsia="Times New Roman" w:cs="Times New Roman"/>
                <w:b w:val="0"/>
                <w:sz w:val="14"/>
              </w:rPr>
              <w:t>20</w:t>
            </w:r>
          </w:p>
        </w:tc>
        <w:tc>
          <w:tcPr>
            <w:tcW w:w="1405" w:type="dxa"/>
            <w:vAlign w:val="center"/>
            <w:tcMar>
              <w:top w:w="65" w:type="dxa"/>
              <w:start w:w="68" w:type="dxa"/>
              <w:bottom w:w="65" w:type="dxa"/>
              <w:end w:w="68" w:type="dxa"/>
            </w:tcMar>
          </w:tcPr>
          <w:p w14:paraId="64CC142A">
            <w:pPr>
              <w:spacing w:after="0" w:line="240" w:lineRule="auto" w:before="0"/>
            </w:pPr>
            <w:r>
              <w:rPr>
                <w:rFonts w:ascii="Times New Roman" w:hAnsi="Times New Roman" w:eastAsia="Times New Roman" w:cs="Times New Roman"/>
                <w:b w:val="0"/>
                <w:sz w:val="14"/>
              </w:rPr>
              <w:t>20</w:t>
            </w:r>
          </w:p>
        </w:tc>
        <w:tc>
          <w:tcPr>
            <w:tcW w:w="1405" w:type="dxa"/>
            <w:vAlign w:val="center"/>
            <w:tcMar>
              <w:top w:w="65" w:type="dxa"/>
              <w:start w:w="68" w:type="dxa"/>
              <w:bottom w:w="65" w:type="dxa"/>
              <w:end w:w="68" w:type="dxa"/>
            </w:tcMar>
          </w:tcPr>
          <w:p w14:paraId="069EEFC9">
            <w:pPr>
              <w:spacing w:after="0" w:line="240" w:lineRule="auto" w:before="0"/>
            </w:pPr>
            <w:r>
              <w:rPr>
                <w:rFonts w:ascii="Times New Roman" w:hAnsi="Times New Roman" w:eastAsia="Times New Roman" w:cs="Times New Roman"/>
                <w:b w:val="0"/>
                <w:sz w:val="14"/>
              </w:rPr>
              <w:t>15 (10–23)</w:t>
            </w:r>
          </w:p>
        </w:tc>
        <w:tc>
          <w:tcPr>
            <w:tcW w:w="1405" w:type="dxa"/>
            <w:vAlign w:val="center"/>
            <w:tcMar>
              <w:top w:w="65" w:type="dxa"/>
              <w:start w:w="68" w:type="dxa"/>
              <w:bottom w:w="65" w:type="dxa"/>
              <w:end w:w="68" w:type="dxa"/>
            </w:tcMar>
          </w:tcPr>
          <w:p w14:paraId="40C0F27E">
            <w:pPr>
              <w:spacing w:after="0" w:line="240" w:lineRule="auto" w:before="0"/>
            </w:pPr>
            <w:r>
              <w:rPr>
                <w:rFonts w:ascii="Times New Roman" w:hAnsi="Times New Roman" w:eastAsia="Times New Roman" w:cs="Times New Roman"/>
                <w:b w:val="0"/>
                <w:sz w:val="14"/>
              </w:rPr>
              <w:t>43 (36–55)</w:t>
            </w:r>
          </w:p>
        </w:tc>
        <w:tc>
          <w:tcPr>
            <w:tcW w:w="1405" w:type="dxa"/>
            <w:vAlign w:val="center"/>
            <w:tcMar>
              <w:top w:w="65" w:type="dxa"/>
              <w:start w:w="68" w:type="dxa"/>
              <w:bottom w:w="65" w:type="dxa"/>
              <w:end w:w="68" w:type="dxa"/>
            </w:tcMar>
          </w:tcPr>
          <w:p w14:paraId="6248BEDC">
            <w:pPr>
              <w:spacing w:after="0" w:line="240" w:lineRule="auto" w:before="0"/>
            </w:pPr>
            <w:r>
              <w:rPr>
                <w:rFonts w:ascii="Times New Roman" w:hAnsi="Times New Roman" w:eastAsia="Times New Roman" w:cs="Times New Roman"/>
                <w:b w:val="0"/>
                <w:sz w:val="14"/>
              </w:rPr>
              <w:t>60 (53–80)</w:t>
            </w:r>
          </w:p>
        </w:tc>
        <w:tc>
          <w:tcPr>
            <w:tcW w:w="1405" w:type="dxa"/>
            <w:vAlign w:val="center"/>
            <w:tcMar>
              <w:top w:w="65" w:type="dxa"/>
              <w:start w:w="68" w:type="dxa"/>
              <w:bottom w:w="65" w:type="dxa"/>
              <w:end w:w="68" w:type="dxa"/>
            </w:tcMar>
          </w:tcPr>
          <w:p w14:paraId="1E07E209">
            <w:pPr>
              <w:spacing w:after="0" w:line="240" w:lineRule="auto" w:before="0"/>
            </w:pPr>
            <w:r>
              <w:rPr>
                <w:rFonts w:ascii="Times New Roman" w:hAnsi="Times New Roman" w:eastAsia="Times New Roman" w:cs="Times New Roman"/>
                <w:b w:val="0"/>
                <w:sz w:val="14"/>
              </w:rPr>
              <w:t>Meaning preservation and discourse structure</w:t>
            </w:r>
          </w:p>
        </w:tc>
      </w:tr>
      <w:tr w14:paraId="2212A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405" w:type="dxa"/>
            <w:vAlign w:val="center"/>
            <w:tcMar>
              <w:top w:w="65" w:type="dxa"/>
              <w:start w:w="68" w:type="dxa"/>
              <w:bottom w:w="65" w:type="dxa"/>
              <w:end w:w="68" w:type="dxa"/>
            </w:tcMar>
          </w:tcPr>
          <w:p w14:paraId="2F2C7B5D">
            <w:pPr>
              <w:spacing w:after="0" w:line="240" w:lineRule="auto" w:before="0"/>
            </w:pPr>
            <w:r>
              <w:rPr>
                <w:rFonts w:ascii="Times New Roman" w:hAnsi="Times New Roman" w:eastAsia="Times New Roman" w:cs="Times New Roman"/>
                <w:b w:val="0"/>
                <w:sz w:val="14"/>
              </w:rPr>
              <w:t>Question answering</w:t>
            </w:r>
          </w:p>
        </w:tc>
        <w:tc>
          <w:tcPr>
            <w:tcW w:w="1405" w:type="dxa"/>
            <w:vAlign w:val="center"/>
            <w:tcMar>
              <w:top w:w="65" w:type="dxa"/>
              <w:start w:w="68" w:type="dxa"/>
              <w:bottom w:w="65" w:type="dxa"/>
              <w:end w:w="68" w:type="dxa"/>
            </w:tcMar>
          </w:tcPr>
          <w:p w14:paraId="3B56C17A">
            <w:pPr>
              <w:spacing w:after="0" w:line="240" w:lineRule="auto" w:before="0"/>
            </w:pPr>
            <w:r>
              <w:rPr>
                <w:rFonts w:ascii="Times New Roman" w:hAnsi="Times New Roman" w:eastAsia="Times New Roman" w:cs="Times New Roman"/>
                <w:b w:val="0"/>
                <w:sz w:val="14"/>
              </w:rPr>
              <w:t>20</w:t>
            </w:r>
          </w:p>
        </w:tc>
        <w:tc>
          <w:tcPr>
            <w:tcW w:w="1405" w:type="dxa"/>
            <w:vAlign w:val="center"/>
            <w:tcMar>
              <w:top w:w="65" w:type="dxa"/>
              <w:start w:w="68" w:type="dxa"/>
              <w:bottom w:w="65" w:type="dxa"/>
              <w:end w:w="68" w:type="dxa"/>
            </w:tcMar>
          </w:tcPr>
          <w:p w14:paraId="5121AE3A">
            <w:pPr>
              <w:spacing w:after="0" w:line="240" w:lineRule="auto" w:before="0"/>
            </w:pPr>
            <w:r>
              <w:rPr>
                <w:rFonts w:ascii="Times New Roman" w:hAnsi="Times New Roman" w:eastAsia="Times New Roman" w:cs="Times New Roman"/>
                <w:b w:val="0"/>
                <w:sz w:val="14"/>
              </w:rPr>
              <w:t>20</w:t>
            </w:r>
          </w:p>
        </w:tc>
        <w:tc>
          <w:tcPr>
            <w:tcW w:w="1405" w:type="dxa"/>
            <w:vAlign w:val="center"/>
            <w:tcMar>
              <w:top w:w="65" w:type="dxa"/>
              <w:start w:w="68" w:type="dxa"/>
              <w:bottom w:w="65" w:type="dxa"/>
              <w:end w:w="68" w:type="dxa"/>
            </w:tcMar>
          </w:tcPr>
          <w:p w14:paraId="014A7721">
            <w:pPr>
              <w:spacing w:after="0" w:line="240" w:lineRule="auto" w:before="0"/>
            </w:pPr>
            <w:r>
              <w:rPr>
                <w:rFonts w:ascii="Times New Roman" w:hAnsi="Times New Roman" w:eastAsia="Times New Roman" w:cs="Times New Roman"/>
                <w:b w:val="0"/>
                <w:sz w:val="14"/>
              </w:rPr>
              <w:t>29 (25–32)</w:t>
            </w:r>
          </w:p>
        </w:tc>
        <w:tc>
          <w:tcPr>
            <w:tcW w:w="1405" w:type="dxa"/>
            <w:vAlign w:val="center"/>
            <w:tcMar>
              <w:top w:w="65" w:type="dxa"/>
              <w:start w:w="68" w:type="dxa"/>
              <w:bottom w:w="65" w:type="dxa"/>
              <w:end w:w="68" w:type="dxa"/>
            </w:tcMar>
          </w:tcPr>
          <w:p w14:paraId="2641FE9A">
            <w:pPr>
              <w:spacing w:after="0" w:line="240" w:lineRule="auto" w:before="0"/>
            </w:pPr>
            <w:r>
              <w:rPr>
                <w:rFonts w:ascii="Times New Roman" w:hAnsi="Times New Roman" w:eastAsia="Times New Roman" w:cs="Times New Roman"/>
                <w:b w:val="0"/>
                <w:sz w:val="14"/>
              </w:rPr>
              <w:t>25 (19–38)</w:t>
            </w:r>
          </w:p>
        </w:tc>
        <w:tc>
          <w:tcPr>
            <w:tcW w:w="1405" w:type="dxa"/>
            <w:vAlign w:val="center"/>
            <w:tcMar>
              <w:top w:w="65" w:type="dxa"/>
              <w:start w:w="68" w:type="dxa"/>
              <w:bottom w:w="65" w:type="dxa"/>
              <w:end w:w="68" w:type="dxa"/>
            </w:tcMar>
          </w:tcPr>
          <w:p w14:paraId="458CDBB2">
            <w:pPr>
              <w:spacing w:after="0" w:line="240" w:lineRule="auto" w:before="0"/>
            </w:pPr>
            <w:r>
              <w:rPr>
                <w:rFonts w:ascii="Times New Roman" w:hAnsi="Times New Roman" w:eastAsia="Times New Roman" w:cs="Times New Roman"/>
                <w:b w:val="0"/>
                <w:sz w:val="14"/>
              </w:rPr>
              <w:t>54.5 (50–70)</w:t>
            </w:r>
          </w:p>
        </w:tc>
        <w:tc>
          <w:tcPr>
            <w:tcW w:w="1405" w:type="dxa"/>
            <w:vAlign w:val="center"/>
            <w:tcMar>
              <w:top w:w="65" w:type="dxa"/>
              <w:start w:w="68" w:type="dxa"/>
              <w:bottom w:w="65" w:type="dxa"/>
              <w:end w:w="68" w:type="dxa"/>
            </w:tcMar>
          </w:tcPr>
          <w:p w14:paraId="689F4D3B">
            <w:pPr>
              <w:spacing w:after="0" w:line="240" w:lineRule="auto" w:before="0"/>
            </w:pPr>
            <w:r>
              <w:rPr>
                <w:rFonts w:ascii="Times New Roman" w:hAnsi="Times New Roman" w:eastAsia="Times New Roman" w:cs="Times New Roman"/>
                <w:b w:val="0"/>
                <w:sz w:val="14"/>
              </w:rPr>
              <w:t>Question–answer alignment and context</w:t>
            </w:r>
          </w:p>
        </w:tc>
      </w:tr>
      <w:tr w14:paraId="73147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405" w:type="dxa"/>
            <w:vAlign w:val="center"/>
            <w:tcMar>
              <w:top w:w="65" w:type="dxa"/>
              <w:start w:w="68" w:type="dxa"/>
              <w:bottom w:w="65" w:type="dxa"/>
              <w:end w:w="68" w:type="dxa"/>
            </w:tcMar>
          </w:tcPr>
          <w:p w14:paraId="50530347">
            <w:pPr>
              <w:spacing w:after="0" w:line="240" w:lineRule="auto" w:before="0"/>
            </w:pPr>
            <w:r>
              <w:rPr>
                <w:rFonts w:ascii="Times New Roman" w:hAnsi="Times New Roman" w:eastAsia="Times New Roman" w:cs="Times New Roman"/>
                <w:b w:val="0"/>
                <w:sz w:val="14"/>
              </w:rPr>
              <w:t>Explanation</w:t>
            </w:r>
          </w:p>
        </w:tc>
        <w:tc>
          <w:tcPr>
            <w:tcW w:w="1405" w:type="dxa"/>
            <w:vAlign w:val="center"/>
            <w:tcMar>
              <w:top w:w="65" w:type="dxa"/>
              <w:start w:w="68" w:type="dxa"/>
              <w:bottom w:w="65" w:type="dxa"/>
              <w:end w:w="68" w:type="dxa"/>
            </w:tcMar>
          </w:tcPr>
          <w:p w14:paraId="2FC1D5A3">
            <w:pPr>
              <w:spacing w:after="0" w:line="240" w:lineRule="auto" w:before="0"/>
            </w:pPr>
            <w:r>
              <w:rPr>
                <w:rFonts w:ascii="Times New Roman" w:hAnsi="Times New Roman" w:eastAsia="Times New Roman" w:cs="Times New Roman"/>
                <w:b w:val="0"/>
                <w:sz w:val="14"/>
              </w:rPr>
              <w:t>20</w:t>
            </w:r>
          </w:p>
        </w:tc>
        <w:tc>
          <w:tcPr>
            <w:tcW w:w="1405" w:type="dxa"/>
            <w:vAlign w:val="center"/>
            <w:tcMar>
              <w:top w:w="65" w:type="dxa"/>
              <w:start w:w="68" w:type="dxa"/>
              <w:bottom w:w="65" w:type="dxa"/>
              <w:end w:w="68" w:type="dxa"/>
            </w:tcMar>
          </w:tcPr>
          <w:p w14:paraId="228C74C9">
            <w:pPr>
              <w:spacing w:after="0" w:line="240" w:lineRule="auto" w:before="0"/>
            </w:pPr>
            <w:r>
              <w:rPr>
                <w:rFonts w:ascii="Times New Roman" w:hAnsi="Times New Roman" w:eastAsia="Times New Roman" w:cs="Times New Roman"/>
                <w:b w:val="0"/>
                <w:sz w:val="14"/>
              </w:rPr>
              <w:t>0</w:t>
            </w:r>
          </w:p>
        </w:tc>
        <w:tc>
          <w:tcPr>
            <w:tcW w:w="1405" w:type="dxa"/>
            <w:vAlign w:val="center"/>
            <w:tcMar>
              <w:top w:w="65" w:type="dxa"/>
              <w:start w:w="68" w:type="dxa"/>
              <w:bottom w:w="65" w:type="dxa"/>
              <w:end w:w="68" w:type="dxa"/>
            </w:tcMar>
          </w:tcPr>
          <w:p w14:paraId="3E584479">
            <w:pPr>
              <w:spacing w:after="0" w:line="240" w:lineRule="auto" w:before="0"/>
            </w:pPr>
            <w:r>
              <w:rPr>
                <w:rFonts w:ascii="Times New Roman" w:hAnsi="Times New Roman" w:eastAsia="Times New Roman" w:cs="Times New Roman"/>
                <w:b w:val="0"/>
                <w:sz w:val="14"/>
              </w:rPr>
              <w:t>17 (13–28)</w:t>
            </w:r>
          </w:p>
        </w:tc>
        <w:tc>
          <w:tcPr>
            <w:tcW w:w="1405" w:type="dxa"/>
            <w:vAlign w:val="center"/>
            <w:tcMar>
              <w:top w:w="65" w:type="dxa"/>
              <w:start w:w="68" w:type="dxa"/>
              <w:bottom w:w="65" w:type="dxa"/>
              <w:end w:w="68" w:type="dxa"/>
            </w:tcMar>
          </w:tcPr>
          <w:p w14:paraId="1D9A9013">
            <w:pPr>
              <w:spacing w:after="0" w:line="240" w:lineRule="auto" w:before="0"/>
            </w:pPr>
            <w:r>
              <w:rPr>
                <w:rFonts w:ascii="Times New Roman" w:hAnsi="Times New Roman" w:eastAsia="Times New Roman" w:cs="Times New Roman"/>
                <w:b w:val="0"/>
                <w:sz w:val="14"/>
              </w:rPr>
              <w:t>0 (0–0)</w:t>
            </w:r>
          </w:p>
        </w:tc>
        <w:tc>
          <w:tcPr>
            <w:tcW w:w="1405" w:type="dxa"/>
            <w:vAlign w:val="center"/>
            <w:tcMar>
              <w:top w:w="65" w:type="dxa"/>
              <w:start w:w="68" w:type="dxa"/>
              <w:bottom w:w="65" w:type="dxa"/>
              <w:end w:w="68" w:type="dxa"/>
            </w:tcMar>
          </w:tcPr>
          <w:p w14:paraId="7D5AD7E1">
            <w:pPr>
              <w:spacing w:after="0" w:line="240" w:lineRule="auto" w:before="0"/>
            </w:pPr>
            <w:r>
              <w:rPr>
                <w:rFonts w:ascii="Times New Roman" w:hAnsi="Times New Roman" w:eastAsia="Times New Roman" w:cs="Times New Roman"/>
                <w:b w:val="0"/>
                <w:sz w:val="14"/>
              </w:rPr>
              <w:t>17 (13–28)</w:t>
            </w:r>
          </w:p>
        </w:tc>
        <w:tc>
          <w:tcPr>
            <w:tcW w:w="1405" w:type="dxa"/>
            <w:vAlign w:val="center"/>
            <w:tcMar>
              <w:top w:w="65" w:type="dxa"/>
              <w:start w:w="68" w:type="dxa"/>
              <w:bottom w:w="65" w:type="dxa"/>
              <w:end w:w="68" w:type="dxa"/>
            </w:tcMar>
          </w:tcPr>
          <w:p w14:paraId="11428173">
            <w:pPr>
              <w:spacing w:after="0" w:line="240" w:lineRule="auto" w:before="0"/>
            </w:pPr>
            <w:r>
              <w:rPr>
                <w:rFonts w:ascii="Times New Roman" w:hAnsi="Times New Roman" w:eastAsia="Times New Roman" w:cs="Times New Roman"/>
                <w:b w:val="0"/>
                <w:sz w:val="14"/>
              </w:rPr>
              <w:t>Causal, conceptual, and inferential continuity</w:t>
            </w:r>
          </w:p>
        </w:tc>
      </w:tr>
      <w:tr w14:paraId="07022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405" w:type="dxa"/>
            <w:vAlign w:val="center"/>
            <w:tcMar>
              <w:top w:w="65" w:type="dxa"/>
              <w:start w:w="68" w:type="dxa"/>
              <w:bottom w:w="65" w:type="dxa"/>
              <w:end w:w="68" w:type="dxa"/>
            </w:tcMar>
          </w:tcPr>
          <w:p w14:paraId="5E263FFC">
            <w:pPr>
              <w:spacing w:after="0" w:line="240" w:lineRule="auto" w:before="0"/>
            </w:pPr>
            <w:r>
              <w:rPr>
                <w:rFonts w:ascii="Times New Roman" w:hAnsi="Times New Roman" w:eastAsia="Times New Roman" w:cs="Times New Roman"/>
                <w:b w:val="0"/>
                <w:sz w:val="14"/>
              </w:rPr>
              <w:t>Instruction following</w:t>
            </w:r>
          </w:p>
        </w:tc>
        <w:tc>
          <w:tcPr>
            <w:tcW w:w="1405" w:type="dxa"/>
            <w:vAlign w:val="center"/>
            <w:tcMar>
              <w:top w:w="65" w:type="dxa"/>
              <w:start w:w="68" w:type="dxa"/>
              <w:bottom w:w="65" w:type="dxa"/>
              <w:end w:w="68" w:type="dxa"/>
            </w:tcMar>
          </w:tcPr>
          <w:p w14:paraId="64927BE3">
            <w:pPr>
              <w:spacing w:after="0" w:line="240" w:lineRule="auto" w:before="0"/>
            </w:pPr>
            <w:r>
              <w:rPr>
                <w:rFonts w:ascii="Times New Roman" w:hAnsi="Times New Roman" w:eastAsia="Times New Roman" w:cs="Times New Roman"/>
                <w:b w:val="0"/>
                <w:sz w:val="14"/>
              </w:rPr>
              <w:t>20</w:t>
            </w:r>
          </w:p>
        </w:tc>
        <w:tc>
          <w:tcPr>
            <w:tcW w:w="1405" w:type="dxa"/>
            <w:vAlign w:val="center"/>
            <w:tcMar>
              <w:top w:w="65" w:type="dxa"/>
              <w:start w:w="68" w:type="dxa"/>
              <w:bottom w:w="65" w:type="dxa"/>
              <w:end w:w="68" w:type="dxa"/>
            </w:tcMar>
          </w:tcPr>
          <w:p w14:paraId="1C02A190">
            <w:pPr>
              <w:spacing w:after="0" w:line="240" w:lineRule="auto" w:before="0"/>
            </w:pPr>
            <w:r>
              <w:rPr>
                <w:rFonts w:ascii="Times New Roman" w:hAnsi="Times New Roman" w:eastAsia="Times New Roman" w:cs="Times New Roman"/>
                <w:b w:val="0"/>
                <w:sz w:val="14"/>
              </w:rPr>
              <w:t>0</w:t>
            </w:r>
          </w:p>
        </w:tc>
        <w:tc>
          <w:tcPr>
            <w:tcW w:w="1405" w:type="dxa"/>
            <w:vAlign w:val="center"/>
            <w:tcMar>
              <w:top w:w="65" w:type="dxa"/>
              <w:start w:w="68" w:type="dxa"/>
              <w:bottom w:w="65" w:type="dxa"/>
              <w:end w:w="68" w:type="dxa"/>
            </w:tcMar>
          </w:tcPr>
          <w:p w14:paraId="52447231">
            <w:pPr>
              <w:spacing w:after="0" w:line="240" w:lineRule="auto" w:before="0"/>
            </w:pPr>
            <w:r>
              <w:rPr>
                <w:rFonts w:ascii="Times New Roman" w:hAnsi="Times New Roman" w:eastAsia="Times New Roman" w:cs="Times New Roman"/>
                <w:b w:val="0"/>
                <w:sz w:val="14"/>
              </w:rPr>
              <w:t>20.5 (13–31)</w:t>
            </w:r>
          </w:p>
        </w:tc>
        <w:tc>
          <w:tcPr>
            <w:tcW w:w="1405" w:type="dxa"/>
            <w:vAlign w:val="center"/>
            <w:tcMar>
              <w:top w:w="65" w:type="dxa"/>
              <w:start w:w="68" w:type="dxa"/>
              <w:bottom w:w="65" w:type="dxa"/>
              <w:end w:w="68" w:type="dxa"/>
            </w:tcMar>
          </w:tcPr>
          <w:p w14:paraId="718BF1FD">
            <w:pPr>
              <w:spacing w:after="0" w:line="240" w:lineRule="auto" w:before="0"/>
            </w:pPr>
            <w:r>
              <w:rPr>
                <w:rFonts w:ascii="Times New Roman" w:hAnsi="Times New Roman" w:eastAsia="Times New Roman" w:cs="Times New Roman"/>
                <w:b w:val="0"/>
                <w:sz w:val="14"/>
              </w:rPr>
              <w:t>0 (0–0)</w:t>
            </w:r>
          </w:p>
        </w:tc>
        <w:tc>
          <w:tcPr>
            <w:tcW w:w="1405" w:type="dxa"/>
            <w:vAlign w:val="center"/>
            <w:tcMar>
              <w:top w:w="65" w:type="dxa"/>
              <w:start w:w="68" w:type="dxa"/>
              <w:bottom w:w="65" w:type="dxa"/>
              <w:end w:w="68" w:type="dxa"/>
            </w:tcMar>
          </w:tcPr>
          <w:p w14:paraId="0677B1AA">
            <w:pPr>
              <w:spacing w:after="0" w:line="240" w:lineRule="auto" w:before="0"/>
            </w:pPr>
            <w:r>
              <w:rPr>
                <w:rFonts w:ascii="Times New Roman" w:hAnsi="Times New Roman" w:eastAsia="Times New Roman" w:cs="Times New Roman"/>
                <w:b w:val="0"/>
                <w:sz w:val="14"/>
              </w:rPr>
              <w:t>20.5 (13–31)</w:t>
            </w:r>
          </w:p>
        </w:tc>
        <w:tc>
          <w:tcPr>
            <w:tcW w:w="1405" w:type="dxa"/>
            <w:vAlign w:val="center"/>
            <w:tcMar>
              <w:top w:w="65" w:type="dxa"/>
              <w:start w:w="68" w:type="dxa"/>
              <w:bottom w:w="65" w:type="dxa"/>
              <w:end w:w="68" w:type="dxa"/>
            </w:tcMar>
          </w:tcPr>
          <w:p w14:paraId="3E66C491">
            <w:pPr>
              <w:spacing w:after="0" w:line="240" w:lineRule="auto" w:before="0"/>
            </w:pPr>
            <w:r>
              <w:rPr>
                <w:rFonts w:ascii="Times New Roman" w:hAnsi="Times New Roman" w:eastAsia="Times New Roman" w:cs="Times New Roman"/>
                <w:b w:val="0"/>
                <w:sz w:val="14"/>
              </w:rPr>
              <w:t>Task goal, constraints, and requested form</w:t>
            </w:r>
          </w:p>
        </w:tc>
      </w:tr>
      <w:tr w14:paraId="632A5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405" w:type="dxa"/>
            <w:vAlign w:val="center"/>
            <w:tcMar>
              <w:top w:w="65" w:type="dxa"/>
              <w:start w:w="68" w:type="dxa"/>
              <w:bottom w:w="65" w:type="dxa"/>
              <w:end w:w="68" w:type="dxa"/>
            </w:tcMar>
          </w:tcPr>
          <w:p w14:paraId="0328C8D0">
            <w:pPr>
              <w:spacing w:after="0" w:line="240" w:lineRule="auto" w:before="0"/>
            </w:pPr>
            <w:r>
              <w:rPr>
                <w:rFonts w:ascii="Times New Roman" w:hAnsi="Times New Roman" w:eastAsia="Times New Roman" w:cs="Times New Roman"/>
                <w:b w:val="0"/>
                <w:sz w:val="14"/>
              </w:rPr>
              <w:t>Source-grounded generation</w:t>
            </w:r>
          </w:p>
        </w:tc>
        <w:tc>
          <w:tcPr>
            <w:tcW w:w="1405" w:type="dxa"/>
            <w:vAlign w:val="center"/>
            <w:tcMar>
              <w:top w:w="65" w:type="dxa"/>
              <w:start w:w="68" w:type="dxa"/>
              <w:bottom w:w="65" w:type="dxa"/>
              <w:end w:w="68" w:type="dxa"/>
            </w:tcMar>
          </w:tcPr>
          <w:p w14:paraId="3D24AB20">
            <w:pPr>
              <w:spacing w:after="0" w:line="240" w:lineRule="auto" w:before="0"/>
            </w:pPr>
            <w:r>
              <w:rPr>
                <w:rFonts w:ascii="Times New Roman" w:hAnsi="Times New Roman" w:eastAsia="Times New Roman" w:cs="Times New Roman"/>
                <w:b w:val="0"/>
                <w:sz w:val="14"/>
              </w:rPr>
              <w:t>20</w:t>
            </w:r>
          </w:p>
        </w:tc>
        <w:tc>
          <w:tcPr>
            <w:tcW w:w="1405" w:type="dxa"/>
            <w:vAlign w:val="center"/>
            <w:tcMar>
              <w:top w:w="65" w:type="dxa"/>
              <w:start w:w="68" w:type="dxa"/>
              <w:bottom w:w="65" w:type="dxa"/>
              <w:end w:w="68" w:type="dxa"/>
            </w:tcMar>
          </w:tcPr>
          <w:p w14:paraId="27AC2410">
            <w:pPr>
              <w:spacing w:after="0" w:line="240" w:lineRule="auto" w:before="0"/>
            </w:pPr>
            <w:r>
              <w:rPr>
                <w:rFonts w:ascii="Times New Roman" w:hAnsi="Times New Roman" w:eastAsia="Times New Roman" w:cs="Times New Roman"/>
                <w:b w:val="0"/>
                <w:sz w:val="14"/>
              </w:rPr>
              <w:t>20</w:t>
            </w:r>
          </w:p>
        </w:tc>
        <w:tc>
          <w:tcPr>
            <w:tcW w:w="1405" w:type="dxa"/>
            <w:vAlign w:val="center"/>
            <w:tcMar>
              <w:top w:w="65" w:type="dxa"/>
              <w:start w:w="68" w:type="dxa"/>
              <w:bottom w:w="65" w:type="dxa"/>
              <w:end w:w="68" w:type="dxa"/>
            </w:tcMar>
          </w:tcPr>
          <w:p w14:paraId="6367C128">
            <w:pPr>
              <w:spacing w:after="0" w:line="240" w:lineRule="auto" w:before="0"/>
            </w:pPr>
            <w:r>
              <w:rPr>
                <w:rFonts w:ascii="Times New Roman" w:hAnsi="Times New Roman" w:eastAsia="Times New Roman" w:cs="Times New Roman"/>
                <w:b w:val="0"/>
                <w:sz w:val="14"/>
              </w:rPr>
              <w:t>13 (8–20)</w:t>
            </w:r>
          </w:p>
        </w:tc>
        <w:tc>
          <w:tcPr>
            <w:tcW w:w="1405" w:type="dxa"/>
            <w:vAlign w:val="center"/>
            <w:tcMar>
              <w:top w:w="65" w:type="dxa"/>
              <w:start w:w="68" w:type="dxa"/>
              <w:bottom w:w="65" w:type="dxa"/>
              <w:end w:w="68" w:type="dxa"/>
            </w:tcMar>
          </w:tcPr>
          <w:p w14:paraId="5F2134F3">
            <w:pPr>
              <w:spacing w:after="0" w:line="240" w:lineRule="auto" w:before="0"/>
            </w:pPr>
            <w:r>
              <w:rPr>
                <w:rFonts w:ascii="Times New Roman" w:hAnsi="Times New Roman" w:eastAsia="Times New Roman" w:cs="Times New Roman"/>
                <w:b w:val="0"/>
                <w:sz w:val="14"/>
              </w:rPr>
              <w:t>26 (23–30)</w:t>
            </w:r>
          </w:p>
        </w:tc>
        <w:tc>
          <w:tcPr>
            <w:tcW w:w="1405" w:type="dxa"/>
            <w:vAlign w:val="center"/>
            <w:tcMar>
              <w:top w:w="65" w:type="dxa"/>
              <w:start w:w="68" w:type="dxa"/>
              <w:bottom w:w="65" w:type="dxa"/>
              <w:end w:w="68" w:type="dxa"/>
            </w:tcMar>
          </w:tcPr>
          <w:p w14:paraId="760F1798">
            <w:pPr>
              <w:spacing w:after="0" w:line="240" w:lineRule="auto" w:before="0"/>
            </w:pPr>
            <w:r>
              <w:rPr>
                <w:rFonts w:ascii="Times New Roman" w:hAnsi="Times New Roman" w:eastAsia="Times New Roman" w:cs="Times New Roman"/>
                <w:b w:val="0"/>
                <w:sz w:val="14"/>
              </w:rPr>
              <w:t>42 (34–50)</w:t>
            </w:r>
          </w:p>
        </w:tc>
        <w:tc>
          <w:tcPr>
            <w:tcW w:w="1405" w:type="dxa"/>
            <w:vAlign w:val="center"/>
            <w:tcMar>
              <w:top w:w="65" w:type="dxa"/>
              <w:start w:w="68" w:type="dxa"/>
              <w:bottom w:w="65" w:type="dxa"/>
              <w:end w:w="68" w:type="dxa"/>
            </w:tcMar>
          </w:tcPr>
          <w:p w14:paraId="10EA4A51">
            <w:pPr>
              <w:spacing w:after="0" w:line="240" w:lineRule="auto" w:before="0"/>
            </w:pPr>
            <w:r>
              <w:rPr>
                <w:rFonts w:ascii="Times New Roman" w:hAnsi="Times New Roman" w:eastAsia="Times New Roman" w:cs="Times New Roman"/>
                <w:b w:val="0"/>
                <w:sz w:val="14"/>
              </w:rPr>
              <w:t>Grounding and semantic integration</w:t>
            </w:r>
          </w:p>
        </w:tc>
      </w:tr>
      <w:tr w14:paraId="772F4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405" w:type="dxa"/>
            <w:vAlign w:val="center"/>
            <w:tcMar>
              <w:top w:w="65" w:type="dxa"/>
              <w:start w:w="68" w:type="dxa"/>
              <w:bottom w:w="65" w:type="dxa"/>
              <w:end w:w="68" w:type="dxa"/>
            </w:tcMar>
          </w:tcPr>
          <w:p w14:paraId="35599CEF">
            <w:pPr>
              <w:spacing w:after="0" w:line="240" w:lineRule="auto" w:before="0"/>
            </w:pPr>
            <w:r>
              <w:rPr>
                <w:rFonts w:ascii="Times New Roman" w:hAnsi="Times New Roman" w:eastAsia="Times New Roman" w:cs="Times New Roman"/>
                <w:b w:val="0"/>
                <w:sz w:val="14"/>
              </w:rPr>
              <w:t>Multi-entity/context tracking</w:t>
            </w:r>
          </w:p>
        </w:tc>
        <w:tc>
          <w:tcPr>
            <w:tcW w:w="1405" w:type="dxa"/>
            <w:vAlign w:val="center"/>
            <w:tcMar>
              <w:top w:w="65" w:type="dxa"/>
              <w:start w:w="68" w:type="dxa"/>
              <w:bottom w:w="65" w:type="dxa"/>
              <w:end w:w="68" w:type="dxa"/>
            </w:tcMar>
          </w:tcPr>
          <w:p w14:paraId="7A4FA4CB">
            <w:pPr>
              <w:spacing w:after="0" w:line="240" w:lineRule="auto" w:before="0"/>
            </w:pPr>
            <w:r>
              <w:rPr>
                <w:rFonts w:ascii="Times New Roman" w:hAnsi="Times New Roman" w:eastAsia="Times New Roman" w:cs="Times New Roman"/>
                <w:b w:val="0"/>
                <w:sz w:val="14"/>
              </w:rPr>
              <w:t>20</w:t>
            </w:r>
          </w:p>
        </w:tc>
        <w:tc>
          <w:tcPr>
            <w:tcW w:w="1405" w:type="dxa"/>
            <w:vAlign w:val="center"/>
            <w:tcMar>
              <w:top w:w="65" w:type="dxa"/>
              <w:start w:w="68" w:type="dxa"/>
              <w:bottom w:w="65" w:type="dxa"/>
              <w:end w:w="68" w:type="dxa"/>
            </w:tcMar>
          </w:tcPr>
          <w:p w14:paraId="6DF91071">
            <w:pPr>
              <w:spacing w:after="0" w:line="240" w:lineRule="auto" w:before="0"/>
            </w:pPr>
            <w:r>
              <w:rPr>
                <w:rFonts w:ascii="Times New Roman" w:hAnsi="Times New Roman" w:eastAsia="Times New Roman" w:cs="Times New Roman"/>
                <w:b w:val="0"/>
                <w:sz w:val="14"/>
              </w:rPr>
              <w:t>20</w:t>
            </w:r>
          </w:p>
        </w:tc>
        <w:tc>
          <w:tcPr>
            <w:tcW w:w="1405" w:type="dxa"/>
            <w:vAlign w:val="center"/>
            <w:tcMar>
              <w:top w:w="65" w:type="dxa"/>
              <w:start w:w="68" w:type="dxa"/>
              <w:bottom w:w="65" w:type="dxa"/>
              <w:end w:w="68" w:type="dxa"/>
            </w:tcMar>
          </w:tcPr>
          <w:p w14:paraId="663A27EB">
            <w:pPr>
              <w:spacing w:after="0" w:line="240" w:lineRule="auto" w:before="0"/>
            </w:pPr>
            <w:r>
              <w:rPr>
                <w:rFonts w:ascii="Times New Roman" w:hAnsi="Times New Roman" w:eastAsia="Times New Roman" w:cs="Times New Roman"/>
                <w:b w:val="0"/>
                <w:sz w:val="14"/>
              </w:rPr>
              <w:t>10.5 (6–17)</w:t>
            </w:r>
          </w:p>
        </w:tc>
        <w:tc>
          <w:tcPr>
            <w:tcW w:w="1405" w:type="dxa"/>
            <w:vAlign w:val="center"/>
            <w:tcMar>
              <w:top w:w="65" w:type="dxa"/>
              <w:start w:w="68" w:type="dxa"/>
              <w:bottom w:w="65" w:type="dxa"/>
              <w:end w:w="68" w:type="dxa"/>
            </w:tcMar>
          </w:tcPr>
          <w:p w14:paraId="66243938">
            <w:pPr>
              <w:spacing w:after="0" w:line="240" w:lineRule="auto" w:before="0"/>
            </w:pPr>
            <w:r>
              <w:rPr>
                <w:rFonts w:ascii="Times New Roman" w:hAnsi="Times New Roman" w:eastAsia="Times New Roman" w:cs="Times New Roman"/>
                <w:b w:val="0"/>
                <w:sz w:val="14"/>
              </w:rPr>
              <w:t>27.5 (21–34)</w:t>
            </w:r>
          </w:p>
        </w:tc>
        <w:tc>
          <w:tcPr>
            <w:tcW w:w="1405" w:type="dxa"/>
            <w:vAlign w:val="center"/>
            <w:tcMar>
              <w:top w:w="65" w:type="dxa"/>
              <w:start w:w="68" w:type="dxa"/>
              <w:bottom w:w="65" w:type="dxa"/>
              <w:end w:w="68" w:type="dxa"/>
            </w:tcMar>
          </w:tcPr>
          <w:p w14:paraId="6BDB3708">
            <w:pPr>
              <w:spacing w:after="0" w:line="240" w:lineRule="auto" w:before="0"/>
            </w:pPr>
            <w:r>
              <w:rPr>
                <w:rFonts w:ascii="Times New Roman" w:hAnsi="Times New Roman" w:eastAsia="Times New Roman" w:cs="Times New Roman"/>
                <w:b w:val="0"/>
                <w:sz w:val="14"/>
              </w:rPr>
              <w:t>39 (32–48)</w:t>
            </w:r>
          </w:p>
        </w:tc>
        <w:tc>
          <w:tcPr>
            <w:tcW w:w="1405" w:type="dxa"/>
            <w:vAlign w:val="center"/>
            <w:tcMar>
              <w:top w:w="65" w:type="dxa"/>
              <w:start w:w="68" w:type="dxa"/>
              <w:bottom w:w="65" w:type="dxa"/>
              <w:end w:w="68" w:type="dxa"/>
            </w:tcMar>
          </w:tcPr>
          <w:p w14:paraId="32EAF691">
            <w:pPr>
              <w:spacing w:after="0" w:line="240" w:lineRule="auto" w:before="0"/>
            </w:pPr>
            <w:r>
              <w:rPr>
                <w:rFonts w:ascii="Times New Roman" w:hAnsi="Times New Roman" w:eastAsia="Times New Roman" w:cs="Times New Roman"/>
                <w:b w:val="0"/>
                <w:sz w:val="14"/>
              </w:rPr>
              <w:t>Entity, role, relation, and temporal stability</w:t>
            </w:r>
          </w:p>
        </w:tc>
      </w:tr>
    </w:tbl>
    <w:p w14:paraId="135D04FB">
      <w:pPr>
        <w:pStyle w:val="3"/>
        <w:keepNext/>
        <w:keepLines/>
        <w:pageBreakBefore w:val="0"/>
        <w:spacing w:before="140" w:after="80"/>
      </w:pPr>
      <w:r>
        <w:rPr>
          <w:rFonts w:ascii="Times New Roman" w:hAnsi="Times New Roman" w:eastAsia="Times New Roman"/>
          <w:color w:val="000000"/>
        </w:rPr>
        <w:t>S1.2 AI-assisted, human-curated prompt construction</w:t>
      </w:r>
    </w:p>
    <w:p w14:paraId="2E01FAB5">
      <w:pPr>
        <w:widowControl/>
        <w:spacing w:after="100" w:line="276" w:lineRule="auto"/>
        <w:jc w:val="both"/>
      </w:pPr>
      <w:r>
        <w:rPr>
          <w:rFonts w:ascii="Times New Roman" w:hAnsi="Times New Roman" w:eastAsia="Times New Roman"/>
          <w:i w:val="0"/>
          <w:color w:val="000000"/>
        </w:rPr>
        <w:t>The conceptual design matrix supplied the distinction between semantic-only, hallucination-only, and overlap failures. The project lead translated that framework into six task demands and specified prompt-length, source-context, and diagnostic-coverage requirements. Benchmark traditions informed structure. The retained items were human-curated and were not intentionally copied verbatim from benchmark resources; a separate automated overlap audit was not part of the verification package.</w:t>
      </w:r>
    </w:p>
    <w:p w14:paraId="7ECFBEF5">
      <w:pPr>
        <w:widowControl/>
        <w:spacing w:after="100" w:line="276" w:lineRule="auto"/>
        <w:jc w:val="both"/>
      </w:pPr>
      <w:r>
        <w:rPr>
          <w:rFonts w:ascii="Times New Roman" w:hAnsi="Times New Roman" w:eastAsia="Times New Roman"/>
          <w:i w:val="0"/>
          <w:color w:val="000000"/>
          <w:sz w:val="22"/>
        </w:rPr>
        <w:t>A generative AI assistant (ChatGPT; exact backend build used during early prompt drafting was not preserved) assisted in drafting candidate prompt text and short source passages. The project lead manually inspected every candidate, edited wording and factual content, removed duplicates, standardised length and instruction style, checked task assignment, and locked the 120 retained records. The correct provenance label is therefore AI-assisted and human-curated. Earlier statements that all prompts and passages were solely researcher-authored have been corrected.</w:t>
      </w:r>
    </w:p>
    <w:p w14:paraId="678597FA">
      <w:pPr>
        <w:widowControl/>
        <w:spacing w:after="100" w:line="276" w:lineRule="auto"/>
        <w:jc w:val="both"/>
      </w:pPr>
      <w:r>
        <w:rPr>
          <w:rFonts w:ascii="Times New Roman" w:hAnsi="Times New Roman" w:eastAsia="Times New Roman"/>
          <w:i w:val="0"/>
          <w:color w:val="000000"/>
          <w:sz w:val="22"/>
        </w:rPr>
        <w:t>No prompt was shown to annotators with an expected failure label. Researcher-facing fields such as target_semantic_demand and targeted_failure_families were removed. This reduces direct expectancy bias but does not eliminate design dependence because the prompt bank arose from the same conceptual programme as the codebook. Table S2 documents the construction roles and safeguards.</w:t>
        <w:t xml:space="preserve"> No catch-all out-of-taxonomy primary code was allowed, so universal codability under the response options cannot be taken as evidence of content exhaustiveness.</w:t>
      </w:r>
    </w:p>
    <w:p w14:paraId="5B9F15AB">
      <w:pPr>
        <w:pStyle w:val="16"/>
        <w:keepNext/>
        <w:keepLines/>
        <w:spacing w:before="120" w:after="60"/>
        <w:jc w:val="left"/>
      </w:pPr>
      <w:r>
        <w:rPr>
          <w:rFonts w:ascii="Times New Roman" w:hAnsi="Times New Roman" w:eastAsia="Times New Roman" w:cs="Times New Roman"/>
          <w:b/>
          <w:sz w:val="17"/>
        </w:rPr>
        <w:t>Table S2.</w:t>
      </w:r>
      <w:r>
        <w:rPr>
          <w:rFonts w:ascii="Times New Roman" w:hAnsi="Times New Roman" w:eastAsia="Times New Roman" w:cs="Times New Roman"/>
          <w:b w:val="0"/>
          <w:sz w:val="17"/>
        </w:rPr>
        <w:t xml:space="preserve"> Prompt-construction provenance and safeguards.</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2530"/>
        <w:gridCol w:w="2530"/>
        <w:gridCol w:w="2530"/>
        <w:gridCol w:w="2530"/>
      </w:tblGrid>
      <w:tr w14:paraId="72EC6F71">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tblHeader w:val="true"/>
          <w:jc w:val="center"/>
          <w:tblHeader w:val="true"/>
        </w:trPr>
        <w:tc>
          <w:tcPr>
            <w:tcW w:w="1656" w:type="dxa"/>
            <w:tcMar>
              <w:top w:w="65" w:type="dxa"/>
              <w:left w:w="70" w:type="dxa"/>
              <w:bottom w:w="65" w:type="dxa"/>
              <w:right w:w="70" w:type="dxa"/>
              <w:start w:w="68" w:type="dxa"/>
              <w:end w:w="68" w:type="dxa"/>
            </w:tcMar>
            <w:vAlign w:val="center"/>
            <w:shd w:val="clear" w:color="auto" w:fill="E8F0F8"/>
          </w:tcPr>
          <w:p w14:paraId="6464B446">
            <w:pPr>
              <w:spacing w:before="0" w:after="0" w:line="240" w:lineRule="auto"/>
              <w:jc w:val="center"/>
            </w:pPr>
            <w:r>
              <w:rPr>
                <w:rFonts w:ascii="Times New Roman" w:hAnsi="Times New Roman" w:eastAsia="Times New Roman" w:cs="Times New Roman"/>
                <w:b/>
                <w:color w:val="1E364D"/>
                <w:sz w:val="16"/>
              </w:rPr>
              <w:t>Stage</w:t>
            </w:r>
          </w:p>
        </w:tc>
        <w:tc>
          <w:tcPr>
            <w:tcW w:w="2880" w:type="dxa"/>
            <w:tcMar>
              <w:top w:w="65" w:type="dxa"/>
              <w:left w:w="70" w:type="dxa"/>
              <w:bottom w:w="65" w:type="dxa"/>
              <w:right w:w="70" w:type="dxa"/>
              <w:start w:w="68" w:type="dxa"/>
              <w:end w:w="68" w:type="dxa"/>
            </w:tcMar>
            <w:vAlign w:val="center"/>
            <w:shd w:val="clear" w:color="auto" w:fill="E8F0F8"/>
          </w:tcPr>
          <w:p w14:paraId="73AC3D45">
            <w:pPr>
              <w:spacing w:before="0" w:after="0" w:line="240" w:lineRule="auto"/>
              <w:jc w:val="center"/>
            </w:pPr>
            <w:r>
              <w:rPr>
                <w:rFonts w:ascii="Times New Roman" w:hAnsi="Times New Roman" w:eastAsia="Times New Roman" w:cs="Times New Roman"/>
                <w:b/>
                <w:color w:val="1E364D"/>
                <w:sz w:val="16"/>
              </w:rPr>
              <w:t>Human responsibility</w:t>
            </w:r>
          </w:p>
        </w:tc>
        <w:tc>
          <w:tcPr>
            <w:tcW w:w="2520" w:type="dxa"/>
            <w:tcMar>
              <w:top w:w="65" w:type="dxa"/>
              <w:left w:w="70" w:type="dxa"/>
              <w:bottom w:w="65" w:type="dxa"/>
              <w:right w:w="70" w:type="dxa"/>
              <w:start w:w="68" w:type="dxa"/>
              <w:end w:w="68" w:type="dxa"/>
            </w:tcMar>
            <w:vAlign w:val="center"/>
            <w:shd w:val="clear" w:color="auto" w:fill="E8F0F8"/>
          </w:tcPr>
          <w:p w14:paraId="2CD7F03E">
            <w:pPr>
              <w:spacing w:before="0" w:after="0" w:line="240" w:lineRule="auto"/>
              <w:jc w:val="center"/>
            </w:pPr>
            <w:r>
              <w:rPr>
                <w:rFonts w:ascii="Times New Roman" w:hAnsi="Times New Roman" w:eastAsia="Times New Roman" w:cs="Times New Roman"/>
                <w:b/>
                <w:color w:val="1E364D"/>
                <w:sz w:val="16"/>
              </w:rPr>
              <w:t>AI-assisted component</w:t>
            </w:r>
          </w:p>
        </w:tc>
        <w:tc>
          <w:tcPr>
            <w:tcW w:w="2880" w:type="dxa"/>
            <w:tcMar>
              <w:top w:w="65" w:type="dxa"/>
              <w:left w:w="70" w:type="dxa"/>
              <w:bottom w:w="65" w:type="dxa"/>
              <w:right w:w="70" w:type="dxa"/>
              <w:start w:w="68" w:type="dxa"/>
              <w:end w:w="68" w:type="dxa"/>
            </w:tcMar>
            <w:vAlign w:val="center"/>
            <w:shd w:val="clear" w:color="auto" w:fill="E8F0F8"/>
          </w:tcPr>
          <w:p w14:paraId="42A3F3A7">
            <w:pPr>
              <w:spacing w:before="0" w:after="0" w:line="240" w:lineRule="auto"/>
              <w:jc w:val="center"/>
            </w:pPr>
            <w:r>
              <w:rPr>
                <w:rFonts w:ascii="Times New Roman" w:hAnsi="Times New Roman" w:eastAsia="Times New Roman" w:cs="Times New Roman"/>
                <w:b/>
                <w:color w:val="1E364D"/>
                <w:sz w:val="16"/>
              </w:rPr>
              <w:t>Bias safeguard</w:t>
            </w:r>
          </w:p>
        </w:tc>
      </w:tr>
      <w:tr w14:paraId="7516B0EA">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1656" w:type="dxa"/>
            <w:tcMar>
              <w:top w:w="65" w:type="dxa"/>
              <w:left w:w="70" w:type="dxa"/>
              <w:bottom w:w="65" w:type="dxa"/>
              <w:right w:w="70" w:type="dxa"/>
              <w:start w:w="68" w:type="dxa"/>
              <w:end w:w="68" w:type="dxa"/>
            </w:tcMar>
            <w:vAlign w:val="center"/>
          </w:tcPr>
          <w:p w14:paraId="1A3C99F6">
            <w:pPr>
              <w:spacing w:before="0" w:after="0" w:line="240" w:lineRule="auto"/>
              <w:jc w:val="left"/>
            </w:pPr>
            <w:r>
              <w:rPr>
                <w:rFonts w:ascii="Times New Roman" w:hAnsi="Times New Roman" w:eastAsia="Times New Roman" w:cs="Times New Roman"/>
                <w:b w:val="0"/>
                <w:color w:val="000000"/>
                <w:sz w:val="16"/>
              </w:rPr>
              <w:t>Conceptual design</w:t>
            </w:r>
          </w:p>
        </w:tc>
        <w:tc>
          <w:tcPr>
            <w:tcW w:w="2880" w:type="dxa"/>
            <w:tcMar>
              <w:top w:w="65" w:type="dxa"/>
              <w:left w:w="70" w:type="dxa"/>
              <w:bottom w:w="65" w:type="dxa"/>
              <w:right w:w="70" w:type="dxa"/>
              <w:start w:w="68" w:type="dxa"/>
              <w:end w:w="68" w:type="dxa"/>
            </w:tcMar>
            <w:vAlign w:val="center"/>
          </w:tcPr>
          <w:p w14:paraId="0EE96779">
            <w:pPr>
              <w:spacing w:before="0" w:after="0" w:line="240" w:lineRule="auto"/>
              <w:jc w:val="left"/>
            </w:pPr>
            <w:r>
              <w:rPr>
                <w:rFonts w:ascii="Times New Roman" w:hAnsi="Times New Roman" w:eastAsia="Times New Roman" w:cs="Times New Roman"/>
                <w:b w:val="0"/>
                <w:color w:val="000000"/>
                <w:sz w:val="16"/>
              </w:rPr>
              <w:t>Define taxonomy relationship, six tasks, semantic demands, and boundaries.</w:t>
            </w:r>
          </w:p>
        </w:tc>
        <w:tc>
          <w:tcPr>
            <w:tcW w:w="2520" w:type="dxa"/>
            <w:tcMar>
              <w:top w:w="65" w:type="dxa"/>
              <w:left w:w="70" w:type="dxa"/>
              <w:bottom w:w="65" w:type="dxa"/>
              <w:right w:w="70" w:type="dxa"/>
              <w:start w:w="68" w:type="dxa"/>
              <w:end w:w="68" w:type="dxa"/>
            </w:tcMar>
            <w:vAlign w:val="center"/>
          </w:tcPr>
          <w:p w14:paraId="0E002198">
            <w:pPr>
              <w:spacing w:before="0" w:after="0" w:line="240" w:lineRule="auto"/>
              <w:jc w:val="left"/>
            </w:pPr>
            <w:r>
              <w:rPr>
                <w:rFonts w:ascii="Times New Roman" w:hAnsi="Times New Roman" w:eastAsia="Times New Roman" w:cs="Times New Roman"/>
                <w:b w:val="0"/>
                <w:color w:val="000000"/>
                <w:sz w:val="16"/>
              </w:rPr>
              <w:t>None required.</w:t>
            </w:r>
          </w:p>
        </w:tc>
        <w:tc>
          <w:tcPr>
            <w:tcW w:w="2880" w:type="dxa"/>
            <w:tcMar>
              <w:top w:w="65" w:type="dxa"/>
              <w:left w:w="70" w:type="dxa"/>
              <w:bottom w:w="65" w:type="dxa"/>
              <w:right w:w="70" w:type="dxa"/>
              <w:start w:w="68" w:type="dxa"/>
              <w:end w:w="68" w:type="dxa"/>
            </w:tcMar>
            <w:vAlign w:val="center"/>
          </w:tcPr>
          <w:p w14:paraId="37BF0889">
            <w:pPr>
              <w:spacing w:before="0" w:after="0" w:line="240" w:lineRule="auto"/>
              <w:jc w:val="left"/>
            </w:pPr>
            <w:r>
              <w:rPr>
                <w:rFonts w:ascii="Times New Roman" w:hAnsi="Times New Roman" w:eastAsia="Times New Roman" w:cs="Times New Roman"/>
                <w:b w:val="0"/>
                <w:color w:val="000000"/>
                <w:sz w:val="16"/>
              </w:rPr>
              <w:t>Design decisions documented before annotation.</w:t>
            </w:r>
          </w:p>
        </w:tc>
      </w:tr>
      <w:tr w14:paraId="02149D09">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1656" w:type="dxa"/>
            <w:tcMar>
              <w:top w:w="65" w:type="dxa"/>
              <w:left w:w="70" w:type="dxa"/>
              <w:bottom w:w="65" w:type="dxa"/>
              <w:right w:w="70" w:type="dxa"/>
              <w:start w:w="68" w:type="dxa"/>
              <w:end w:w="68" w:type="dxa"/>
            </w:tcMar>
            <w:vAlign w:val="center"/>
          </w:tcPr>
          <w:p w14:paraId="287748F9">
            <w:pPr>
              <w:spacing w:before="0" w:after="0" w:line="240" w:lineRule="auto"/>
              <w:jc w:val="left"/>
            </w:pPr>
            <w:r>
              <w:rPr>
                <w:rFonts w:ascii="Times New Roman" w:hAnsi="Times New Roman" w:eastAsia="Times New Roman" w:cs="Times New Roman"/>
                <w:b w:val="0"/>
                <w:color w:val="000000"/>
                <w:sz w:val="16"/>
              </w:rPr>
              <w:t>Candidate drafting</w:t>
            </w:r>
          </w:p>
        </w:tc>
        <w:tc>
          <w:tcPr>
            <w:tcW w:w="2880" w:type="dxa"/>
            <w:tcMar>
              <w:top w:w="65" w:type="dxa"/>
              <w:left w:w="70" w:type="dxa"/>
              <w:bottom w:w="65" w:type="dxa"/>
              <w:right w:w="70" w:type="dxa"/>
              <w:start w:w="68" w:type="dxa"/>
              <w:end w:w="68" w:type="dxa"/>
            </w:tcMar>
            <w:vAlign w:val="center"/>
          </w:tcPr>
          <w:p w14:paraId="7BFF45B2">
            <w:pPr>
              <w:spacing w:before="0" w:after="0" w:line="240" w:lineRule="auto"/>
              <w:jc w:val="left"/>
            </w:pPr>
            <w:r>
              <w:rPr>
                <w:rFonts w:ascii="Times New Roman" w:hAnsi="Times New Roman" w:eastAsia="Times New Roman" w:cs="Times New Roman"/>
                <w:b w:val="0"/>
                <w:color w:val="000000"/>
                <w:sz w:val="16"/>
              </w:rPr>
              <w:t>Specify templates and acceptance constraints.</w:t>
            </w:r>
          </w:p>
        </w:tc>
        <w:tc>
          <w:tcPr>
            <w:tcW w:w="2520" w:type="dxa"/>
            <w:tcMar>
              <w:top w:w="65" w:type="dxa"/>
              <w:left w:w="70" w:type="dxa"/>
              <w:bottom w:w="65" w:type="dxa"/>
              <w:right w:w="70" w:type="dxa"/>
              <w:start w:w="68" w:type="dxa"/>
              <w:end w:w="68" w:type="dxa"/>
            </w:tcMar>
            <w:vAlign w:val="center"/>
          </w:tcPr>
          <w:p w14:paraId="25893966">
            <w:pPr>
              <w:spacing w:before="0" w:after="0" w:line="240" w:lineRule="auto"/>
              <w:jc w:val="left"/>
            </w:pPr>
            <w:r>
              <w:rPr>
                <w:rFonts w:ascii="Times New Roman" w:hAnsi="Times New Roman" w:eastAsia="Times New Roman" w:cs="Times New Roman"/>
                <w:b w:val="0"/>
                <w:color w:val="000000"/>
                <w:sz w:val="16"/>
              </w:rPr>
              <w:t>Draft candidate prompts and short passages.</w:t>
            </w:r>
          </w:p>
        </w:tc>
        <w:tc>
          <w:tcPr>
            <w:tcW w:w="2880" w:type="dxa"/>
            <w:tcMar>
              <w:top w:w="65" w:type="dxa"/>
              <w:left w:w="70" w:type="dxa"/>
              <w:bottom w:w="65" w:type="dxa"/>
              <w:right w:w="70" w:type="dxa"/>
              <w:start w:w="68" w:type="dxa"/>
              <w:end w:w="68" w:type="dxa"/>
            </w:tcMar>
            <w:vAlign w:val="center"/>
          </w:tcPr>
          <w:p w14:paraId="03893163">
            <w:pPr>
              <w:spacing w:before="0" w:after="0" w:line="240" w:lineRule="auto"/>
              <w:jc w:val="left"/>
            </w:pPr>
            <w:r>
              <w:rPr>
                <w:rFonts w:ascii="Times New Roman" w:hAnsi="Times New Roman" w:eastAsia="Times New Roman" w:cs="Times New Roman"/>
                <w:b w:val="0"/>
                <w:color w:val="000000"/>
                <w:sz w:val="16"/>
              </w:rPr>
              <w:t>No candidate automatically entered the final bank.</w:t>
            </w:r>
          </w:p>
        </w:tc>
      </w:tr>
      <w:tr w14:paraId="690F5D91">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1656" w:type="dxa"/>
            <w:tcMar>
              <w:top w:w="65" w:type="dxa"/>
              <w:left w:w="70" w:type="dxa"/>
              <w:bottom w:w="65" w:type="dxa"/>
              <w:right w:w="70" w:type="dxa"/>
              <w:start w:w="68" w:type="dxa"/>
              <w:end w:w="68" w:type="dxa"/>
            </w:tcMar>
            <w:vAlign w:val="center"/>
          </w:tcPr>
          <w:p w14:paraId="24B00431">
            <w:pPr>
              <w:spacing w:before="0" w:after="0" w:line="240" w:lineRule="auto"/>
              <w:jc w:val="left"/>
            </w:pPr>
            <w:r>
              <w:rPr>
                <w:rFonts w:ascii="Times New Roman" w:hAnsi="Times New Roman" w:eastAsia="Times New Roman" w:cs="Times New Roman"/>
                <w:b w:val="0"/>
                <w:color w:val="000000"/>
                <w:sz w:val="16"/>
              </w:rPr>
              <w:t>Human curation</w:t>
            </w:r>
          </w:p>
        </w:tc>
        <w:tc>
          <w:tcPr>
            <w:tcW w:w="2880" w:type="dxa"/>
            <w:tcMar>
              <w:top w:w="65" w:type="dxa"/>
              <w:left w:w="70" w:type="dxa"/>
              <w:bottom w:w="65" w:type="dxa"/>
              <w:right w:w="70" w:type="dxa"/>
              <w:start w:w="68" w:type="dxa"/>
              <w:end w:w="68" w:type="dxa"/>
            </w:tcMar>
            <w:vAlign w:val="center"/>
          </w:tcPr>
          <w:p w14:paraId="24E88E9F">
            <w:pPr>
              <w:spacing w:before="0" w:after="0" w:line="240" w:lineRule="auto"/>
              <w:jc w:val="left"/>
            </w:pPr>
            <w:r>
              <w:rPr>
                <w:rFonts w:ascii="Times New Roman" w:hAnsi="Times New Roman" w:eastAsia="Times New Roman" w:cs="Times New Roman"/>
                <w:b w:val="0"/>
                <w:color w:val="000000"/>
                <w:sz w:val="16"/>
              </w:rPr>
              <w:t>Review, fact-check, edit, de-duplicate, standardise, and lock items.</w:t>
            </w:r>
          </w:p>
        </w:tc>
        <w:tc>
          <w:tcPr>
            <w:tcW w:w="2520" w:type="dxa"/>
            <w:tcMar>
              <w:top w:w="65" w:type="dxa"/>
              <w:left w:w="70" w:type="dxa"/>
              <w:bottom w:w="65" w:type="dxa"/>
              <w:right w:w="70" w:type="dxa"/>
              <w:start w:w="68" w:type="dxa"/>
              <w:end w:w="68" w:type="dxa"/>
            </w:tcMar>
            <w:vAlign w:val="center"/>
          </w:tcPr>
          <w:p w14:paraId="47FC4FCF">
            <w:pPr>
              <w:spacing w:before="0" w:after="0" w:line="240" w:lineRule="auto"/>
              <w:jc w:val="left"/>
            </w:pPr>
            <w:r>
              <w:rPr>
                <w:rFonts w:ascii="Times New Roman" w:hAnsi="Times New Roman" w:eastAsia="Times New Roman" w:cs="Times New Roman"/>
                <w:b w:val="0"/>
                <w:color w:val="000000"/>
                <w:sz w:val="16"/>
              </w:rPr>
              <w:t>Language alternatives where requested.</w:t>
            </w:r>
          </w:p>
        </w:tc>
        <w:tc>
          <w:tcPr>
            <w:tcW w:w="2880" w:type="dxa"/>
            <w:tcMar>
              <w:top w:w="65" w:type="dxa"/>
              <w:left w:w="70" w:type="dxa"/>
              <w:bottom w:w="65" w:type="dxa"/>
              <w:right w:w="70" w:type="dxa"/>
              <w:start w:w="68" w:type="dxa"/>
              <w:end w:w="68" w:type="dxa"/>
            </w:tcMar>
            <w:vAlign w:val="center"/>
          </w:tcPr>
          <w:p w14:paraId="0D30F03B">
            <w:pPr>
              <w:spacing w:before="0" w:after="0" w:line="240" w:lineRule="auto"/>
              <w:jc w:val="left"/>
            </w:pPr>
            <w:r>
              <w:rPr>
                <w:rFonts w:ascii="Times New Roman" w:hAnsi="Times New Roman" w:eastAsia="Times New Roman" w:cs="Times New Roman"/>
                <w:b w:val="0"/>
                <w:color w:val="000000"/>
                <w:sz w:val="16"/>
              </w:rPr>
              <w:t>Final decision and wording controlled by project lead.</w:t>
            </w:r>
          </w:p>
        </w:tc>
      </w:tr>
      <w:tr w14:paraId="29877E38">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1656" w:type="dxa"/>
            <w:tcMar>
              <w:top w:w="65" w:type="dxa"/>
              <w:left w:w="70" w:type="dxa"/>
              <w:bottom w:w="65" w:type="dxa"/>
              <w:right w:w="70" w:type="dxa"/>
              <w:start w:w="68" w:type="dxa"/>
              <w:end w:w="68" w:type="dxa"/>
            </w:tcMar>
            <w:vAlign w:val="center"/>
          </w:tcPr>
          <w:p w14:paraId="4F8F16C4">
            <w:pPr>
              <w:spacing w:before="0" w:after="0" w:line="240" w:lineRule="auto"/>
              <w:jc w:val="left"/>
            </w:pPr>
            <w:r>
              <w:rPr>
                <w:rFonts w:ascii="Times New Roman" w:hAnsi="Times New Roman" w:eastAsia="Times New Roman" w:cs="Times New Roman"/>
                <w:b w:val="0"/>
                <w:color w:val="000000"/>
                <w:sz w:val="16"/>
              </w:rPr>
              <w:t>Annotation preparation</w:t>
            </w:r>
          </w:p>
        </w:tc>
        <w:tc>
          <w:tcPr>
            <w:tcW w:w="2880" w:type="dxa"/>
            <w:tcMar>
              <w:top w:w="65" w:type="dxa"/>
              <w:left w:w="70" w:type="dxa"/>
              <w:bottom w:w="65" w:type="dxa"/>
              <w:right w:w="70" w:type="dxa"/>
              <w:start w:w="68" w:type="dxa"/>
              <w:end w:w="68" w:type="dxa"/>
            </w:tcMar>
            <w:vAlign w:val="center"/>
          </w:tcPr>
          <w:p w14:paraId="5BC1ACC6">
            <w:pPr>
              <w:spacing w:before="0" w:after="0" w:line="240" w:lineRule="auto"/>
              <w:jc w:val="left"/>
            </w:pPr>
            <w:r>
              <w:rPr>
                <w:rFonts w:ascii="Times New Roman" w:hAnsi="Times New Roman" w:eastAsia="Times New Roman" w:cs="Times New Roman"/>
                <w:b w:val="0"/>
                <w:color w:val="000000"/>
                <w:sz w:val="16"/>
              </w:rPr>
              <w:t>Remove researcher-facing expectations and checkpoint identity.</w:t>
            </w:r>
          </w:p>
        </w:tc>
        <w:tc>
          <w:tcPr>
            <w:tcW w:w="2520" w:type="dxa"/>
            <w:tcMar>
              <w:top w:w="65" w:type="dxa"/>
              <w:left w:w="70" w:type="dxa"/>
              <w:bottom w:w="65" w:type="dxa"/>
              <w:right w:w="70" w:type="dxa"/>
              <w:start w:w="68" w:type="dxa"/>
              <w:end w:w="68" w:type="dxa"/>
            </w:tcMar>
            <w:vAlign w:val="center"/>
          </w:tcPr>
          <w:p w14:paraId="0AAF70E7">
            <w:pPr>
              <w:spacing w:before="0" w:after="0" w:line="240" w:lineRule="auto"/>
              <w:jc w:val="left"/>
            </w:pPr>
            <w:r>
              <w:rPr>
                <w:rFonts w:ascii="Times New Roman" w:hAnsi="Times New Roman" w:eastAsia="Times New Roman" w:cs="Times New Roman"/>
                <w:b w:val="0"/>
                <w:color w:val="000000"/>
                <w:sz w:val="16"/>
              </w:rPr>
              <w:t>None.</w:t>
            </w:r>
          </w:p>
        </w:tc>
        <w:tc>
          <w:tcPr>
            <w:tcW w:w="2880" w:type="dxa"/>
            <w:tcMar>
              <w:top w:w="65" w:type="dxa"/>
              <w:left w:w="70" w:type="dxa"/>
              <w:bottom w:w="65" w:type="dxa"/>
              <w:right w:w="70" w:type="dxa"/>
              <w:start w:w="68" w:type="dxa"/>
              <w:end w:w="68" w:type="dxa"/>
            </w:tcMar>
            <w:vAlign w:val="center"/>
          </w:tcPr>
          <w:p w14:paraId="34327930">
            <w:pPr>
              <w:spacing w:before="0" w:after="0" w:line="240" w:lineRule="auto"/>
              <w:jc w:val="left"/>
            </w:pPr>
            <w:r>
              <w:rPr>
                <w:rFonts w:ascii="Times New Roman" w:hAnsi="Times New Roman" w:eastAsia="Times New Roman" w:cs="Times New Roman"/>
                <w:b w:val="0"/>
                <w:color w:val="000000"/>
                <w:sz w:val="16"/>
              </w:rPr>
              <w:t>Annotators see only prompt/context/output and empty fields.</w:t>
            </w:r>
          </w:p>
        </w:tc>
      </w:tr>
      <w:tr w14:paraId="1DDCD0CF">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1656" w:type="dxa"/>
            <w:tcMar>
              <w:top w:w="65" w:type="dxa"/>
              <w:left w:w="70" w:type="dxa"/>
              <w:bottom w:w="65" w:type="dxa"/>
              <w:right w:w="70" w:type="dxa"/>
              <w:start w:w="68" w:type="dxa"/>
              <w:end w:w="68" w:type="dxa"/>
            </w:tcMar>
            <w:vAlign w:val="center"/>
          </w:tcPr>
          <w:p w14:paraId="47D2FA70">
            <w:pPr>
              <w:spacing w:before="0" w:after="0" w:line="240" w:lineRule="auto"/>
              <w:jc w:val="left"/>
            </w:pPr>
            <w:r>
              <w:rPr>
                <w:rFonts w:ascii="Times New Roman" w:hAnsi="Times New Roman" w:eastAsia="Times New Roman" w:cs="Times New Roman"/>
                <w:b w:val="0"/>
                <w:color w:val="000000"/>
                <w:sz w:val="16"/>
              </w:rPr>
              <w:t>External validity</w:t>
            </w:r>
          </w:p>
        </w:tc>
        <w:tc>
          <w:tcPr>
            <w:tcW w:w="2880" w:type="dxa"/>
            <w:tcMar>
              <w:top w:w="65" w:type="dxa"/>
              <w:left w:w="70" w:type="dxa"/>
              <w:bottom w:w="65" w:type="dxa"/>
              <w:right w:w="70" w:type="dxa"/>
              <w:start w:w="68" w:type="dxa"/>
              <w:end w:w="68" w:type="dxa"/>
            </w:tcMar>
            <w:vAlign w:val="center"/>
          </w:tcPr>
          <w:p w14:paraId="04D27052">
            <w:pPr>
              <w:spacing w:before="0" w:after="0" w:line="240" w:lineRule="auto"/>
              <w:jc w:val="left"/>
            </w:pPr>
            <w:r>
              <w:rPr>
                <w:rFonts w:ascii="Times New Roman" w:hAnsi="Times New Roman" w:eastAsia="Times New Roman" w:cs="Times New Roman"/>
                <w:b w:val="0"/>
                <w:color w:val="000000"/>
                <w:sz w:val="16"/>
              </w:rPr>
              <w:t>Acknowledge shared conceptual provenance.</w:t>
            </w:r>
          </w:p>
        </w:tc>
        <w:tc>
          <w:tcPr>
            <w:tcW w:w="2520" w:type="dxa"/>
            <w:tcMar>
              <w:top w:w="65" w:type="dxa"/>
              <w:left w:w="70" w:type="dxa"/>
              <w:bottom w:w="65" w:type="dxa"/>
              <w:right w:w="70" w:type="dxa"/>
              <w:start w:w="68" w:type="dxa"/>
              <w:end w:w="68" w:type="dxa"/>
            </w:tcMar>
            <w:vAlign w:val="center"/>
          </w:tcPr>
          <w:p w14:paraId="271B5646">
            <w:pPr>
              <w:spacing w:before="0" w:after="0" w:line="240" w:lineRule="auto"/>
              <w:jc w:val="left"/>
            </w:pPr>
            <w:r>
              <w:rPr>
                <w:rFonts w:ascii="Times New Roman" w:hAnsi="Times New Roman" w:eastAsia="Times New Roman" w:cs="Times New Roman"/>
                <w:b w:val="0"/>
                <w:color w:val="000000"/>
                <w:sz w:val="16"/>
              </w:rPr>
              <w:t>None.</w:t>
            </w:r>
          </w:p>
        </w:tc>
        <w:tc>
          <w:tcPr>
            <w:tcW w:w="2880" w:type="dxa"/>
            <w:tcMar>
              <w:top w:w="65" w:type="dxa"/>
              <w:left w:w="70" w:type="dxa"/>
              <w:bottom w:w="65" w:type="dxa"/>
              <w:right w:w="70" w:type="dxa"/>
              <w:start w:w="68" w:type="dxa"/>
              <w:end w:w="68" w:type="dxa"/>
            </w:tcMar>
            <w:vAlign w:val="center"/>
          </w:tcPr>
          <w:p w14:paraId="066E8AF9">
            <w:pPr>
              <w:spacing w:before="0" w:after="0" w:line="240" w:lineRule="auto"/>
              <w:jc w:val="left"/>
            </w:pPr>
            <w:r>
              <w:rPr>
                <w:rFonts w:ascii="Times New Roman" w:hAnsi="Times New Roman" w:eastAsia="Times New Roman" w:cs="Times New Roman"/>
                <w:b w:val="0"/>
                <w:color w:val="000000"/>
                <w:sz w:val="16"/>
              </w:rPr>
              <w:t>Future independently authored replication required.</w:t>
            </w:r>
          </w:p>
        </w:tc>
      </w:tr>
    </w:tbl>
    <w:p w14:paraId="7E1F79E4">
      <w:pPr>
        <w:pStyle w:val="3"/>
        <w:keepNext/>
        <w:keepLines/>
        <w:pageBreakBefore w:val="0"/>
        <w:spacing w:before="140" w:after="80"/>
      </w:pPr>
      <w:r>
        <w:rPr>
          <w:rFonts w:ascii="Times New Roman" w:hAnsi="Times New Roman" w:eastAsia="Times New Roman"/>
          <w:color w:val="000000"/>
        </w:rPr>
        <w:t>S1.3 Prompt-bank and generated-output fields</w:t>
      </w:r>
    </w:p>
    <w:p w14:paraId="1E59045F">
      <w:pPr>
        <w:pStyle w:val="16"/>
        <w:keepNext/>
        <w:keepLines/>
        <w:spacing w:before="120" w:after="60"/>
        <w:jc w:val="left"/>
      </w:pPr>
      <w:r>
        <w:rPr>
          <w:rFonts w:ascii="Times New Roman" w:hAnsi="Times New Roman" w:eastAsia="Times New Roman" w:cs="Times New Roman"/>
          <w:b/>
          <w:sz w:val="17"/>
        </w:rPr>
        <w:t>Table S3.</w:t>
      </w:r>
      <w:r>
        <w:rPr>
          <w:rFonts w:ascii="Times New Roman" w:hAnsi="Times New Roman" w:eastAsia="Times New Roman" w:cs="Times New Roman"/>
          <w:b w:val="0"/>
          <w:sz w:val="17"/>
        </w:rPr>
        <w:t xml:space="preserve"> Prompt-bank and generated-output fields.</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2530"/>
        <w:gridCol w:w="2530"/>
        <w:gridCol w:w="2530"/>
        <w:gridCol w:w="2530"/>
      </w:tblGrid>
      <w:tr w14:paraId="3DBD3B39">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tblHeader w:val="true"/>
          <w:jc w:val="center"/>
          <w:tblHeader w:val="true"/>
        </w:trPr>
        <w:tc>
          <w:tcPr>
            <w:tcW w:w="2016" w:type="dxa"/>
            <w:tcMar>
              <w:top w:w="65" w:type="dxa"/>
              <w:left w:w="70" w:type="dxa"/>
              <w:bottom w:w="65" w:type="dxa"/>
              <w:right w:w="70" w:type="dxa"/>
              <w:start w:w="68" w:type="dxa"/>
              <w:end w:w="68" w:type="dxa"/>
            </w:tcMar>
            <w:vAlign w:val="center"/>
            <w:shd w:val="clear" w:color="auto" w:fill="E8F0F8"/>
          </w:tcPr>
          <w:p w14:paraId="557BE52A">
            <w:pPr>
              <w:spacing w:before="0" w:after="0" w:line="240" w:lineRule="auto"/>
              <w:jc w:val="center"/>
            </w:pPr>
            <w:r>
              <w:rPr>
                <w:rFonts w:ascii="Times New Roman" w:hAnsi="Times New Roman" w:eastAsia="Times New Roman" w:cs="Times New Roman"/>
                <w:b/>
                <w:color w:val="1E364D"/>
                <w:sz w:val="16"/>
              </w:rPr>
              <w:t>Field</w:t>
            </w:r>
          </w:p>
        </w:tc>
        <w:tc>
          <w:tcPr>
            <w:tcW w:w="1584" w:type="dxa"/>
            <w:tcMar>
              <w:top w:w="65" w:type="dxa"/>
              <w:left w:w="70" w:type="dxa"/>
              <w:bottom w:w="65" w:type="dxa"/>
              <w:right w:w="70" w:type="dxa"/>
              <w:start w:w="68" w:type="dxa"/>
              <w:end w:w="68" w:type="dxa"/>
            </w:tcMar>
            <w:vAlign w:val="center"/>
            <w:shd w:val="clear" w:color="auto" w:fill="E8F0F8"/>
          </w:tcPr>
          <w:p w14:paraId="18010CBB">
            <w:pPr>
              <w:spacing w:before="0" w:after="0" w:line="240" w:lineRule="auto"/>
              <w:jc w:val="center"/>
            </w:pPr>
            <w:r>
              <w:rPr>
                <w:rFonts w:ascii="Times New Roman" w:hAnsi="Times New Roman" w:eastAsia="Times New Roman" w:cs="Times New Roman"/>
                <w:b/>
                <w:color w:val="1E364D"/>
                <w:sz w:val="16"/>
              </w:rPr>
              <w:t>Status</w:t>
            </w:r>
          </w:p>
        </w:tc>
        <w:tc>
          <w:tcPr>
            <w:tcW w:w="4608" w:type="dxa"/>
            <w:tcMar>
              <w:top w:w="65" w:type="dxa"/>
              <w:left w:w="70" w:type="dxa"/>
              <w:bottom w:w="65" w:type="dxa"/>
              <w:right w:w="70" w:type="dxa"/>
              <w:start w:w="68" w:type="dxa"/>
              <w:end w:w="68" w:type="dxa"/>
            </w:tcMar>
            <w:vAlign w:val="center"/>
            <w:shd w:val="clear" w:color="auto" w:fill="E8F0F8"/>
          </w:tcPr>
          <w:p w14:paraId="00516131">
            <w:pPr>
              <w:spacing w:before="0" w:after="0" w:line="240" w:lineRule="auto"/>
              <w:jc w:val="center"/>
            </w:pPr>
            <w:r>
              <w:rPr>
                <w:rFonts w:ascii="Times New Roman" w:hAnsi="Times New Roman" w:eastAsia="Times New Roman" w:cs="Times New Roman"/>
                <w:b/>
                <w:color w:val="1E364D"/>
                <w:sz w:val="16"/>
              </w:rPr>
              <w:t>Description</w:t>
            </w:r>
          </w:p>
        </w:tc>
        <w:tc>
          <w:tcPr>
            <w:tcW w:w="1800" w:type="dxa"/>
            <w:tcMar>
              <w:top w:w="65" w:type="dxa"/>
              <w:left w:w="70" w:type="dxa"/>
              <w:bottom w:w="65" w:type="dxa"/>
              <w:right w:w="70" w:type="dxa"/>
              <w:start w:w="68" w:type="dxa"/>
              <w:end w:w="68" w:type="dxa"/>
            </w:tcMar>
            <w:vAlign w:val="center"/>
            <w:shd w:val="clear" w:color="auto" w:fill="E8F0F8"/>
          </w:tcPr>
          <w:p w14:paraId="42514319">
            <w:pPr>
              <w:spacing w:before="0" w:after="0" w:line="240" w:lineRule="auto"/>
              <w:jc w:val="center"/>
            </w:pPr>
            <w:r>
              <w:rPr>
                <w:rFonts w:ascii="Times New Roman" w:hAnsi="Times New Roman" w:eastAsia="Times New Roman" w:cs="Times New Roman"/>
                <w:b/>
                <w:color w:val="1E364D"/>
                <w:sz w:val="16"/>
              </w:rPr>
              <w:t>Shown to annotators</w:t>
            </w:r>
          </w:p>
        </w:tc>
      </w:tr>
      <w:tr w14:paraId="1E173E24">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2016" w:type="dxa"/>
            <w:tcMar>
              <w:top w:w="65" w:type="dxa"/>
              <w:left w:w="70" w:type="dxa"/>
              <w:bottom w:w="65" w:type="dxa"/>
              <w:right w:w="70" w:type="dxa"/>
              <w:start w:w="68" w:type="dxa"/>
              <w:end w:w="68" w:type="dxa"/>
            </w:tcMar>
            <w:vAlign w:val="center"/>
          </w:tcPr>
          <w:p w14:paraId="2698B3D2">
            <w:pPr>
              <w:spacing w:before="0" w:after="0" w:line="240" w:lineRule="auto"/>
              <w:jc w:val="left"/>
            </w:pPr>
            <w:r>
              <w:rPr>
                <w:rFonts w:ascii="Times New Roman" w:hAnsi="Times New Roman" w:eastAsia="Times New Roman" w:cs="Times New Roman"/>
                <w:b w:val="0"/>
                <w:color w:val="000000"/>
                <w:sz w:val="16"/>
              </w:rPr>
              <w:t>prompt_id</w:t>
            </w:r>
          </w:p>
        </w:tc>
        <w:tc>
          <w:tcPr>
            <w:tcW w:w="1584" w:type="dxa"/>
            <w:tcMar>
              <w:top w:w="65" w:type="dxa"/>
              <w:left w:w="70" w:type="dxa"/>
              <w:bottom w:w="65" w:type="dxa"/>
              <w:right w:w="70" w:type="dxa"/>
              <w:start w:w="68" w:type="dxa"/>
              <w:end w:w="68" w:type="dxa"/>
            </w:tcMar>
            <w:vAlign w:val="center"/>
          </w:tcPr>
          <w:p w14:paraId="6AE111C8">
            <w:pPr>
              <w:spacing w:before="0" w:after="0" w:line="240" w:lineRule="auto"/>
              <w:jc w:val="left"/>
            </w:pPr>
            <w:r>
              <w:rPr>
                <w:rFonts w:ascii="Times New Roman" w:hAnsi="Times New Roman" w:eastAsia="Times New Roman" w:cs="Times New Roman"/>
                <w:b w:val="0"/>
                <w:color w:val="000000"/>
                <w:sz w:val="16"/>
              </w:rPr>
              <w:t>Required</w:t>
            </w:r>
          </w:p>
        </w:tc>
        <w:tc>
          <w:tcPr>
            <w:tcW w:w="4608" w:type="dxa"/>
            <w:tcMar>
              <w:top w:w="65" w:type="dxa"/>
              <w:left w:w="70" w:type="dxa"/>
              <w:bottom w:w="65" w:type="dxa"/>
              <w:right w:w="70" w:type="dxa"/>
              <w:start w:w="68" w:type="dxa"/>
              <w:end w:w="68" w:type="dxa"/>
            </w:tcMar>
            <w:vAlign w:val="center"/>
          </w:tcPr>
          <w:p w14:paraId="3706DD2E">
            <w:pPr>
              <w:spacing w:before="0" w:after="0" w:line="240" w:lineRule="auto"/>
              <w:jc w:val="left"/>
            </w:pPr>
            <w:r>
              <w:rPr>
                <w:rFonts w:ascii="Times New Roman" w:hAnsi="Times New Roman" w:eastAsia="Times New Roman" w:cs="Times New Roman"/>
                <w:b w:val="0"/>
                <w:color w:val="000000"/>
                <w:sz w:val="16"/>
              </w:rPr>
              <w:t>Stable identifier.</w:t>
            </w:r>
          </w:p>
        </w:tc>
        <w:tc>
          <w:tcPr>
            <w:tcW w:w="1800" w:type="dxa"/>
            <w:tcMar>
              <w:top w:w="65" w:type="dxa"/>
              <w:left w:w="70" w:type="dxa"/>
              <w:bottom w:w="65" w:type="dxa"/>
              <w:right w:w="70" w:type="dxa"/>
              <w:start w:w="68" w:type="dxa"/>
              <w:end w:w="68" w:type="dxa"/>
            </w:tcMar>
            <w:vAlign w:val="center"/>
          </w:tcPr>
          <w:p w14:paraId="089885C9">
            <w:pPr>
              <w:spacing w:before="0" w:after="0" w:line="240" w:lineRule="auto"/>
              <w:jc w:val="left"/>
            </w:pPr>
            <w:r>
              <w:rPr>
                <w:rFonts w:ascii="Times New Roman" w:hAnsi="Times New Roman" w:eastAsia="Times New Roman" w:cs="Times New Roman"/>
                <w:b w:val="0"/>
                <w:color w:val="000000"/>
                <w:sz w:val="16"/>
              </w:rPr>
              <w:t>Yes</w:t>
            </w:r>
          </w:p>
        </w:tc>
      </w:tr>
      <w:tr w14:paraId="3EB98329">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2016" w:type="dxa"/>
            <w:tcMar>
              <w:top w:w="65" w:type="dxa"/>
              <w:left w:w="70" w:type="dxa"/>
              <w:bottom w:w="65" w:type="dxa"/>
              <w:right w:w="70" w:type="dxa"/>
              <w:start w:w="68" w:type="dxa"/>
              <w:end w:w="68" w:type="dxa"/>
            </w:tcMar>
            <w:vAlign w:val="center"/>
          </w:tcPr>
          <w:p w14:paraId="26FD12EC">
            <w:pPr>
              <w:spacing w:before="0" w:after="0" w:line="240" w:lineRule="auto"/>
              <w:jc w:val="left"/>
            </w:pPr>
            <w:r>
              <w:rPr>
                <w:rFonts w:ascii="Times New Roman" w:hAnsi="Times New Roman" w:eastAsia="Times New Roman" w:cs="Times New Roman"/>
                <w:b w:val="0"/>
                <w:color w:val="000000"/>
                <w:sz w:val="16"/>
              </w:rPr>
              <w:t>task_type</w:t>
            </w:r>
          </w:p>
        </w:tc>
        <w:tc>
          <w:tcPr>
            <w:tcW w:w="1584" w:type="dxa"/>
            <w:tcMar>
              <w:top w:w="65" w:type="dxa"/>
              <w:left w:w="70" w:type="dxa"/>
              <w:bottom w:w="65" w:type="dxa"/>
              <w:right w:w="70" w:type="dxa"/>
              <w:start w:w="68" w:type="dxa"/>
              <w:end w:w="68" w:type="dxa"/>
            </w:tcMar>
            <w:vAlign w:val="center"/>
          </w:tcPr>
          <w:p w14:paraId="147770CA">
            <w:pPr>
              <w:spacing w:before="0" w:after="0" w:line="240" w:lineRule="auto"/>
              <w:jc w:val="left"/>
            </w:pPr>
            <w:r>
              <w:rPr>
                <w:rFonts w:ascii="Times New Roman" w:hAnsi="Times New Roman" w:eastAsia="Times New Roman" w:cs="Times New Roman"/>
                <w:b w:val="0"/>
                <w:color w:val="000000"/>
                <w:sz w:val="16"/>
              </w:rPr>
              <w:t>Required</w:t>
            </w:r>
          </w:p>
        </w:tc>
        <w:tc>
          <w:tcPr>
            <w:tcW w:w="4608" w:type="dxa"/>
            <w:tcMar>
              <w:top w:w="65" w:type="dxa"/>
              <w:left w:w="70" w:type="dxa"/>
              <w:bottom w:w="65" w:type="dxa"/>
              <w:right w:w="70" w:type="dxa"/>
              <w:start w:w="68" w:type="dxa"/>
              <w:end w:w="68" w:type="dxa"/>
            </w:tcMar>
            <w:vAlign w:val="center"/>
          </w:tcPr>
          <w:p w14:paraId="544493E6">
            <w:pPr>
              <w:spacing w:before="0" w:after="0" w:line="240" w:lineRule="auto"/>
              <w:jc w:val="left"/>
            </w:pPr>
            <w:r>
              <w:rPr>
                <w:rFonts w:ascii="Times New Roman" w:hAnsi="Times New Roman" w:eastAsia="Times New Roman" w:cs="Times New Roman"/>
                <w:b w:val="0"/>
                <w:color w:val="000000"/>
                <w:sz w:val="16"/>
              </w:rPr>
              <w:t>One of the six task categories.</w:t>
            </w:r>
          </w:p>
        </w:tc>
        <w:tc>
          <w:tcPr>
            <w:tcW w:w="1800" w:type="dxa"/>
            <w:tcMar>
              <w:top w:w="65" w:type="dxa"/>
              <w:left w:w="70" w:type="dxa"/>
              <w:bottom w:w="65" w:type="dxa"/>
              <w:right w:w="70" w:type="dxa"/>
              <w:start w:w="68" w:type="dxa"/>
              <w:end w:w="68" w:type="dxa"/>
            </w:tcMar>
            <w:vAlign w:val="center"/>
          </w:tcPr>
          <w:p w14:paraId="1182D6CD">
            <w:pPr>
              <w:spacing w:before="0" w:after="0" w:line="240" w:lineRule="auto"/>
              <w:jc w:val="left"/>
            </w:pPr>
            <w:r>
              <w:rPr>
                <w:rFonts w:ascii="Times New Roman" w:hAnsi="Times New Roman" w:eastAsia="Times New Roman" w:cs="Times New Roman"/>
                <w:b w:val="0"/>
                <w:color w:val="000000"/>
                <w:sz w:val="16"/>
              </w:rPr>
              <w:t>Yes</w:t>
            </w:r>
          </w:p>
        </w:tc>
      </w:tr>
      <w:tr w14:paraId="53190900">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2016" w:type="dxa"/>
            <w:tcMar>
              <w:top w:w="65" w:type="dxa"/>
              <w:left w:w="70" w:type="dxa"/>
              <w:bottom w:w="65" w:type="dxa"/>
              <w:right w:w="70" w:type="dxa"/>
              <w:start w:w="68" w:type="dxa"/>
              <w:end w:w="68" w:type="dxa"/>
            </w:tcMar>
            <w:vAlign w:val="center"/>
          </w:tcPr>
          <w:p w14:paraId="3383C9BE">
            <w:pPr>
              <w:spacing w:before="0" w:after="0" w:line="240" w:lineRule="auto"/>
              <w:jc w:val="left"/>
            </w:pPr>
            <w:r>
              <w:rPr>
                <w:rFonts w:ascii="Times New Roman" w:hAnsi="Times New Roman" w:eastAsia="Times New Roman" w:cs="Times New Roman"/>
                <w:b w:val="0"/>
                <w:color w:val="000000"/>
                <w:sz w:val="16"/>
              </w:rPr>
              <w:t>source_context</w:t>
            </w:r>
          </w:p>
        </w:tc>
        <w:tc>
          <w:tcPr>
            <w:tcW w:w="1584" w:type="dxa"/>
            <w:tcMar>
              <w:top w:w="65" w:type="dxa"/>
              <w:left w:w="70" w:type="dxa"/>
              <w:bottom w:w="65" w:type="dxa"/>
              <w:right w:w="70" w:type="dxa"/>
              <w:start w:w="68" w:type="dxa"/>
              <w:end w:w="68" w:type="dxa"/>
            </w:tcMar>
            <w:vAlign w:val="center"/>
          </w:tcPr>
          <w:p w14:paraId="52521CB9">
            <w:pPr>
              <w:spacing w:before="0" w:after="0" w:line="240" w:lineRule="auto"/>
              <w:jc w:val="left"/>
            </w:pPr>
            <w:r>
              <w:rPr>
                <w:rFonts w:ascii="Times New Roman" w:hAnsi="Times New Roman" w:eastAsia="Times New Roman" w:cs="Times New Roman"/>
                <w:b w:val="0"/>
                <w:color w:val="000000"/>
                <w:sz w:val="16"/>
              </w:rPr>
              <w:t>Conditional</w:t>
            </w:r>
          </w:p>
        </w:tc>
        <w:tc>
          <w:tcPr>
            <w:tcW w:w="4608" w:type="dxa"/>
            <w:tcMar>
              <w:top w:w="65" w:type="dxa"/>
              <w:left w:w="70" w:type="dxa"/>
              <w:bottom w:w="65" w:type="dxa"/>
              <w:right w:w="70" w:type="dxa"/>
              <w:start w:w="68" w:type="dxa"/>
              <w:end w:w="68" w:type="dxa"/>
            </w:tcMar>
            <w:vAlign w:val="center"/>
          </w:tcPr>
          <w:p w14:paraId="7862CBE6">
            <w:pPr>
              <w:spacing w:before="0" w:after="0" w:line="240" w:lineRule="auto"/>
              <w:jc w:val="left"/>
            </w:pPr>
            <w:r>
              <w:rPr>
                <w:rFonts w:ascii="Times New Roman" w:hAnsi="Times New Roman" w:eastAsia="Times New Roman" w:cs="Times New Roman"/>
                <w:b w:val="0"/>
                <w:color w:val="000000"/>
                <w:sz w:val="16"/>
              </w:rPr>
              <w:t>Source passage or prior discourse where applicable.</w:t>
            </w:r>
          </w:p>
        </w:tc>
        <w:tc>
          <w:tcPr>
            <w:tcW w:w="1800" w:type="dxa"/>
            <w:tcMar>
              <w:top w:w="65" w:type="dxa"/>
              <w:left w:w="70" w:type="dxa"/>
              <w:bottom w:w="65" w:type="dxa"/>
              <w:right w:w="70" w:type="dxa"/>
              <w:start w:w="68" w:type="dxa"/>
              <w:end w:w="68" w:type="dxa"/>
            </w:tcMar>
            <w:vAlign w:val="center"/>
          </w:tcPr>
          <w:p w14:paraId="2F77AE80">
            <w:pPr>
              <w:spacing w:before="0" w:after="0" w:line="240" w:lineRule="auto"/>
              <w:jc w:val="left"/>
            </w:pPr>
            <w:r>
              <w:rPr>
                <w:rFonts w:ascii="Times New Roman" w:hAnsi="Times New Roman" w:eastAsia="Times New Roman" w:cs="Times New Roman"/>
                <w:b w:val="0"/>
                <w:color w:val="000000"/>
                <w:sz w:val="16"/>
              </w:rPr>
              <w:t>Yes</w:t>
            </w:r>
          </w:p>
        </w:tc>
      </w:tr>
      <w:tr w14:paraId="173E168A">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2016" w:type="dxa"/>
            <w:tcMar>
              <w:top w:w="65" w:type="dxa"/>
              <w:left w:w="70" w:type="dxa"/>
              <w:bottom w:w="65" w:type="dxa"/>
              <w:right w:w="70" w:type="dxa"/>
              <w:start w:w="68" w:type="dxa"/>
              <w:end w:w="68" w:type="dxa"/>
            </w:tcMar>
            <w:vAlign w:val="center"/>
          </w:tcPr>
          <w:p w14:paraId="173F3685">
            <w:pPr>
              <w:spacing w:before="0" w:after="0" w:line="240" w:lineRule="auto"/>
              <w:jc w:val="left"/>
            </w:pPr>
            <w:r>
              <w:rPr>
                <w:rFonts w:ascii="Times New Roman" w:hAnsi="Times New Roman" w:eastAsia="Times New Roman" w:cs="Times New Roman"/>
                <w:b w:val="0"/>
                <w:color w:val="000000"/>
                <w:sz w:val="16"/>
              </w:rPr>
              <w:t>prompt_text</w:t>
            </w:r>
          </w:p>
        </w:tc>
        <w:tc>
          <w:tcPr>
            <w:tcW w:w="1584" w:type="dxa"/>
            <w:tcMar>
              <w:top w:w="65" w:type="dxa"/>
              <w:left w:w="70" w:type="dxa"/>
              <w:bottom w:w="65" w:type="dxa"/>
              <w:right w:w="70" w:type="dxa"/>
              <w:start w:w="68" w:type="dxa"/>
              <w:end w:w="68" w:type="dxa"/>
            </w:tcMar>
            <w:vAlign w:val="center"/>
          </w:tcPr>
          <w:p w14:paraId="3B04C350">
            <w:pPr>
              <w:spacing w:before="0" w:after="0" w:line="240" w:lineRule="auto"/>
              <w:jc w:val="left"/>
            </w:pPr>
            <w:r>
              <w:rPr>
                <w:rFonts w:ascii="Times New Roman" w:hAnsi="Times New Roman" w:eastAsia="Times New Roman" w:cs="Times New Roman"/>
                <w:b w:val="0"/>
                <w:color w:val="000000"/>
                <w:sz w:val="16"/>
              </w:rPr>
              <w:t>Required</w:t>
            </w:r>
          </w:p>
        </w:tc>
        <w:tc>
          <w:tcPr>
            <w:tcW w:w="4608" w:type="dxa"/>
            <w:tcMar>
              <w:top w:w="65" w:type="dxa"/>
              <w:left w:w="70" w:type="dxa"/>
              <w:bottom w:w="65" w:type="dxa"/>
              <w:right w:w="70" w:type="dxa"/>
              <w:start w:w="68" w:type="dxa"/>
              <w:end w:w="68" w:type="dxa"/>
            </w:tcMar>
            <w:vAlign w:val="center"/>
          </w:tcPr>
          <w:p w14:paraId="295E8D08">
            <w:pPr>
              <w:spacing w:before="0" w:after="0" w:line="240" w:lineRule="auto"/>
              <w:jc w:val="left"/>
            </w:pPr>
            <w:r>
              <w:rPr>
                <w:rFonts w:ascii="Times New Roman" w:hAnsi="Times New Roman" w:eastAsia="Times New Roman" w:cs="Times New Roman"/>
                <w:b w:val="0"/>
                <w:color w:val="000000"/>
                <w:sz w:val="16"/>
              </w:rPr>
              <w:t>Task instruction.</w:t>
            </w:r>
          </w:p>
        </w:tc>
        <w:tc>
          <w:tcPr>
            <w:tcW w:w="1800" w:type="dxa"/>
            <w:tcMar>
              <w:top w:w="65" w:type="dxa"/>
              <w:left w:w="70" w:type="dxa"/>
              <w:bottom w:w="65" w:type="dxa"/>
              <w:right w:w="70" w:type="dxa"/>
              <w:start w:w="68" w:type="dxa"/>
              <w:end w:w="68" w:type="dxa"/>
            </w:tcMar>
            <w:vAlign w:val="center"/>
          </w:tcPr>
          <w:p w14:paraId="36EFBABA">
            <w:pPr>
              <w:spacing w:before="0" w:after="0" w:line="240" w:lineRule="auto"/>
              <w:jc w:val="left"/>
            </w:pPr>
            <w:r>
              <w:rPr>
                <w:rFonts w:ascii="Times New Roman" w:hAnsi="Times New Roman" w:eastAsia="Times New Roman" w:cs="Times New Roman"/>
                <w:b w:val="0"/>
                <w:color w:val="000000"/>
                <w:sz w:val="16"/>
              </w:rPr>
              <w:t>Yes</w:t>
            </w:r>
          </w:p>
        </w:tc>
      </w:tr>
      <w:tr w14:paraId="1A2472ED">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2016" w:type="dxa"/>
            <w:tcMar>
              <w:top w:w="65" w:type="dxa"/>
              <w:left w:w="70" w:type="dxa"/>
              <w:bottom w:w="65" w:type="dxa"/>
              <w:right w:w="70" w:type="dxa"/>
              <w:start w:w="68" w:type="dxa"/>
              <w:end w:w="68" w:type="dxa"/>
            </w:tcMar>
            <w:vAlign w:val="center"/>
          </w:tcPr>
          <w:p w14:paraId="67218C72">
            <w:pPr>
              <w:spacing w:before="0" w:after="0" w:line="240" w:lineRule="auto"/>
              <w:jc w:val="left"/>
            </w:pPr>
            <w:r>
              <w:rPr>
                <w:rFonts w:ascii="Times New Roman" w:hAnsi="Times New Roman" w:eastAsia="Times New Roman" w:cs="Times New Roman"/>
                <w:b w:val="0"/>
                <w:color w:val="000000"/>
                <w:sz w:val="16"/>
              </w:rPr>
              <w:t>full_model_input</w:t>
            </w:r>
          </w:p>
        </w:tc>
        <w:tc>
          <w:tcPr>
            <w:tcW w:w="1584" w:type="dxa"/>
            <w:tcMar>
              <w:top w:w="65" w:type="dxa"/>
              <w:left w:w="70" w:type="dxa"/>
              <w:bottom w:w="65" w:type="dxa"/>
              <w:right w:w="70" w:type="dxa"/>
              <w:start w:w="68" w:type="dxa"/>
              <w:end w:w="68" w:type="dxa"/>
            </w:tcMar>
            <w:vAlign w:val="center"/>
          </w:tcPr>
          <w:p w14:paraId="040AF7B7">
            <w:pPr>
              <w:spacing w:before="0" w:after="0" w:line="240" w:lineRule="auto"/>
              <w:jc w:val="left"/>
            </w:pPr>
            <w:r>
              <w:rPr>
                <w:rFonts w:ascii="Times New Roman" w:hAnsi="Times New Roman" w:eastAsia="Times New Roman" w:cs="Times New Roman"/>
                <w:b w:val="0"/>
                <w:color w:val="000000"/>
                <w:sz w:val="16"/>
              </w:rPr>
              <w:t>Required</w:t>
            </w:r>
          </w:p>
        </w:tc>
        <w:tc>
          <w:tcPr>
            <w:tcW w:w="4608" w:type="dxa"/>
            <w:tcMar>
              <w:top w:w="65" w:type="dxa"/>
              <w:left w:w="70" w:type="dxa"/>
              <w:bottom w:w="65" w:type="dxa"/>
              <w:right w:w="70" w:type="dxa"/>
              <w:start w:w="68" w:type="dxa"/>
              <w:end w:w="68" w:type="dxa"/>
            </w:tcMar>
            <w:vAlign w:val="center"/>
          </w:tcPr>
          <w:p w14:paraId="7495C22F">
            <w:pPr>
              <w:spacing w:before="0" w:after="0" w:line="240" w:lineRule="auto"/>
              <w:jc w:val="left"/>
            </w:pPr>
            <w:r>
              <w:rPr>
                <w:rFonts w:ascii="Times New Roman" w:hAnsi="Times New Roman" w:eastAsia="Times New Roman" w:cs="Times New Roman"/>
                <w:b w:val="0"/>
                <w:color w:val="000000"/>
                <w:sz w:val="16"/>
              </w:rPr>
              <w:t>Exact submitted string.</w:t>
            </w:r>
          </w:p>
        </w:tc>
        <w:tc>
          <w:tcPr>
            <w:tcW w:w="1800" w:type="dxa"/>
            <w:tcMar>
              <w:top w:w="65" w:type="dxa"/>
              <w:left w:w="70" w:type="dxa"/>
              <w:bottom w:w="65" w:type="dxa"/>
              <w:right w:w="70" w:type="dxa"/>
              <w:start w:w="68" w:type="dxa"/>
              <w:end w:w="68" w:type="dxa"/>
            </w:tcMar>
            <w:vAlign w:val="center"/>
          </w:tcPr>
          <w:p w14:paraId="66AB3CDB">
            <w:pPr>
              <w:spacing w:before="0" w:after="0" w:line="240" w:lineRule="auto"/>
              <w:jc w:val="left"/>
            </w:pPr>
            <w:r>
              <w:rPr>
                <w:rFonts w:ascii="Times New Roman" w:hAnsi="Times New Roman" w:eastAsia="Times New Roman" w:cs="Times New Roman"/>
                <w:b w:val="0"/>
                <w:color w:val="000000"/>
                <w:sz w:val="16"/>
              </w:rPr>
              <w:t>No, when equivalent visible fields suffice</w:t>
            </w:r>
          </w:p>
        </w:tc>
      </w:tr>
      <w:tr w14:paraId="3F4929D1">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2016" w:type="dxa"/>
            <w:tcMar>
              <w:top w:w="65" w:type="dxa"/>
              <w:left w:w="70" w:type="dxa"/>
              <w:bottom w:w="65" w:type="dxa"/>
              <w:right w:w="70" w:type="dxa"/>
              <w:start w:w="68" w:type="dxa"/>
              <w:end w:w="68" w:type="dxa"/>
            </w:tcMar>
            <w:vAlign w:val="center"/>
          </w:tcPr>
          <w:p w14:paraId="08210209">
            <w:pPr>
              <w:spacing w:before="0" w:after="0" w:line="240" w:lineRule="auto"/>
              <w:jc w:val="left"/>
            </w:pPr>
            <w:r>
              <w:rPr>
                <w:rFonts w:ascii="Times New Roman" w:hAnsi="Times New Roman" w:eastAsia="Times New Roman" w:cs="Times New Roman"/>
                <w:b w:val="0"/>
                <w:color w:val="000000"/>
                <w:sz w:val="16"/>
              </w:rPr>
              <w:t>target_semantic_demand</w:t>
            </w:r>
          </w:p>
        </w:tc>
        <w:tc>
          <w:tcPr>
            <w:tcW w:w="1584" w:type="dxa"/>
            <w:tcMar>
              <w:top w:w="65" w:type="dxa"/>
              <w:left w:w="70" w:type="dxa"/>
              <w:bottom w:w="65" w:type="dxa"/>
              <w:right w:w="70" w:type="dxa"/>
              <w:start w:w="68" w:type="dxa"/>
              <w:end w:w="68" w:type="dxa"/>
            </w:tcMar>
            <w:vAlign w:val="center"/>
          </w:tcPr>
          <w:p w14:paraId="57F5D0F8">
            <w:pPr>
              <w:spacing w:before="0" w:after="0" w:line="240" w:lineRule="auto"/>
              <w:jc w:val="left"/>
            </w:pPr>
            <w:r>
              <w:rPr>
                <w:rFonts w:ascii="Times New Roman" w:hAnsi="Times New Roman" w:eastAsia="Times New Roman" w:cs="Times New Roman"/>
                <w:b w:val="0"/>
                <w:color w:val="000000"/>
                <w:sz w:val="16"/>
              </w:rPr>
              <w:t>Researcher-facing</w:t>
            </w:r>
          </w:p>
        </w:tc>
        <w:tc>
          <w:tcPr>
            <w:tcW w:w="4608" w:type="dxa"/>
            <w:tcMar>
              <w:top w:w="65" w:type="dxa"/>
              <w:left w:w="70" w:type="dxa"/>
              <w:bottom w:w="65" w:type="dxa"/>
              <w:right w:w="70" w:type="dxa"/>
              <w:start w:w="68" w:type="dxa"/>
              <w:end w:w="68" w:type="dxa"/>
            </w:tcMar>
            <w:vAlign w:val="center"/>
          </w:tcPr>
          <w:p w14:paraId="32EB6EEA">
            <w:pPr>
              <w:spacing w:before="0" w:after="0" w:line="240" w:lineRule="auto"/>
              <w:jc w:val="left"/>
            </w:pPr>
            <w:r>
              <w:rPr>
                <w:rFonts w:ascii="Times New Roman" w:hAnsi="Times New Roman" w:eastAsia="Times New Roman" w:cs="Times New Roman"/>
                <w:b w:val="0"/>
                <w:color w:val="000000"/>
                <w:sz w:val="16"/>
              </w:rPr>
              <w:t>Prompt-design metadata.</w:t>
            </w:r>
          </w:p>
        </w:tc>
        <w:tc>
          <w:tcPr>
            <w:tcW w:w="1800" w:type="dxa"/>
            <w:tcMar>
              <w:top w:w="65" w:type="dxa"/>
              <w:left w:w="70" w:type="dxa"/>
              <w:bottom w:w="65" w:type="dxa"/>
              <w:right w:w="70" w:type="dxa"/>
              <w:start w:w="68" w:type="dxa"/>
              <w:end w:w="68" w:type="dxa"/>
            </w:tcMar>
            <w:vAlign w:val="center"/>
          </w:tcPr>
          <w:p w14:paraId="51310AE2">
            <w:pPr>
              <w:spacing w:before="0" w:after="0" w:line="240" w:lineRule="auto"/>
              <w:jc w:val="left"/>
            </w:pPr>
            <w:r>
              <w:rPr>
                <w:rFonts w:ascii="Times New Roman" w:hAnsi="Times New Roman" w:eastAsia="Times New Roman" w:cs="Times New Roman"/>
                <w:b w:val="0"/>
                <w:color w:val="000000"/>
                <w:sz w:val="16"/>
              </w:rPr>
              <w:t>No</w:t>
            </w:r>
          </w:p>
        </w:tc>
      </w:tr>
      <w:tr w14:paraId="5ADBA4B2">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2016" w:type="dxa"/>
            <w:tcMar>
              <w:top w:w="65" w:type="dxa"/>
              <w:left w:w="70" w:type="dxa"/>
              <w:bottom w:w="65" w:type="dxa"/>
              <w:right w:w="70" w:type="dxa"/>
              <w:start w:w="68" w:type="dxa"/>
              <w:end w:w="68" w:type="dxa"/>
            </w:tcMar>
            <w:vAlign w:val="center"/>
          </w:tcPr>
          <w:p w14:paraId="4499D7EB">
            <w:pPr>
              <w:spacing w:before="0" w:after="0" w:line="240" w:lineRule="auto"/>
              <w:jc w:val="left"/>
            </w:pPr>
            <w:r>
              <w:rPr>
                <w:rFonts w:ascii="Times New Roman" w:hAnsi="Times New Roman" w:eastAsia="Times New Roman" w:cs="Times New Roman"/>
                <w:b w:val="0"/>
                <w:color w:val="000000"/>
                <w:sz w:val="16"/>
              </w:rPr>
              <w:t>targeted_failure_families</w:t>
            </w:r>
          </w:p>
        </w:tc>
        <w:tc>
          <w:tcPr>
            <w:tcW w:w="1584" w:type="dxa"/>
            <w:tcMar>
              <w:top w:w="65" w:type="dxa"/>
              <w:left w:w="70" w:type="dxa"/>
              <w:bottom w:w="65" w:type="dxa"/>
              <w:right w:w="70" w:type="dxa"/>
              <w:start w:w="68" w:type="dxa"/>
              <w:end w:w="68" w:type="dxa"/>
            </w:tcMar>
            <w:vAlign w:val="center"/>
          </w:tcPr>
          <w:p w14:paraId="43CFE4A0">
            <w:pPr>
              <w:spacing w:before="0" w:after="0" w:line="240" w:lineRule="auto"/>
              <w:jc w:val="left"/>
            </w:pPr>
            <w:r>
              <w:rPr>
                <w:rFonts w:ascii="Times New Roman" w:hAnsi="Times New Roman" w:eastAsia="Times New Roman" w:cs="Times New Roman"/>
                <w:b w:val="0"/>
                <w:color w:val="000000"/>
                <w:sz w:val="16"/>
              </w:rPr>
              <w:t>Researcher-facing</w:t>
            </w:r>
          </w:p>
        </w:tc>
        <w:tc>
          <w:tcPr>
            <w:tcW w:w="4608" w:type="dxa"/>
            <w:tcMar>
              <w:top w:w="65" w:type="dxa"/>
              <w:left w:w="70" w:type="dxa"/>
              <w:bottom w:w="65" w:type="dxa"/>
              <w:right w:w="70" w:type="dxa"/>
              <w:start w:w="68" w:type="dxa"/>
              <w:end w:w="68" w:type="dxa"/>
            </w:tcMar>
            <w:vAlign w:val="center"/>
          </w:tcPr>
          <w:p w14:paraId="35C0E584">
            <w:pPr>
              <w:spacing w:before="0" w:after="0" w:line="240" w:lineRule="auto"/>
              <w:jc w:val="left"/>
            </w:pPr>
            <w:r>
              <w:rPr>
                <w:rFonts w:ascii="Times New Roman" w:hAnsi="Times New Roman" w:eastAsia="Times New Roman" w:cs="Times New Roman"/>
                <w:b w:val="0"/>
                <w:color w:val="000000"/>
                <w:sz w:val="16"/>
              </w:rPr>
              <w:t>Balancing metadata; not an expected output label.</w:t>
            </w:r>
          </w:p>
        </w:tc>
        <w:tc>
          <w:tcPr>
            <w:tcW w:w="1800" w:type="dxa"/>
            <w:tcMar>
              <w:top w:w="65" w:type="dxa"/>
              <w:left w:w="70" w:type="dxa"/>
              <w:bottom w:w="65" w:type="dxa"/>
              <w:right w:w="70" w:type="dxa"/>
              <w:start w:w="68" w:type="dxa"/>
              <w:end w:w="68" w:type="dxa"/>
            </w:tcMar>
            <w:vAlign w:val="center"/>
          </w:tcPr>
          <w:p w14:paraId="47480C90">
            <w:pPr>
              <w:spacing w:before="0" w:after="0" w:line="240" w:lineRule="auto"/>
              <w:jc w:val="left"/>
            </w:pPr>
            <w:r>
              <w:rPr>
                <w:rFonts w:ascii="Times New Roman" w:hAnsi="Times New Roman" w:eastAsia="Times New Roman" w:cs="Times New Roman"/>
                <w:b w:val="0"/>
                <w:color w:val="000000"/>
                <w:sz w:val="16"/>
              </w:rPr>
              <w:t>No</w:t>
            </w:r>
          </w:p>
        </w:tc>
      </w:tr>
      <w:tr w14:paraId="0E9FA209">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2016" w:type="dxa"/>
            <w:tcMar>
              <w:top w:w="65" w:type="dxa"/>
              <w:left w:w="70" w:type="dxa"/>
              <w:bottom w:w="65" w:type="dxa"/>
              <w:right w:w="70" w:type="dxa"/>
              <w:start w:w="68" w:type="dxa"/>
              <w:end w:w="68" w:type="dxa"/>
            </w:tcMar>
            <w:vAlign w:val="center"/>
          </w:tcPr>
          <w:p w14:paraId="038BCD07">
            <w:pPr>
              <w:spacing w:before="0" w:after="0" w:line="240" w:lineRule="auto"/>
              <w:jc w:val="left"/>
            </w:pPr>
            <w:r>
              <w:rPr>
                <w:rFonts w:ascii="Times New Roman" w:hAnsi="Times New Roman" w:eastAsia="Times New Roman" w:cs="Times New Roman"/>
                <w:b w:val="0"/>
                <w:color w:val="000000"/>
                <w:sz w:val="16"/>
              </w:rPr>
              <w:t>model_checkpoint</w:t>
            </w:r>
          </w:p>
        </w:tc>
        <w:tc>
          <w:tcPr>
            <w:tcW w:w="1584" w:type="dxa"/>
            <w:tcMar>
              <w:top w:w="65" w:type="dxa"/>
              <w:left w:w="70" w:type="dxa"/>
              <w:bottom w:w="65" w:type="dxa"/>
              <w:right w:w="70" w:type="dxa"/>
              <w:start w:w="68" w:type="dxa"/>
              <w:end w:w="68" w:type="dxa"/>
            </w:tcMar>
            <w:vAlign w:val="center"/>
          </w:tcPr>
          <w:p w14:paraId="6181B9C0">
            <w:pPr>
              <w:spacing w:before="0" w:after="0" w:line="240" w:lineRule="auto"/>
              <w:jc w:val="left"/>
            </w:pPr>
            <w:r>
              <w:rPr>
                <w:rFonts w:ascii="Times New Roman" w:hAnsi="Times New Roman" w:eastAsia="Times New Roman" w:cs="Times New Roman"/>
                <w:b w:val="0"/>
                <w:color w:val="000000"/>
                <w:sz w:val="16"/>
              </w:rPr>
              <w:t>Generated-output metadata</w:t>
            </w:r>
          </w:p>
        </w:tc>
        <w:tc>
          <w:tcPr>
            <w:tcW w:w="4608" w:type="dxa"/>
            <w:tcMar>
              <w:top w:w="65" w:type="dxa"/>
              <w:left w:w="70" w:type="dxa"/>
              <w:bottom w:w="65" w:type="dxa"/>
              <w:right w:w="70" w:type="dxa"/>
              <w:start w:w="68" w:type="dxa"/>
              <w:end w:w="68" w:type="dxa"/>
            </w:tcMar>
            <w:vAlign w:val="center"/>
          </w:tcPr>
          <w:p w14:paraId="0342E113">
            <w:pPr>
              <w:spacing w:before="0" w:after="0" w:line="240" w:lineRule="auto"/>
              <w:jc w:val="left"/>
            </w:pPr>
            <w:r>
              <w:rPr>
                <w:rFonts w:ascii="Times New Roman" w:hAnsi="Times New Roman" w:eastAsia="Times New Roman" w:cs="Times New Roman"/>
                <w:b w:val="0"/>
                <w:color w:val="000000"/>
                <w:sz w:val="16"/>
              </w:rPr>
              <w:t>Full repository identifier.</w:t>
            </w:r>
          </w:p>
        </w:tc>
        <w:tc>
          <w:tcPr>
            <w:tcW w:w="1800" w:type="dxa"/>
            <w:tcMar>
              <w:top w:w="65" w:type="dxa"/>
              <w:left w:w="70" w:type="dxa"/>
              <w:bottom w:w="65" w:type="dxa"/>
              <w:right w:w="70" w:type="dxa"/>
              <w:start w:w="68" w:type="dxa"/>
              <w:end w:w="68" w:type="dxa"/>
            </w:tcMar>
            <w:vAlign w:val="center"/>
          </w:tcPr>
          <w:p w14:paraId="6771D86D">
            <w:pPr>
              <w:spacing w:before="0" w:after="0" w:line="240" w:lineRule="auto"/>
              <w:jc w:val="left"/>
            </w:pPr>
            <w:r>
              <w:rPr>
                <w:rFonts w:ascii="Times New Roman" w:hAnsi="Times New Roman" w:eastAsia="Times New Roman" w:cs="Times New Roman"/>
                <w:b w:val="0"/>
                <w:color w:val="000000"/>
                <w:sz w:val="16"/>
              </w:rPr>
              <w:t>No</w:t>
            </w:r>
          </w:p>
        </w:tc>
      </w:tr>
      <w:tr w14:paraId="32E22D84">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2016" w:type="dxa"/>
            <w:tcMar>
              <w:top w:w="65" w:type="dxa"/>
              <w:left w:w="70" w:type="dxa"/>
              <w:bottom w:w="65" w:type="dxa"/>
              <w:right w:w="70" w:type="dxa"/>
              <w:start w:w="68" w:type="dxa"/>
              <w:end w:w="68" w:type="dxa"/>
            </w:tcMar>
            <w:vAlign w:val="center"/>
          </w:tcPr>
          <w:p w14:paraId="54802205">
            <w:pPr>
              <w:spacing w:before="0" w:after="0" w:line="240" w:lineRule="auto"/>
              <w:jc w:val="left"/>
            </w:pPr>
            <w:r>
              <w:rPr>
                <w:rFonts w:ascii="Times New Roman" w:hAnsi="Times New Roman" w:eastAsia="Times New Roman" w:cs="Times New Roman"/>
                <w:b w:val="0"/>
                <w:color w:val="000000"/>
                <w:sz w:val="16"/>
              </w:rPr>
              <w:t>architecture_family</w:t>
            </w:r>
          </w:p>
        </w:tc>
        <w:tc>
          <w:tcPr>
            <w:tcW w:w="1584" w:type="dxa"/>
            <w:tcMar>
              <w:top w:w="65" w:type="dxa"/>
              <w:left w:w="70" w:type="dxa"/>
              <w:bottom w:w="65" w:type="dxa"/>
              <w:right w:w="70" w:type="dxa"/>
              <w:start w:w="68" w:type="dxa"/>
              <w:end w:w="68" w:type="dxa"/>
            </w:tcMar>
            <w:vAlign w:val="center"/>
          </w:tcPr>
          <w:p w14:paraId="3EE41D16">
            <w:pPr>
              <w:spacing w:before="0" w:after="0" w:line="240" w:lineRule="auto"/>
              <w:jc w:val="left"/>
            </w:pPr>
            <w:r>
              <w:rPr>
                <w:rFonts w:ascii="Times New Roman" w:hAnsi="Times New Roman" w:eastAsia="Times New Roman" w:cs="Times New Roman"/>
                <w:b w:val="0"/>
                <w:color w:val="000000"/>
                <w:sz w:val="16"/>
              </w:rPr>
              <w:t>Generated-output metadata</w:t>
            </w:r>
          </w:p>
        </w:tc>
        <w:tc>
          <w:tcPr>
            <w:tcW w:w="4608" w:type="dxa"/>
            <w:tcMar>
              <w:top w:w="65" w:type="dxa"/>
              <w:left w:w="70" w:type="dxa"/>
              <w:bottom w:w="65" w:type="dxa"/>
              <w:right w:w="70" w:type="dxa"/>
              <w:start w:w="68" w:type="dxa"/>
              <w:end w:w="68" w:type="dxa"/>
            </w:tcMar>
            <w:vAlign w:val="center"/>
          </w:tcPr>
          <w:p w14:paraId="0894EB24">
            <w:pPr>
              <w:spacing w:before="0" w:after="0" w:line="240" w:lineRule="auto"/>
              <w:jc w:val="left"/>
            </w:pPr>
            <w:r>
              <w:rPr>
                <w:rFonts w:ascii="Times New Roman" w:hAnsi="Times New Roman" w:eastAsia="Times New Roman" w:cs="Times New Roman"/>
                <w:b w:val="0"/>
                <w:color w:val="000000"/>
                <w:sz w:val="16"/>
              </w:rPr>
              <w:t>Descriptive metadata only.</w:t>
            </w:r>
          </w:p>
        </w:tc>
        <w:tc>
          <w:tcPr>
            <w:tcW w:w="1800" w:type="dxa"/>
            <w:tcMar>
              <w:top w:w="65" w:type="dxa"/>
              <w:left w:w="70" w:type="dxa"/>
              <w:bottom w:w="65" w:type="dxa"/>
              <w:right w:w="70" w:type="dxa"/>
              <w:start w:w="68" w:type="dxa"/>
              <w:end w:w="68" w:type="dxa"/>
            </w:tcMar>
            <w:vAlign w:val="center"/>
          </w:tcPr>
          <w:p w14:paraId="4A3F0590">
            <w:pPr>
              <w:spacing w:before="0" w:after="0" w:line="240" w:lineRule="auto"/>
              <w:jc w:val="left"/>
            </w:pPr>
            <w:r>
              <w:rPr>
                <w:rFonts w:ascii="Times New Roman" w:hAnsi="Times New Roman" w:eastAsia="Times New Roman" w:cs="Times New Roman"/>
                <w:b w:val="0"/>
                <w:color w:val="000000"/>
                <w:sz w:val="16"/>
              </w:rPr>
              <w:t>No</w:t>
            </w:r>
          </w:p>
        </w:tc>
      </w:tr>
      <w:tr w14:paraId="17C710B1">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2016" w:type="dxa"/>
            <w:tcMar>
              <w:top w:w="65" w:type="dxa"/>
              <w:left w:w="70" w:type="dxa"/>
              <w:bottom w:w="65" w:type="dxa"/>
              <w:right w:w="70" w:type="dxa"/>
              <w:start w:w="68" w:type="dxa"/>
              <w:end w:w="68" w:type="dxa"/>
            </w:tcMar>
            <w:vAlign w:val="center"/>
          </w:tcPr>
          <w:p w14:paraId="1C94F571">
            <w:pPr>
              <w:spacing w:before="0" w:after="0" w:line="240" w:lineRule="auto"/>
              <w:jc w:val="left"/>
            </w:pPr>
            <w:r>
              <w:rPr>
                <w:rFonts w:ascii="Times New Roman" w:hAnsi="Times New Roman" w:eastAsia="Times New Roman" w:cs="Times New Roman"/>
                <w:b w:val="0"/>
                <w:color w:val="000000"/>
                <w:sz w:val="16"/>
              </w:rPr>
              <w:t>decoding_config_id</w:t>
            </w:r>
          </w:p>
        </w:tc>
        <w:tc>
          <w:tcPr>
            <w:tcW w:w="1584" w:type="dxa"/>
            <w:tcMar>
              <w:top w:w="65" w:type="dxa"/>
              <w:left w:w="70" w:type="dxa"/>
              <w:bottom w:w="65" w:type="dxa"/>
              <w:right w:w="70" w:type="dxa"/>
              <w:start w:w="68" w:type="dxa"/>
              <w:end w:w="68" w:type="dxa"/>
            </w:tcMar>
            <w:vAlign w:val="center"/>
          </w:tcPr>
          <w:p w14:paraId="4FB289F1">
            <w:pPr>
              <w:spacing w:before="0" w:after="0" w:line="240" w:lineRule="auto"/>
              <w:jc w:val="left"/>
            </w:pPr>
            <w:r>
              <w:rPr>
                <w:rFonts w:ascii="Times New Roman" w:hAnsi="Times New Roman" w:eastAsia="Times New Roman" w:cs="Times New Roman"/>
                <w:b w:val="0"/>
                <w:color w:val="000000"/>
                <w:sz w:val="16"/>
              </w:rPr>
              <w:t>Generation metadata</w:t>
            </w:r>
          </w:p>
        </w:tc>
        <w:tc>
          <w:tcPr>
            <w:tcW w:w="4608" w:type="dxa"/>
            <w:tcMar>
              <w:top w:w="65" w:type="dxa"/>
              <w:left w:w="70" w:type="dxa"/>
              <w:bottom w:w="65" w:type="dxa"/>
              <w:right w:w="70" w:type="dxa"/>
              <w:start w:w="68" w:type="dxa"/>
              <w:end w:w="68" w:type="dxa"/>
            </w:tcMar>
            <w:vAlign w:val="center"/>
          </w:tcPr>
          <w:p w14:paraId="6350ED5D">
            <w:pPr>
              <w:spacing w:before="0" w:after="0" w:line="240" w:lineRule="auto"/>
              <w:jc w:val="left"/>
            </w:pPr>
            <w:r>
              <w:rPr>
                <w:rFonts w:ascii="Times New Roman" w:hAnsi="Times New Roman" w:eastAsia="Times New Roman" w:cs="Times New Roman"/>
                <w:b w:val="0"/>
                <w:color w:val="000000"/>
                <w:sz w:val="16"/>
              </w:rPr>
              <w:t>Links row to settings.</w:t>
            </w:r>
          </w:p>
        </w:tc>
        <w:tc>
          <w:tcPr>
            <w:tcW w:w="1800" w:type="dxa"/>
            <w:tcMar>
              <w:top w:w="65" w:type="dxa"/>
              <w:left w:w="70" w:type="dxa"/>
              <w:bottom w:w="65" w:type="dxa"/>
              <w:right w:w="70" w:type="dxa"/>
              <w:start w:w="68" w:type="dxa"/>
              <w:end w:w="68" w:type="dxa"/>
            </w:tcMar>
            <w:vAlign w:val="center"/>
          </w:tcPr>
          <w:p w14:paraId="1F532263">
            <w:pPr>
              <w:spacing w:before="0" w:after="0" w:line="240" w:lineRule="auto"/>
              <w:jc w:val="left"/>
            </w:pPr>
            <w:r>
              <w:rPr>
                <w:rFonts w:ascii="Times New Roman" w:hAnsi="Times New Roman" w:eastAsia="Times New Roman" w:cs="Times New Roman"/>
                <w:b w:val="0"/>
                <w:color w:val="000000"/>
                <w:sz w:val="16"/>
              </w:rPr>
              <w:t>No</w:t>
            </w:r>
          </w:p>
        </w:tc>
      </w:tr>
      <w:tr w14:paraId="6FCA6829">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2016" w:type="dxa"/>
            <w:tcMar>
              <w:top w:w="65" w:type="dxa"/>
              <w:left w:w="70" w:type="dxa"/>
              <w:bottom w:w="65" w:type="dxa"/>
              <w:right w:w="70" w:type="dxa"/>
              <w:start w:w="68" w:type="dxa"/>
              <w:end w:w="68" w:type="dxa"/>
            </w:tcMar>
            <w:vAlign w:val="center"/>
          </w:tcPr>
          <w:p w14:paraId="2DC87287">
            <w:pPr>
              <w:spacing w:before="0" w:after="0" w:line="240" w:lineRule="auto"/>
              <w:jc w:val="left"/>
            </w:pPr>
            <w:r>
              <w:rPr>
                <w:rFonts w:ascii="Times New Roman" w:hAnsi="Times New Roman" w:eastAsia="Times New Roman" w:cs="Times New Roman"/>
                <w:b w:val="0"/>
                <w:color w:val="000000"/>
                <w:sz w:val="16"/>
              </w:rPr>
              <w:t>model_output</w:t>
            </w:r>
          </w:p>
        </w:tc>
        <w:tc>
          <w:tcPr>
            <w:tcW w:w="1584" w:type="dxa"/>
            <w:tcMar>
              <w:top w:w="65" w:type="dxa"/>
              <w:left w:w="70" w:type="dxa"/>
              <w:bottom w:w="65" w:type="dxa"/>
              <w:right w:w="70" w:type="dxa"/>
              <w:start w:w="68" w:type="dxa"/>
              <w:end w:w="68" w:type="dxa"/>
            </w:tcMar>
            <w:vAlign w:val="center"/>
          </w:tcPr>
          <w:p w14:paraId="2D940367">
            <w:pPr>
              <w:spacing w:before="0" w:after="0" w:line="240" w:lineRule="auto"/>
              <w:jc w:val="left"/>
            </w:pPr>
            <w:r>
              <w:rPr>
                <w:rFonts w:ascii="Times New Roman" w:hAnsi="Times New Roman" w:eastAsia="Times New Roman" w:cs="Times New Roman"/>
                <w:b w:val="0"/>
                <w:color w:val="000000"/>
                <w:sz w:val="16"/>
              </w:rPr>
              <w:t>Required</w:t>
            </w:r>
          </w:p>
        </w:tc>
        <w:tc>
          <w:tcPr>
            <w:tcW w:w="4608" w:type="dxa"/>
            <w:tcMar>
              <w:top w:w="65" w:type="dxa"/>
              <w:left w:w="70" w:type="dxa"/>
              <w:bottom w:w="65" w:type="dxa"/>
              <w:right w:w="70" w:type="dxa"/>
              <w:start w:w="68" w:type="dxa"/>
              <w:end w:w="68" w:type="dxa"/>
            </w:tcMar>
            <w:vAlign w:val="center"/>
          </w:tcPr>
          <w:p w14:paraId="457739C5">
            <w:pPr>
              <w:spacing w:before="0" w:after="0" w:line="240" w:lineRule="auto"/>
              <w:jc w:val="left"/>
            </w:pPr>
            <w:r>
              <w:rPr>
                <w:rFonts w:ascii="Times New Roman" w:hAnsi="Times New Roman" w:eastAsia="Times New Roman" w:cs="Times New Roman"/>
                <w:b w:val="0"/>
                <w:color w:val="000000"/>
                <w:sz w:val="16"/>
              </w:rPr>
              <w:t>Raw generated response.</w:t>
            </w:r>
          </w:p>
        </w:tc>
        <w:tc>
          <w:tcPr>
            <w:tcW w:w="1800" w:type="dxa"/>
            <w:tcMar>
              <w:top w:w="65" w:type="dxa"/>
              <w:left w:w="70" w:type="dxa"/>
              <w:bottom w:w="65" w:type="dxa"/>
              <w:right w:w="70" w:type="dxa"/>
              <w:start w:w="68" w:type="dxa"/>
              <w:end w:w="68" w:type="dxa"/>
            </w:tcMar>
            <w:vAlign w:val="center"/>
          </w:tcPr>
          <w:p w14:paraId="480D27B5">
            <w:pPr>
              <w:spacing w:before="0" w:after="0" w:line="240" w:lineRule="auto"/>
              <w:jc w:val="left"/>
            </w:pPr>
            <w:r>
              <w:rPr>
                <w:rFonts w:ascii="Times New Roman" w:hAnsi="Times New Roman" w:eastAsia="Times New Roman" w:cs="Times New Roman"/>
                <w:b w:val="0"/>
                <w:color w:val="000000"/>
                <w:sz w:val="16"/>
              </w:rPr>
              <w:t>Yes</w:t>
            </w:r>
          </w:p>
        </w:tc>
      </w:tr>
      <w:tr w14:paraId="3C8DA725">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2016" w:type="dxa"/>
            <w:tcMar>
              <w:top w:w="65" w:type="dxa"/>
              <w:left w:w="70" w:type="dxa"/>
              <w:bottom w:w="65" w:type="dxa"/>
              <w:right w:w="70" w:type="dxa"/>
              <w:start w:w="68" w:type="dxa"/>
              <w:end w:w="68" w:type="dxa"/>
            </w:tcMar>
            <w:vAlign w:val="center"/>
          </w:tcPr>
          <w:p w14:paraId="141216BA">
            <w:pPr>
              <w:spacing w:before="0" w:after="0" w:line="240" w:lineRule="auto"/>
              <w:jc w:val="left"/>
            </w:pPr>
            <w:r>
              <w:rPr>
                <w:rFonts w:ascii="Times New Roman" w:hAnsi="Times New Roman" w:eastAsia="Times New Roman" w:cs="Times New Roman"/>
                <w:b w:val="0"/>
                <w:color w:val="000000"/>
                <w:sz w:val="16"/>
              </w:rPr>
              <w:t>generation_status</w:t>
            </w:r>
          </w:p>
        </w:tc>
        <w:tc>
          <w:tcPr>
            <w:tcW w:w="1584" w:type="dxa"/>
            <w:tcMar>
              <w:top w:w="65" w:type="dxa"/>
              <w:left w:w="70" w:type="dxa"/>
              <w:bottom w:w="65" w:type="dxa"/>
              <w:right w:w="70" w:type="dxa"/>
              <w:start w:w="68" w:type="dxa"/>
              <w:end w:w="68" w:type="dxa"/>
            </w:tcMar>
            <w:vAlign w:val="center"/>
          </w:tcPr>
          <w:p w14:paraId="4AB838E0">
            <w:pPr>
              <w:spacing w:before="0" w:after="0" w:line="240" w:lineRule="auto"/>
              <w:jc w:val="left"/>
            </w:pPr>
            <w:r>
              <w:rPr>
                <w:rFonts w:ascii="Times New Roman" w:hAnsi="Times New Roman" w:eastAsia="Times New Roman" w:cs="Times New Roman"/>
                <w:b w:val="0"/>
                <w:color w:val="000000"/>
                <w:sz w:val="16"/>
              </w:rPr>
              <w:t>Required</w:t>
            </w:r>
          </w:p>
        </w:tc>
        <w:tc>
          <w:tcPr>
            <w:tcW w:w="4608" w:type="dxa"/>
            <w:tcMar>
              <w:top w:w="65" w:type="dxa"/>
              <w:left w:w="70" w:type="dxa"/>
              <w:bottom w:w="65" w:type="dxa"/>
              <w:right w:w="70" w:type="dxa"/>
              <w:start w:w="68" w:type="dxa"/>
              <w:end w:w="68" w:type="dxa"/>
            </w:tcMar>
            <w:vAlign w:val="center"/>
          </w:tcPr>
          <w:p w14:paraId="6D0A96AA">
            <w:pPr>
              <w:spacing w:before="0" w:after="0" w:line="240" w:lineRule="auto"/>
              <w:jc w:val="left"/>
            </w:pPr>
            <w:r>
              <w:rPr>
                <w:rFonts w:ascii="Times New Roman" w:hAnsi="Times New Roman" w:eastAsia="Times New Roman" w:cs="Times New Roman"/>
                <w:b w:val="0"/>
                <w:color w:val="000000"/>
                <w:sz w:val="16"/>
              </w:rPr>
              <w:t>valid/excluded.</w:t>
            </w:r>
          </w:p>
        </w:tc>
        <w:tc>
          <w:tcPr>
            <w:tcW w:w="1800" w:type="dxa"/>
            <w:tcMar>
              <w:top w:w="65" w:type="dxa"/>
              <w:left w:w="70" w:type="dxa"/>
              <w:bottom w:w="65" w:type="dxa"/>
              <w:right w:w="70" w:type="dxa"/>
              <w:start w:w="68" w:type="dxa"/>
              <w:end w:w="68" w:type="dxa"/>
            </w:tcMar>
            <w:vAlign w:val="center"/>
          </w:tcPr>
          <w:p w14:paraId="71E50678">
            <w:pPr>
              <w:spacing w:before="0" w:after="0" w:line="240" w:lineRule="auto"/>
              <w:jc w:val="left"/>
            </w:pPr>
            <w:r>
              <w:rPr>
                <w:rFonts w:ascii="Times New Roman" w:hAnsi="Times New Roman" w:eastAsia="Times New Roman" w:cs="Times New Roman"/>
                <w:b w:val="0"/>
                <w:color w:val="000000"/>
                <w:sz w:val="16"/>
              </w:rPr>
              <w:t>No</w:t>
            </w:r>
          </w:p>
        </w:tc>
      </w:tr>
    </w:tbl>
    <w:p w14:paraId="1E527307">
      <w:pPr>
        <w:pStyle w:val="2"/>
        <w:keepNext/>
        <w:keepLines/>
        <w:pageBreakBefore w:val="0"/>
        <w:spacing w:before="200" w:after="80"/>
      </w:pPr>
      <w:r>
        <w:rPr>
          <w:color w:val="000000"/>
        </w:rPr>
        <w:t>S2. Three-Axis Annotation Framework, Post-study Linguistic Construct Clarification, and Human-Rating Workflow</w:t>
      </w:r>
    </w:p>
    <w:p w14:paraId="76050A8C">
      <w:pPr>
        <w:widowControl/>
      </w:pPr>
      <w:r>
        <w:t>Versioning note. Annotation Manual v1.2_final_locked (the locked hybrid manual) was the sole governing instruction document for calibration, the 720-case main annotation, and adjudication consistency checks; earlier v1.0/v1.1 inputs were consolidated before annotation and were not alternative instructions in the main round. The workbook Instructions, Codebook, and AllowedValues sheets are aligned operational aids, not distinct manual editions. The original A1–A3 workbooks remain immutable. The designation provisional dataset v1.3 refers only to an earlier publication-layer dataset, not a revised annotation manual. FINAL GOLD v1.0 is the downstream senior-adjudicated reference produced after targeted same-adjudicator re-review and four deterministic primary/secondary ordering normalisations. The Post-study Linguistic Construct Clarification Addendum is for interpretation/reporting only; it was not available as an additional instruction version during the locked rating round.</w:t>
      </w:r>
    </w:p>
    <w:p w14:paraId="0FD69EF4">
      <w:pPr>
        <w:pStyle w:val="3"/>
        <w:keepNext/>
        <w:keepLines/>
        <w:pageBreakBefore w:val="0"/>
        <w:spacing w:before="140" w:after="80"/>
      </w:pPr>
      <w:r>
        <w:rPr>
          <w:color w:val="000000"/>
        </w:rPr>
        <w:t>S2.1 Full primary-label definitions and Post-study Linguistic Construct Clarification Addendum</w:t>
      </w:r>
    </w:p>
    <w:p w14:paraId="192868B9">
      <w:pPr>
        <w:pStyle w:val="16"/>
        <w:keepNext/>
        <w:keepLines/>
        <w:spacing w:before="120" w:after="60"/>
        <w:jc w:val="left"/>
      </w:pPr>
      <w:r>
        <w:rPr>
          <w:rFonts w:ascii="Times New Roman" w:hAnsi="Times New Roman" w:eastAsia="Times New Roman" w:cs="Times New Roman"/>
          <w:b/>
          <w:sz w:val="17"/>
        </w:rPr>
        <w:t>Table S4.</w:t>
      </w:r>
      <w:r>
        <w:rPr>
          <w:rFonts w:ascii="Times New Roman" w:hAnsi="Times New Roman" w:eastAsia="Times New Roman" w:cs="Times New Roman"/>
          <w:b w:val="0"/>
          <w:sz w:val="17"/>
        </w:rPr>
        <w:t xml:space="preserve"> Post-study Linguistic Construct Clarification Addendum: primary-label construct map and adjacent-category boundaries.</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1966"/>
        <w:gridCol w:w="1966"/>
        <w:gridCol w:w="1966"/>
        <w:gridCol w:w="1966"/>
        <w:gridCol w:w="1966"/>
      </w:tblGrid>
      <w:tr w14:paraId="670D1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jc w:val="center"/>
          <w:cantSplit w:val="true"/>
          <w:tblHeader w:val="true"/>
        </w:trPr>
        <w:tc>
          <w:tcPr>
            <w:tcW w:w="792" w:type="dxa"/>
            <w:tcMar>
              <w:top w:w="65" w:type="dxa"/>
              <w:left w:w="70" w:type="dxa"/>
              <w:bottom w:w="65" w:type="dxa"/>
              <w:right w:w="70" w:type="dxa"/>
              <w:start w:w="68" w:type="dxa"/>
              <w:end w:w="68" w:type="dxa"/>
            </w:tcMar>
            <w:vAlign w:val="center"/>
            <w:shd w:val="clear" w:color="auto" w:fill="E8F0F8"/>
          </w:tcPr>
          <w:p w14:paraId="32D1F623">
            <w:pPr>
              <w:spacing w:after="0" w:line="240" w:lineRule="auto" w:before="0"/>
              <w:jc w:val="center"/>
            </w:pPr>
            <w:r>
              <w:rPr>
                <w:rFonts w:ascii="Times New Roman" w:hAnsi="Times New Roman" w:eastAsia="Times New Roman" w:cs="Times New Roman"/>
                <w:b/>
                <w:color w:val="1E364D"/>
                <w:sz w:val="15"/>
              </w:rPr>
              <w:t>Code</w:t>
            </w:r>
          </w:p>
        </w:tc>
        <w:tc>
          <w:tcPr>
            <w:tcW w:w="1944" w:type="dxa"/>
            <w:tcMar>
              <w:top w:w="65" w:type="dxa"/>
              <w:left w:w="70" w:type="dxa"/>
              <w:bottom w:w="65" w:type="dxa"/>
              <w:right w:w="70" w:type="dxa"/>
              <w:start w:w="68" w:type="dxa"/>
              <w:end w:w="68" w:type="dxa"/>
            </w:tcMar>
            <w:vAlign w:val="center"/>
            <w:shd w:val="clear" w:color="auto" w:fill="E8F0F8"/>
          </w:tcPr>
          <w:p w14:paraId="47F5E3FD">
            <w:pPr>
              <w:spacing w:after="0" w:line="240" w:lineRule="auto" w:before="0"/>
              <w:jc w:val="center"/>
            </w:pPr>
            <w:r>
              <w:rPr>
                <w:rFonts w:ascii="Times New Roman" w:hAnsi="Times New Roman" w:eastAsia="Times New Roman" w:cs="Times New Roman"/>
                <w:b/>
                <w:color w:val="1E364D"/>
                <w:sz w:val="15"/>
              </w:rPr>
              <w:t>Display label</w:t>
            </w:r>
          </w:p>
        </w:tc>
        <w:tc>
          <w:tcPr>
            <w:tcW w:w="2952" w:type="dxa"/>
            <w:tcMar>
              <w:top w:w="65" w:type="dxa"/>
              <w:left w:w="70" w:type="dxa"/>
              <w:bottom w:w="65" w:type="dxa"/>
              <w:right w:w="70" w:type="dxa"/>
              <w:start w:w="68" w:type="dxa"/>
              <w:end w:w="68" w:type="dxa"/>
            </w:tcMar>
            <w:vAlign w:val="center"/>
            <w:shd w:val="clear" w:color="auto" w:fill="E8F0F8"/>
          </w:tcPr>
          <w:p w14:paraId="3F7856B5">
            <w:pPr>
              <w:spacing w:after="0" w:line="240" w:lineRule="auto" w:before="0"/>
              <w:jc w:val="center"/>
            </w:pPr>
            <w:r>
              <w:rPr>
                <w:rFonts w:ascii="Times New Roman" w:hAnsi="Times New Roman" w:eastAsia="Times New Roman" w:cs="Times New Roman"/>
                <w:b/>
                <w:color w:val="1E364D"/>
                <w:sz w:val="15"/>
              </w:rPr>
              <w:t>Linguistic object / relation</w:t>
            </w:r>
          </w:p>
        </w:tc>
        <w:tc>
          <w:tcPr>
            <w:tcW w:w="3816" w:type="dxa"/>
            <w:tcMar>
              <w:top w:w="65" w:type="dxa"/>
              <w:left w:w="70" w:type="dxa"/>
              <w:bottom w:w="65" w:type="dxa"/>
              <w:right w:w="70" w:type="dxa"/>
              <w:start w:w="68" w:type="dxa"/>
              <w:end w:w="68" w:type="dxa"/>
            </w:tcMar>
            <w:vAlign w:val="center"/>
            <w:shd w:val="clear" w:color="auto" w:fill="E8F0F8"/>
          </w:tcPr>
          <w:p w14:paraId="58A1A474">
            <w:pPr>
              <w:spacing w:after="0" w:line="240" w:lineRule="auto" w:before="0"/>
              <w:jc w:val="center"/>
            </w:pPr>
            <w:r>
              <w:rPr>
                <w:rFonts w:ascii="Times New Roman" w:hAnsi="Times New Roman" w:eastAsia="Times New Roman" w:cs="Times New Roman"/>
                <w:b/>
                <w:color w:val="1E364D"/>
                <w:sz w:val="15"/>
              </w:rPr>
              <w:t>Decisive operational diagnostic</w:t>
            </w:r>
          </w:p>
        </w:tc>
        <w:tc>
          <w:tcPr>
            <w:tcW w:w="3096" w:type="dxa"/>
            <w:tcMar>
              <w:top w:w="65" w:type="dxa"/>
              <w:left w:w="70" w:type="dxa"/>
              <w:bottom w:w="65" w:type="dxa"/>
              <w:right w:w="70" w:type="dxa"/>
              <w:start w:w="68" w:type="dxa"/>
              <w:end w:w="68" w:type="dxa"/>
            </w:tcMar>
            <w:vAlign w:val="center"/>
            <w:shd w:val="clear" w:color="auto" w:fill="E8F0F8"/>
          </w:tcPr>
          <w:p w14:paraId="7C34466A">
            <w:pPr>
              <w:spacing w:after="0" w:line="240" w:lineRule="auto" w:before="0"/>
              <w:jc w:val="center"/>
            </w:pPr>
            <w:r>
              <w:rPr>
                <w:rFonts w:ascii="Times New Roman" w:hAnsi="Times New Roman" w:eastAsia="Times New Roman" w:cs="Times New Roman"/>
                <w:b/>
                <w:color w:val="1E364D"/>
                <w:sz w:val="15"/>
              </w:rPr>
              <w:t>Nearest competitor / exclusion</w:t>
            </w:r>
          </w:p>
        </w:tc>
      </w:tr>
      <w:tr w14:paraId="43909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792" w:type="dxa"/>
            <w:tcMar>
              <w:top w:w="65" w:type="dxa"/>
              <w:left w:w="70" w:type="dxa"/>
              <w:bottom w:w="65" w:type="dxa"/>
              <w:right w:w="70" w:type="dxa"/>
              <w:start w:w="68" w:type="dxa"/>
              <w:end w:w="68" w:type="dxa"/>
            </w:tcMar>
            <w:vAlign w:val="center"/>
          </w:tcPr>
          <w:p w14:paraId="202F9B73">
            <w:pPr>
              <w:spacing w:after="0" w:line="240" w:lineRule="auto" w:before="0"/>
            </w:pPr>
            <w:r>
              <w:rPr>
                <w:rFonts w:ascii="Times New Roman" w:hAnsi="Times New Roman" w:eastAsia="Times New Roman" w:cs="Times New Roman"/>
                <w:b w:val="0"/>
                <w:sz w:val="15"/>
              </w:rPr>
              <w:t>SCF-01</w:t>
            </w:r>
          </w:p>
        </w:tc>
        <w:tc>
          <w:tcPr>
            <w:tcW w:w="1944" w:type="dxa"/>
            <w:tcMar>
              <w:top w:w="65" w:type="dxa"/>
              <w:left w:w="70" w:type="dxa"/>
              <w:bottom w:w="65" w:type="dxa"/>
              <w:right w:w="70" w:type="dxa"/>
              <w:start w:w="68" w:type="dxa"/>
              <w:end w:w="68" w:type="dxa"/>
            </w:tcMar>
            <w:vAlign w:val="center"/>
          </w:tcPr>
          <w:p w14:paraId="2C5B49C6">
            <w:pPr>
              <w:spacing w:after="0" w:line="240" w:lineRule="auto" w:before="0"/>
            </w:pPr>
            <w:r>
              <w:rPr>
                <w:rFonts w:ascii="Times New Roman" w:hAnsi="Times New Roman" w:eastAsia="Times New Roman" w:cs="Times New Roman"/>
                <w:b w:val="0"/>
                <w:sz w:val="15"/>
              </w:rPr>
              <w:t>Topic / QUD trajectory shift</w:t>
            </w:r>
          </w:p>
        </w:tc>
        <w:tc>
          <w:tcPr>
            <w:tcW w:w="2952" w:type="dxa"/>
            <w:tcMar>
              <w:top w:w="65" w:type="dxa"/>
              <w:left w:w="70" w:type="dxa"/>
              <w:bottom w:w="65" w:type="dxa"/>
              <w:right w:w="70" w:type="dxa"/>
              <w:start w:w="68" w:type="dxa"/>
              <w:end w:w="68" w:type="dxa"/>
            </w:tcMar>
            <w:vAlign w:val="center"/>
          </w:tcPr>
          <w:p w14:paraId="71F3C5D3">
            <w:pPr>
              <w:spacing w:after="0" w:line="240" w:lineRule="auto" w:before="0"/>
            </w:pPr>
            <w:r>
              <w:rPr>
                <w:rFonts w:ascii="Times New Roman" w:hAnsi="Times New Roman" w:eastAsia="Times New Roman" w:cs="Times New Roman"/>
                <w:b w:val="0"/>
                <w:sz w:val="15"/>
              </w:rPr>
              <w:t>Active discourse topic or question under discussion across response spans.</w:t>
            </w:r>
          </w:p>
        </w:tc>
        <w:tc>
          <w:tcPr>
            <w:tcW w:w="3816" w:type="dxa"/>
            <w:tcMar>
              <w:top w:w="65" w:type="dxa"/>
              <w:left w:w="70" w:type="dxa"/>
              <w:bottom w:w="65" w:type="dxa"/>
              <w:right w:w="70" w:type="dxa"/>
              <w:start w:w="68" w:type="dxa"/>
              <w:end w:w="68" w:type="dxa"/>
            </w:tcMar>
            <w:vAlign w:val="center"/>
          </w:tcPr>
          <w:p w14:paraId="69899043">
            <w:pPr>
              <w:spacing w:after="0" w:line="240" w:lineRule="auto" w:before="0"/>
            </w:pPr>
            <w:r>
              <w:rPr>
                <w:rFonts w:ascii="Times New Roman" w:hAnsi="Times New Roman" w:eastAsia="Times New Roman" w:cs="Times New Roman"/>
                <w:b w:val="0"/>
                <w:sz w:val="15"/>
              </w:rPr>
              <w:t>The response first establishes the requested frame and then moves to a different frame.</w:t>
            </w:r>
          </w:p>
        </w:tc>
        <w:tc>
          <w:tcPr>
            <w:tcW w:w="3096" w:type="dxa"/>
            <w:tcMar>
              <w:top w:w="65" w:type="dxa"/>
              <w:left w:w="70" w:type="dxa"/>
              <w:bottom w:w="65" w:type="dxa"/>
              <w:right w:w="70" w:type="dxa"/>
              <w:start w:w="68" w:type="dxa"/>
              <w:end w:w="68" w:type="dxa"/>
            </w:tcMar>
            <w:vAlign w:val="center"/>
          </w:tcPr>
          <w:p w14:paraId="2ABB464C">
            <w:pPr>
              <w:spacing w:after="0" w:line="240" w:lineRule="auto" w:before="0"/>
            </w:pPr>
            <w:r>
              <w:rPr>
                <w:rFonts w:ascii="Times New Roman" w:hAnsi="Times New Roman" w:eastAsia="Times New Roman" w:cs="Times New Roman"/>
                <w:b w:val="0"/>
                <w:sz w:val="15"/>
              </w:rPr>
              <w:t>SCF-03 if misaligned from the outset; SCF-04 if relevant content is rhetorically disorganised.</w:t>
            </w:r>
          </w:p>
        </w:tc>
      </w:tr>
      <w:tr w14:paraId="5B0B2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792" w:type="dxa"/>
            <w:tcMar>
              <w:top w:w="65" w:type="dxa"/>
              <w:left w:w="70" w:type="dxa"/>
              <w:bottom w:w="65" w:type="dxa"/>
              <w:right w:w="70" w:type="dxa"/>
              <w:start w:w="68" w:type="dxa"/>
              <w:end w:w="68" w:type="dxa"/>
            </w:tcMar>
            <w:vAlign w:val="center"/>
          </w:tcPr>
          <w:p w14:paraId="225BE3A4">
            <w:pPr>
              <w:spacing w:after="0" w:line="240" w:lineRule="auto" w:before="0"/>
            </w:pPr>
            <w:r>
              <w:rPr>
                <w:rFonts w:ascii="Times New Roman" w:hAnsi="Times New Roman" w:eastAsia="Times New Roman" w:cs="Times New Roman"/>
                <w:b w:val="0"/>
                <w:sz w:val="15"/>
              </w:rPr>
              <w:t>SCF-02</w:t>
            </w:r>
          </w:p>
        </w:tc>
        <w:tc>
          <w:tcPr>
            <w:tcW w:w="1944" w:type="dxa"/>
            <w:tcMar>
              <w:top w:w="65" w:type="dxa"/>
              <w:left w:w="70" w:type="dxa"/>
              <w:bottom w:w="65" w:type="dxa"/>
              <w:right w:w="70" w:type="dxa"/>
              <w:start w:w="68" w:type="dxa"/>
              <w:end w:w="68" w:type="dxa"/>
            </w:tcMar>
            <w:vAlign w:val="center"/>
          </w:tcPr>
          <w:p w14:paraId="3BAB8443">
            <w:pPr>
              <w:spacing w:after="0" w:line="240" w:lineRule="auto" w:before="0"/>
            </w:pPr>
            <w:r>
              <w:rPr>
                <w:rFonts w:ascii="Times New Roman" w:hAnsi="Times New Roman" w:eastAsia="Times New Roman" w:cs="Times New Roman"/>
                <w:b w:val="0"/>
                <w:sz w:val="15"/>
              </w:rPr>
              <w:t>Broken causal-chain coherence</w:t>
            </w:r>
          </w:p>
        </w:tc>
        <w:tc>
          <w:tcPr>
            <w:tcW w:w="2952" w:type="dxa"/>
            <w:tcMar>
              <w:top w:w="65" w:type="dxa"/>
              <w:left w:w="70" w:type="dxa"/>
              <w:bottom w:w="65" w:type="dxa"/>
              <w:right w:w="70" w:type="dxa"/>
              <w:start w:w="68" w:type="dxa"/>
              <w:end w:w="68" w:type="dxa"/>
            </w:tcMar>
            <w:vAlign w:val="center"/>
          </w:tcPr>
          <w:p w14:paraId="77FD9550">
            <w:pPr>
              <w:spacing w:after="0" w:line="240" w:lineRule="auto" w:before="0"/>
            </w:pPr>
            <w:r>
              <w:rPr>
                <w:rFonts w:ascii="Times New Roman" w:hAnsi="Times New Roman" w:eastAsia="Times New Roman" w:cs="Times New Roman"/>
                <w:b w:val="0"/>
                <w:sz w:val="15"/>
              </w:rPr>
              <w:t>Causal or explanatory relation between propositions.</w:t>
            </w:r>
          </w:p>
        </w:tc>
        <w:tc>
          <w:tcPr>
            <w:tcW w:w="3816" w:type="dxa"/>
            <w:tcMar>
              <w:top w:w="65" w:type="dxa"/>
              <w:left w:w="70" w:type="dxa"/>
              <w:bottom w:w="65" w:type="dxa"/>
              <w:right w:w="70" w:type="dxa"/>
              <w:start w:w="68" w:type="dxa"/>
              <w:end w:w="68" w:type="dxa"/>
            </w:tcMar>
            <w:vAlign w:val="center"/>
          </w:tcPr>
          <w:p>
            <w:r>
              <w:t>A stated causal or explanatory transition is missing, circular, or unlicensed by the propositions *within the response*; first identify the response-internal violated causal link.</w:t>
            </w:r>
          </w:p>
        </w:tc>
        <w:tc>
          <w:tcPr>
            <w:tcW w:w="3096" w:type="dxa"/>
            <w:tcMar>
              <w:top w:w="65" w:type="dxa"/>
              <w:left w:w="70" w:type="dxa"/>
              <w:bottom w:w="65" w:type="dxa"/>
              <w:right w:w="70" w:type="dxa"/>
              <w:start w:w="68" w:type="dxa"/>
              <w:end w:w="68" w:type="dxa"/>
            </w:tcMar>
            <w:vAlign w:val="center"/>
          </w:tcPr>
          <w:p>
            <w:r>
              <w:t>OVR-02 for a logically continuous chain that conflicts with a visible source premise; OVR-05 if the stated reasoning points to a different answer. Source falsity alone does not isolate SCF-02.</w:t>
            </w:r>
          </w:p>
        </w:tc>
      </w:tr>
      <w:tr w14:paraId="288D5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792" w:type="dxa"/>
            <w:tcMar>
              <w:top w:w="65" w:type="dxa"/>
              <w:left w:w="70" w:type="dxa"/>
              <w:bottom w:w="65" w:type="dxa"/>
              <w:right w:w="70" w:type="dxa"/>
              <w:start w:w="68" w:type="dxa"/>
              <w:end w:w="68" w:type="dxa"/>
            </w:tcMar>
            <w:vAlign w:val="center"/>
          </w:tcPr>
          <w:p w14:paraId="165D576D">
            <w:pPr>
              <w:spacing w:after="0" w:line="240" w:lineRule="auto" w:before="0"/>
            </w:pPr>
            <w:r>
              <w:rPr>
                <w:rFonts w:ascii="Times New Roman" w:hAnsi="Times New Roman" w:eastAsia="Times New Roman" w:cs="Times New Roman"/>
                <w:b w:val="0"/>
                <w:sz w:val="15"/>
              </w:rPr>
              <w:t>SCF-03</w:t>
            </w:r>
          </w:p>
        </w:tc>
        <w:tc>
          <w:tcPr>
            <w:tcW w:w="1944" w:type="dxa"/>
            <w:tcMar>
              <w:top w:w="65" w:type="dxa"/>
              <w:left w:w="70" w:type="dxa"/>
              <w:bottom w:w="65" w:type="dxa"/>
              <w:right w:w="70" w:type="dxa"/>
              <w:start w:w="68" w:type="dxa"/>
              <w:end w:w="68" w:type="dxa"/>
            </w:tcMar>
            <w:vAlign w:val="center"/>
          </w:tcPr>
          <w:p w14:paraId="5F4D6DF2">
            <w:pPr>
              <w:spacing w:after="0" w:line="240" w:lineRule="auto" w:before="0"/>
            </w:pPr>
            <w:r>
              <w:rPr>
                <w:rFonts w:ascii="Times New Roman" w:hAnsi="Times New Roman" w:eastAsia="Times New Roman" w:cs="Times New Roman"/>
                <w:b w:val="0"/>
                <w:sz w:val="15"/>
              </w:rPr>
              <w:t>Query irrelevance / response-goal misalignment</w:t>
            </w:r>
          </w:p>
        </w:tc>
        <w:tc>
          <w:tcPr>
            <w:tcW w:w="2952" w:type="dxa"/>
            <w:tcMar>
              <w:top w:w="65" w:type="dxa"/>
              <w:left w:w="70" w:type="dxa"/>
              <w:bottom w:w="65" w:type="dxa"/>
              <w:right w:w="70" w:type="dxa"/>
              <w:start w:w="68" w:type="dxa"/>
              <w:end w:w="68" w:type="dxa"/>
            </w:tcMar>
            <w:vAlign w:val="center"/>
          </w:tcPr>
          <w:p w14:paraId="5C8B1AA4">
            <w:pPr>
              <w:spacing w:after="0" w:line="240" w:lineRule="auto" w:before="0"/>
            </w:pPr>
            <w:r>
              <w:rPr>
                <w:rFonts w:ascii="Times New Roman" w:hAnsi="Times New Roman" w:eastAsia="Times New Roman" w:cs="Times New Roman"/>
                <w:b w:val="0"/>
                <w:sz w:val="15"/>
              </w:rPr>
              <w:t>Requested speech act, QUD, or task operation.</w:t>
            </w:r>
          </w:p>
        </w:tc>
        <w:tc>
          <w:tcPr>
            <w:tcW w:w="3816" w:type="dxa"/>
            <w:tcMar>
              <w:top w:w="65" w:type="dxa"/>
              <w:left w:w="70" w:type="dxa"/>
              <w:bottom w:w="65" w:type="dxa"/>
              <w:right w:w="70" w:type="dxa"/>
              <w:start w:w="68" w:type="dxa"/>
              <w:end w:w="68" w:type="dxa"/>
            </w:tcMar>
            <w:vAlign w:val="center"/>
          </w:tcPr>
          <w:p w14:paraId="7FF30019">
            <w:pPr>
              <w:spacing w:after="0" w:line="240" w:lineRule="auto" w:before="0"/>
            </w:pPr>
            <w:r>
              <w:rPr>
                <w:rFonts w:ascii="Times New Roman" w:hAnsi="Times New Roman" w:eastAsia="Times New Roman" w:cs="Times New Roman"/>
                <w:b w:val="0"/>
                <w:sz w:val="15"/>
              </w:rPr>
              <w:t>The response answers a different question, performs a different operation, or is off-task from the outset.</w:t>
            </w:r>
          </w:p>
        </w:tc>
        <w:tc>
          <w:tcPr>
            <w:tcW w:w="3096" w:type="dxa"/>
            <w:tcMar>
              <w:top w:w="65" w:type="dxa"/>
              <w:left w:w="70" w:type="dxa"/>
              <w:bottom w:w="65" w:type="dxa"/>
              <w:right w:w="70" w:type="dxa"/>
              <w:start w:w="68" w:type="dxa"/>
              <w:end w:w="68" w:type="dxa"/>
            </w:tcMar>
            <w:vAlign w:val="center"/>
          </w:tcPr>
          <w:p>
            <w:r>
              <w:t>Historical manual §12 also flags wrong format or omitted requested operations. Post-study only: a surface-only formatting infelicity without changed speech act is not decisive; not a retrospective annotation rule.</w:t>
            </w:r>
          </w:p>
        </w:tc>
      </w:tr>
      <w:tr w14:paraId="16DCD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792" w:type="dxa"/>
            <w:tcMar>
              <w:top w:w="65" w:type="dxa"/>
              <w:left w:w="70" w:type="dxa"/>
              <w:bottom w:w="65" w:type="dxa"/>
              <w:right w:w="70" w:type="dxa"/>
              <w:start w:w="68" w:type="dxa"/>
              <w:end w:w="68" w:type="dxa"/>
            </w:tcMar>
            <w:vAlign w:val="center"/>
          </w:tcPr>
          <w:p w14:paraId="2225E1ED">
            <w:pPr>
              <w:spacing w:after="0" w:line="240" w:lineRule="auto" w:before="0"/>
            </w:pPr>
            <w:r>
              <w:rPr>
                <w:rFonts w:ascii="Times New Roman" w:hAnsi="Times New Roman" w:eastAsia="Times New Roman" w:cs="Times New Roman"/>
                <w:b w:val="0"/>
                <w:sz w:val="15"/>
              </w:rPr>
              <w:t>SCF-04</w:t>
            </w:r>
          </w:p>
        </w:tc>
        <w:tc>
          <w:tcPr>
            <w:tcW w:w="1944" w:type="dxa"/>
            <w:tcMar>
              <w:top w:w="65" w:type="dxa"/>
              <w:left w:w="70" w:type="dxa"/>
              <w:bottom w:w="65" w:type="dxa"/>
              <w:right w:w="70" w:type="dxa"/>
              <w:start w:w="68" w:type="dxa"/>
              <w:end w:w="68" w:type="dxa"/>
            </w:tcMar>
            <w:vAlign w:val="center"/>
          </w:tcPr>
          <w:p w14:paraId="61B6CF4D">
            <w:pPr>
              <w:spacing w:after="0" w:line="240" w:lineRule="auto" w:before="0"/>
            </w:pPr>
            <w:r>
              <w:rPr>
                <w:rFonts w:ascii="Times New Roman" w:hAnsi="Times New Roman" w:eastAsia="Times New Roman" w:cs="Times New Roman"/>
                <w:b w:val="0"/>
                <w:sz w:val="15"/>
              </w:rPr>
              <w:t>Discourse-structure failure</w:t>
            </w:r>
          </w:p>
        </w:tc>
        <w:tc>
          <w:tcPr>
            <w:tcW w:w="2952" w:type="dxa"/>
            <w:tcMar>
              <w:top w:w="65" w:type="dxa"/>
              <w:left w:w="70" w:type="dxa"/>
              <w:bottom w:w="65" w:type="dxa"/>
              <w:right w:w="70" w:type="dxa"/>
              <w:start w:w="68" w:type="dxa"/>
              <w:end w:w="68" w:type="dxa"/>
            </w:tcMar>
            <w:vAlign w:val="center"/>
          </w:tcPr>
          <w:p w14:paraId="183431E9">
            <w:pPr>
              <w:spacing w:after="0" w:line="240" w:lineRule="auto" w:before="0"/>
            </w:pPr>
            <w:r>
              <w:rPr>
                <w:rFonts w:ascii="Times New Roman" w:hAnsi="Times New Roman" w:eastAsia="Times New Roman" w:cs="Times New Roman"/>
                <w:b w:val="0"/>
                <w:sz w:val="15"/>
              </w:rPr>
              <w:t>Rhetorical organisation and progression among discourse units.</w:t>
            </w:r>
          </w:p>
        </w:tc>
        <w:tc>
          <w:tcPr>
            <w:tcW w:w="3816" w:type="dxa"/>
            <w:tcMar>
              <w:top w:w="65" w:type="dxa"/>
              <w:left w:w="70" w:type="dxa"/>
              <w:bottom w:w="65" w:type="dxa"/>
              <w:right w:w="70" w:type="dxa"/>
              <w:start w:w="68" w:type="dxa"/>
              <w:end w:w="68" w:type="dxa"/>
            </w:tcMar>
            <w:vAlign w:val="center"/>
          </w:tcPr>
          <w:p>
            <w:r>
              <w:t>Relevant content lacks a recoverable rhetorical attachment or necessary explanation/evidence/contrast relation, not merely an unconventional sentence order or answer-first organisation.</w:t>
            </w:r>
          </w:p>
        </w:tc>
        <w:tc>
          <w:tcPr>
            <w:tcW w:w="3096" w:type="dxa"/>
            <w:tcMar>
              <w:top w:w="65" w:type="dxa"/>
              <w:left w:w="70" w:type="dxa"/>
              <w:bottom w:w="65" w:type="dxa"/>
              <w:right w:w="70" w:type="dxa"/>
              <w:start w:w="68" w:type="dxa"/>
              <w:end w:w="68" w:type="dxa"/>
            </w:tcMar>
            <w:vAlign w:val="center"/>
          </w:tcPr>
          <w:p>
            <w:r>
              <w:t>SCF-05 for a wider discourse-model integration problem beyond a local rhetorical-link issue; order reversal alone is insufficient.</w:t>
            </w:r>
          </w:p>
        </w:tc>
      </w:tr>
      <w:tr w14:paraId="23DCA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792" w:type="dxa"/>
            <w:tcMar>
              <w:top w:w="65" w:type="dxa"/>
              <w:left w:w="70" w:type="dxa"/>
              <w:bottom w:w="65" w:type="dxa"/>
              <w:right w:w="70" w:type="dxa"/>
              <w:start w:w="68" w:type="dxa"/>
              <w:end w:w="68" w:type="dxa"/>
            </w:tcMar>
            <w:vAlign w:val="center"/>
          </w:tcPr>
          <w:p w14:paraId="49CB8B5D">
            <w:pPr>
              <w:spacing w:after="0" w:line="240" w:lineRule="auto" w:before="0"/>
            </w:pPr>
            <w:r>
              <w:rPr>
                <w:rFonts w:ascii="Times New Roman" w:hAnsi="Times New Roman" w:eastAsia="Times New Roman" w:cs="Times New Roman"/>
                <w:b w:val="0"/>
                <w:sz w:val="15"/>
              </w:rPr>
              <w:t>SCF-05</w:t>
            </w:r>
          </w:p>
        </w:tc>
        <w:tc>
          <w:tcPr>
            <w:tcW w:w="1944" w:type="dxa"/>
            <w:tcMar>
              <w:top w:w="65" w:type="dxa"/>
              <w:left w:w="70" w:type="dxa"/>
              <w:bottom w:w="65" w:type="dxa"/>
              <w:right w:w="70" w:type="dxa"/>
              <w:start w:w="68" w:type="dxa"/>
              <w:end w:w="68" w:type="dxa"/>
            </w:tcMar>
            <w:vAlign w:val="center"/>
          </w:tcPr>
          <w:p w14:paraId="01B5FD90">
            <w:pPr>
              <w:spacing w:after="0" w:line="240" w:lineRule="auto" w:before="0"/>
            </w:pPr>
            <w:r>
              <w:rPr>
                <w:rFonts w:ascii="Times New Roman" w:hAnsi="Times New Roman" w:eastAsia="Times New Roman" w:cs="Times New Roman"/>
                <w:b w:val="0"/>
                <w:sz w:val="15"/>
              </w:rPr>
              <w:t>Local-to-global coherence breakdown</w:t>
            </w:r>
          </w:p>
        </w:tc>
        <w:tc>
          <w:tcPr>
            <w:tcW w:w="2952" w:type="dxa"/>
            <w:tcMar>
              <w:top w:w="65" w:type="dxa"/>
              <w:left w:w="70" w:type="dxa"/>
              <w:bottom w:w="65" w:type="dxa"/>
              <w:right w:w="70" w:type="dxa"/>
              <w:start w:w="68" w:type="dxa"/>
              <w:end w:w="68" w:type="dxa"/>
            </w:tcMar>
            <w:vAlign w:val="center"/>
          </w:tcPr>
          <w:p w14:paraId="1596E26E">
            <w:pPr>
              <w:spacing w:after="0" w:line="240" w:lineRule="auto" w:before="0"/>
            </w:pPr>
            <w:r>
              <w:rPr>
                <w:rFonts w:ascii="Times New Roman" w:hAnsi="Times New Roman" w:eastAsia="Times New Roman" w:cs="Times New Roman"/>
                <w:b w:val="0"/>
                <w:sz w:val="15"/>
              </w:rPr>
              <w:t>Global discourse or situation model built from locally interpretable propositions.</w:t>
            </w:r>
          </w:p>
        </w:tc>
        <w:tc>
          <w:tcPr>
            <w:tcW w:w="3816" w:type="dxa"/>
            <w:tcMar>
              <w:top w:w="65" w:type="dxa"/>
              <w:left w:w="70" w:type="dxa"/>
              <w:bottom w:w="65" w:type="dxa"/>
              <w:right w:w="70" w:type="dxa"/>
              <w:start w:w="68" w:type="dxa"/>
              <w:end w:w="68" w:type="dxa"/>
            </w:tcMar>
            <w:vAlign w:val="center"/>
          </w:tcPr>
          <w:p w14:paraId="147C4E58">
            <w:pPr>
              <w:spacing w:after="0" w:line="240" w:lineRule="auto" w:before="0"/>
            </w:pPr>
            <w:r>
              <w:rPr>
                <w:rFonts w:ascii="Times New Roman" w:hAnsi="Times New Roman" w:eastAsia="Times New Roman" w:cs="Times New Roman"/>
                <w:b w:val="0"/>
                <w:sz w:val="15"/>
              </w:rPr>
              <w:t>Locally acceptable units fail to integrate into one coherent situation, argument, or conclusion.</w:t>
            </w:r>
          </w:p>
        </w:tc>
        <w:tc>
          <w:tcPr>
            <w:tcW w:w="3096" w:type="dxa"/>
            <w:tcMar>
              <w:top w:w="65" w:type="dxa"/>
              <w:left w:w="70" w:type="dxa"/>
              <w:bottom w:w="65" w:type="dxa"/>
              <w:right w:w="70" w:type="dxa"/>
              <w:start w:w="68" w:type="dxa"/>
              <w:end w:w="68" w:type="dxa"/>
            </w:tcMar>
            <w:vAlign w:val="center"/>
          </w:tcPr>
          <w:p>
            <w:r>
              <w:t>Explicitly contradictory propositions are more directly OVR-01; mixing separate supplied contexts suggests OVR-06; absent bridging relation may also suggest SCF-04. Clean isolation is not assumed.</w:t>
            </w:r>
          </w:p>
        </w:tc>
      </w:tr>
      <w:tr w14:paraId="097A1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792" w:type="dxa"/>
            <w:tcMar>
              <w:top w:w="65" w:type="dxa"/>
              <w:left w:w="70" w:type="dxa"/>
              <w:bottom w:w="65" w:type="dxa"/>
              <w:right w:w="70" w:type="dxa"/>
              <w:start w:w="68" w:type="dxa"/>
              <w:end w:w="68" w:type="dxa"/>
            </w:tcMar>
            <w:vAlign w:val="center"/>
          </w:tcPr>
          <w:p w14:paraId="12B61399">
            <w:pPr>
              <w:spacing w:after="0" w:line="240" w:lineRule="auto" w:before="0"/>
            </w:pPr>
            <w:r>
              <w:rPr>
                <w:rFonts w:ascii="Times New Roman" w:hAnsi="Times New Roman" w:eastAsia="Times New Roman" w:cs="Times New Roman"/>
                <w:b w:val="0"/>
                <w:sz w:val="15"/>
              </w:rPr>
              <w:t>SCF-06</w:t>
            </w:r>
          </w:p>
        </w:tc>
        <w:tc>
          <w:tcPr>
            <w:tcW w:w="1944" w:type="dxa"/>
            <w:tcMar>
              <w:top w:w="65" w:type="dxa"/>
              <w:left w:w="70" w:type="dxa"/>
              <w:bottom w:w="65" w:type="dxa"/>
              <w:right w:w="70" w:type="dxa"/>
              <w:start w:w="68" w:type="dxa"/>
              <w:end w:w="68" w:type="dxa"/>
            </w:tcMar>
            <w:vAlign w:val="center"/>
          </w:tcPr>
          <w:p w14:paraId="1D5E4001">
            <w:pPr>
              <w:spacing w:after="0" w:line="240" w:lineRule="auto" w:before="0"/>
            </w:pPr>
            <w:r>
              <w:rPr>
                <w:rFonts w:ascii="Times New Roman" w:hAnsi="Times New Roman" w:eastAsia="Times New Roman" w:cs="Times New Roman"/>
                <w:b w:val="0"/>
                <w:sz w:val="15"/>
              </w:rPr>
              <w:t>Referential instability / coreference breakdown</w:t>
            </w:r>
          </w:p>
        </w:tc>
        <w:tc>
          <w:tcPr>
            <w:tcW w:w="2952" w:type="dxa"/>
            <w:tcMar>
              <w:top w:w="65" w:type="dxa"/>
              <w:left w:w="70" w:type="dxa"/>
              <w:bottom w:w="65" w:type="dxa"/>
              <w:right w:w="70" w:type="dxa"/>
              <w:start w:w="68" w:type="dxa"/>
              <w:end w:w="68" w:type="dxa"/>
            </w:tcMar>
            <w:vAlign w:val="center"/>
          </w:tcPr>
          <w:p w14:paraId="7594ECC1">
            <w:pPr>
              <w:spacing w:after="0" w:line="240" w:lineRule="auto" w:before="0"/>
            </w:pPr>
            <w:r>
              <w:rPr>
                <w:rFonts w:ascii="Times New Roman" w:hAnsi="Times New Roman" w:eastAsia="Times New Roman" w:cs="Times New Roman"/>
                <w:b w:val="0"/>
                <w:sz w:val="15"/>
              </w:rPr>
              <w:t>Mapping from referring expressions to discourse referents.</w:t>
            </w:r>
          </w:p>
        </w:tc>
        <w:tc>
          <w:tcPr>
            <w:tcW w:w="3816" w:type="dxa"/>
            <w:tcMar>
              <w:top w:w="65" w:type="dxa"/>
              <w:left w:w="70" w:type="dxa"/>
              <w:bottom w:w="65" w:type="dxa"/>
              <w:right w:w="70" w:type="dxa"/>
              <w:start w:w="68" w:type="dxa"/>
              <w:end w:w="68" w:type="dxa"/>
            </w:tcMar>
            <w:vAlign w:val="center"/>
          </w:tcPr>
          <w:p>
            <w:r>
              <w:t>For a task-critical expression, a referring phrase cannot be resolved consistently to a required discourse entity using the output and authorised anchor; ordinary recoverable pronoun ambiguity is insufficient.</w:t>
            </w:r>
          </w:p>
        </w:tc>
        <w:tc>
          <w:tcPr>
            <w:tcW w:w="3096" w:type="dxa"/>
            <w:tcMar>
              <w:top w:w="65" w:type="dxa"/>
              <w:left w:w="70" w:type="dxa"/>
              <w:bottom w:w="65" w:type="dxa"/>
              <w:right w:w="70" w:type="dxa"/>
              <w:start w:w="68" w:type="dxa"/>
              <w:end w:w="68" w:type="dxa"/>
            </w:tcMar>
            <w:vAlign w:val="center"/>
          </w:tcPr>
          <w:p w14:paraId="0F322369">
            <w:pPr>
              <w:spacing w:after="0" w:line="240" w:lineRule="auto" w:before="0"/>
            </w:pPr>
            <w:r>
              <w:rPr>
                <w:rFonts w:ascii="Times New Roman" w:hAnsi="Times New Roman" w:eastAsia="Times New Roman" w:cs="Times New Roman"/>
                <w:b w:val="0"/>
                <w:sz w:val="15"/>
              </w:rPr>
              <w:t>OVR-03 if the referent is determinate but a role, attribute, identity, or relation is assigned incorrectly.</w:t>
            </w:r>
          </w:p>
        </w:tc>
      </w:tr>
      <w:tr w14:paraId="787A7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792" w:type="dxa"/>
            <w:tcMar>
              <w:top w:w="65" w:type="dxa"/>
              <w:left w:w="70" w:type="dxa"/>
              <w:bottom w:w="65" w:type="dxa"/>
              <w:right w:w="70" w:type="dxa"/>
              <w:start w:w="68" w:type="dxa"/>
              <w:end w:w="68" w:type="dxa"/>
            </w:tcMar>
            <w:vAlign w:val="center"/>
          </w:tcPr>
          <w:p w14:paraId="7C049E8A">
            <w:pPr>
              <w:spacing w:after="0" w:line="240" w:lineRule="auto" w:before="0"/>
            </w:pPr>
            <w:r>
              <w:rPr>
                <w:rFonts w:ascii="Times New Roman" w:hAnsi="Times New Roman" w:eastAsia="Times New Roman" w:cs="Times New Roman"/>
                <w:b w:val="0"/>
                <w:sz w:val="15"/>
              </w:rPr>
              <w:t>SCF-07</w:t>
            </w:r>
          </w:p>
        </w:tc>
        <w:tc>
          <w:tcPr>
            <w:tcW w:w="1944" w:type="dxa"/>
            <w:tcMar>
              <w:top w:w="65" w:type="dxa"/>
              <w:left w:w="70" w:type="dxa"/>
              <w:bottom w:w="65" w:type="dxa"/>
              <w:right w:w="70" w:type="dxa"/>
              <w:start w:w="68" w:type="dxa"/>
              <w:end w:w="68" w:type="dxa"/>
            </w:tcMar>
            <w:vAlign w:val="center"/>
          </w:tcPr>
          <w:p w14:paraId="33BD939E">
            <w:pPr>
              <w:spacing w:after="0" w:line="240" w:lineRule="auto" w:before="0"/>
            </w:pPr>
            <w:r>
              <w:rPr>
                <w:rFonts w:ascii="Times New Roman" w:hAnsi="Times New Roman" w:eastAsia="Times New Roman" w:cs="Times New Roman"/>
                <w:b w:val="0"/>
                <w:sz w:val="15"/>
              </w:rPr>
              <w:t>Definition / term-sense instability</w:t>
            </w:r>
          </w:p>
        </w:tc>
        <w:tc>
          <w:tcPr>
            <w:tcW w:w="2952" w:type="dxa"/>
            <w:tcMar>
              <w:top w:w="65" w:type="dxa"/>
              <w:left w:w="70" w:type="dxa"/>
              <w:bottom w:w="65" w:type="dxa"/>
              <w:right w:w="70" w:type="dxa"/>
              <w:start w:w="68" w:type="dxa"/>
              <w:end w:w="68" w:type="dxa"/>
            </w:tcMar>
            <w:vAlign w:val="center"/>
          </w:tcPr>
          <w:p w14:paraId="3190185E">
            <w:pPr>
              <w:spacing w:after="0" w:line="240" w:lineRule="auto" w:before="0"/>
            </w:pPr>
            <w:r>
              <w:rPr>
                <w:rFonts w:ascii="Times New Roman" w:hAnsi="Times New Roman" w:eastAsia="Times New Roman" w:cs="Times New Roman"/>
                <w:b w:val="0"/>
                <w:sz w:val="15"/>
              </w:rPr>
              <w:t>Intension, sense, or category criterion associated with a term.</w:t>
            </w:r>
          </w:p>
        </w:tc>
        <w:tc>
          <w:tcPr>
            <w:tcW w:w="3816" w:type="dxa"/>
            <w:tcMar>
              <w:top w:w="65" w:type="dxa"/>
              <w:left w:w="70" w:type="dxa"/>
              <w:bottom w:w="65" w:type="dxa"/>
              <w:right w:w="70" w:type="dxa"/>
              <w:start w:w="68" w:type="dxa"/>
              <w:end w:w="68" w:type="dxa"/>
            </w:tcMar>
            <w:vAlign w:val="center"/>
          </w:tcPr>
          <w:p>
            <w:r>
              <w:t>Within a single signalled topic/terminological frame, a term silently changes its stipulated sense or category criterion; an explicitly signalled new sense or ordinary polysemy alone is insufficient.</w:t>
            </w:r>
          </w:p>
        </w:tc>
        <w:tc>
          <w:tcPr>
            <w:tcW w:w="3096" w:type="dxa"/>
            <w:tcMar>
              <w:top w:w="65" w:type="dxa"/>
              <w:left w:w="70" w:type="dxa"/>
              <w:bottom w:w="65" w:type="dxa"/>
              <w:right w:w="70" w:type="dxa"/>
              <w:start w:w="68" w:type="dxa"/>
              <w:end w:w="68" w:type="dxa"/>
            </w:tcMar>
            <w:vAlign w:val="center"/>
          </w:tcPr>
          <w:p w14:paraId="6A43CE1E">
            <w:pPr>
              <w:spacing w:after="0" w:line="240" w:lineRule="auto" w:before="0"/>
            </w:pPr>
            <w:r>
              <w:rPr>
                <w:rFonts w:ascii="Times New Roman" w:hAnsi="Times New Roman" w:eastAsia="Times New Roman" w:cs="Times New Roman"/>
                <w:b w:val="0"/>
                <w:sz w:val="15"/>
              </w:rPr>
              <w:t>SCF-06 concerns referents, not the meaning of the term.</w:t>
            </w:r>
          </w:p>
        </w:tc>
      </w:tr>
      <w:tr w14:paraId="1A844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792" w:type="dxa"/>
            <w:tcMar>
              <w:top w:w="65" w:type="dxa"/>
              <w:left w:w="70" w:type="dxa"/>
              <w:bottom w:w="65" w:type="dxa"/>
              <w:right w:w="70" w:type="dxa"/>
              <w:start w:w="68" w:type="dxa"/>
              <w:end w:w="68" w:type="dxa"/>
            </w:tcMar>
            <w:vAlign w:val="center"/>
          </w:tcPr>
          <w:p w14:paraId="0691D69D">
            <w:pPr>
              <w:spacing w:after="0" w:line="240" w:lineRule="auto" w:before="0"/>
            </w:pPr>
            <w:r>
              <w:rPr>
                <w:rFonts w:ascii="Times New Roman" w:hAnsi="Times New Roman" w:eastAsia="Times New Roman" w:cs="Times New Roman"/>
                <w:b w:val="0"/>
                <w:sz w:val="15"/>
              </w:rPr>
              <w:t>OVR-01</w:t>
            </w:r>
          </w:p>
        </w:tc>
        <w:tc>
          <w:tcPr>
            <w:tcW w:w="1944" w:type="dxa"/>
            <w:tcMar>
              <w:top w:w="65" w:type="dxa"/>
              <w:left w:w="70" w:type="dxa"/>
              <w:bottom w:w="65" w:type="dxa"/>
              <w:right w:w="70" w:type="dxa"/>
              <w:start w:w="68" w:type="dxa"/>
              <w:end w:w="68" w:type="dxa"/>
            </w:tcMar>
            <w:vAlign w:val="center"/>
          </w:tcPr>
          <w:p w14:paraId="38512F56">
            <w:pPr>
              <w:spacing w:after="0" w:line="240" w:lineRule="auto" w:before="0"/>
            </w:pPr>
            <w:r>
              <w:rPr>
                <w:rFonts w:ascii="Times New Roman" w:hAnsi="Times New Roman" w:eastAsia="Times New Roman" w:cs="Times New Roman"/>
                <w:b w:val="0"/>
                <w:sz w:val="15"/>
              </w:rPr>
              <w:t>Self-contradiction</w:t>
            </w:r>
          </w:p>
        </w:tc>
        <w:tc>
          <w:tcPr>
            <w:tcW w:w="2952" w:type="dxa"/>
            <w:tcMar>
              <w:top w:w="65" w:type="dxa"/>
              <w:left w:w="70" w:type="dxa"/>
              <w:bottom w:w="65" w:type="dxa"/>
              <w:right w:w="70" w:type="dxa"/>
              <w:start w:w="68" w:type="dxa"/>
              <w:end w:w="68" w:type="dxa"/>
            </w:tcMar>
            <w:vAlign w:val="center"/>
          </w:tcPr>
          <w:p w14:paraId="235219A4">
            <w:pPr>
              <w:spacing w:after="0" w:line="240" w:lineRule="auto" w:before="0"/>
            </w:pPr>
            <w:r>
              <w:rPr>
                <w:rFonts w:ascii="Times New Roman" w:hAnsi="Times New Roman" w:eastAsia="Times New Roman" w:cs="Times New Roman"/>
                <w:b w:val="0"/>
                <w:sz w:val="15"/>
              </w:rPr>
              <w:t>Compatibility of explicit propositions in the output.</w:t>
            </w:r>
          </w:p>
        </w:tc>
        <w:tc>
          <w:tcPr>
            <w:tcW w:w="3816" w:type="dxa"/>
            <w:tcMar>
              <w:top w:w="65" w:type="dxa"/>
              <w:left w:w="70" w:type="dxa"/>
              <w:bottom w:w="65" w:type="dxa"/>
              <w:right w:w="70" w:type="dxa"/>
              <w:start w:w="68" w:type="dxa"/>
              <w:end w:w="68" w:type="dxa"/>
            </w:tcMar>
            <w:vAlign w:val="center"/>
          </w:tcPr>
          <w:p w14:paraId="27055D9B">
            <w:pPr>
              <w:spacing w:after="0" w:line="240" w:lineRule="auto" w:before="0"/>
            </w:pPr>
            <w:r>
              <w:rPr>
                <w:rFonts w:ascii="Times New Roman" w:hAnsi="Times New Roman" w:eastAsia="Times New Roman" w:cs="Times New Roman"/>
                <w:b w:val="0"/>
                <w:sz w:val="15"/>
              </w:rPr>
              <w:t>Two claims cannot both be true under the same interpretation.</w:t>
            </w:r>
          </w:p>
        </w:tc>
        <w:tc>
          <w:tcPr>
            <w:tcW w:w="3096" w:type="dxa"/>
            <w:tcMar>
              <w:top w:w="65" w:type="dxa"/>
              <w:left w:w="70" w:type="dxa"/>
              <w:bottom w:w="65" w:type="dxa"/>
              <w:right w:w="70" w:type="dxa"/>
              <w:start w:w="68" w:type="dxa"/>
              <w:end w:w="68" w:type="dxa"/>
            </w:tcMar>
            <w:vAlign w:val="center"/>
          </w:tcPr>
          <w:p w14:paraId="0D11B4D4">
            <w:pPr>
              <w:spacing w:after="0" w:line="240" w:lineRule="auto" w:before="0"/>
            </w:pPr>
            <w:r>
              <w:rPr>
                <w:rFonts w:ascii="Times New Roman" w:hAnsi="Times New Roman" w:eastAsia="Times New Roman" w:cs="Times New Roman"/>
                <w:b w:val="0"/>
                <w:sz w:val="15"/>
              </w:rPr>
              <w:t>OVR-05 requires a premise/conclusion relation. May be semantic_only or overlap.</w:t>
            </w:r>
          </w:p>
        </w:tc>
      </w:tr>
      <w:tr w14:paraId="59E77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792" w:type="dxa"/>
            <w:tcMar>
              <w:top w:w="65" w:type="dxa"/>
              <w:left w:w="70" w:type="dxa"/>
              <w:bottom w:w="65" w:type="dxa"/>
              <w:right w:w="70" w:type="dxa"/>
              <w:start w:w="68" w:type="dxa"/>
              <w:end w:w="68" w:type="dxa"/>
            </w:tcMar>
            <w:vAlign w:val="center"/>
          </w:tcPr>
          <w:p w14:paraId="7CE268F9">
            <w:pPr>
              <w:spacing w:after="0" w:line="240" w:lineRule="auto" w:before="0"/>
            </w:pPr>
            <w:r>
              <w:rPr>
                <w:rFonts w:ascii="Times New Roman" w:hAnsi="Times New Roman" w:eastAsia="Times New Roman" w:cs="Times New Roman"/>
                <w:b w:val="0"/>
                <w:sz w:val="15"/>
              </w:rPr>
              <w:t>OVR-02</w:t>
            </w:r>
          </w:p>
        </w:tc>
        <w:tc>
          <w:tcPr>
            <w:tcW w:w="1944" w:type="dxa"/>
            <w:tcMar>
              <w:top w:w="65" w:type="dxa"/>
              <w:left w:w="70" w:type="dxa"/>
              <w:bottom w:w="65" w:type="dxa"/>
              <w:right w:w="70" w:type="dxa"/>
              <w:start w:w="68" w:type="dxa"/>
              <w:end w:w="68" w:type="dxa"/>
            </w:tcMar>
            <w:vAlign w:val="center"/>
          </w:tcPr>
          <w:p w14:paraId="24FAFC92">
            <w:pPr>
              <w:spacing w:after="0" w:line="240" w:lineRule="auto" w:before="0"/>
            </w:pPr>
            <w:r>
              <w:rPr>
                <w:rFonts w:ascii="Times New Roman" w:hAnsi="Times New Roman" w:eastAsia="Times New Roman" w:cs="Times New Roman"/>
                <w:b w:val="0"/>
                <w:sz w:val="15"/>
              </w:rPr>
              <w:t>Context inconsistency</w:t>
            </w:r>
          </w:p>
        </w:tc>
        <w:tc>
          <w:tcPr>
            <w:tcW w:w="2952" w:type="dxa"/>
            <w:tcMar>
              <w:top w:w="65" w:type="dxa"/>
              <w:left w:w="70" w:type="dxa"/>
              <w:bottom w:w="65" w:type="dxa"/>
              <w:right w:w="70" w:type="dxa"/>
              <w:start w:w="68" w:type="dxa"/>
              <w:end w:w="68" w:type="dxa"/>
            </w:tcMar>
            <w:vAlign w:val="center"/>
          </w:tcPr>
          <w:p w14:paraId="60D0B850">
            <w:pPr>
              <w:spacing w:after="0" w:line="240" w:lineRule="auto" w:before="0"/>
            </w:pPr>
            <w:r>
              <w:rPr>
                <w:rFonts w:ascii="Times New Roman" w:hAnsi="Times New Roman" w:eastAsia="Times New Roman" w:cs="Times New Roman"/>
                <w:b w:val="0"/>
                <w:sz w:val="15"/>
              </w:rPr>
              <w:t>Compatibility with the prompt, supplied source, or prior discourse.</w:t>
            </w:r>
          </w:p>
        </w:tc>
        <w:tc>
          <w:tcPr>
            <w:tcW w:w="3816" w:type="dxa"/>
            <w:tcMar>
              <w:top w:w="65" w:type="dxa"/>
              <w:left w:w="70" w:type="dxa"/>
              <w:bottom w:w="65" w:type="dxa"/>
              <w:right w:w="70" w:type="dxa"/>
              <w:start w:w="68" w:type="dxa"/>
              <w:end w:w="68" w:type="dxa"/>
            </w:tcMar>
            <w:vAlign w:val="center"/>
          </w:tcPr>
          <w:p w14:paraId="4A7890B8">
            <w:pPr>
              <w:spacing w:after="0" w:line="240" w:lineRule="auto" w:before="0"/>
            </w:pPr>
            <w:r>
              <w:rPr>
                <w:rFonts w:ascii="Times New Roman" w:hAnsi="Times New Roman" w:eastAsia="Times New Roman" w:cs="Times New Roman"/>
                <w:b w:val="0"/>
                <w:sz w:val="15"/>
              </w:rPr>
              <w:t>The output contradicts a visible contextual proposition or required condition.</w:t>
            </w:r>
          </w:p>
        </w:tc>
        <w:tc>
          <w:tcPr>
            <w:tcW w:w="3096" w:type="dxa"/>
            <w:tcMar>
              <w:top w:w="65" w:type="dxa"/>
              <w:left w:w="70" w:type="dxa"/>
              <w:bottom w:w="65" w:type="dxa"/>
              <w:right w:w="70" w:type="dxa"/>
              <w:start w:w="68" w:type="dxa"/>
              <w:end w:w="68" w:type="dxa"/>
            </w:tcMar>
            <w:vAlign w:val="center"/>
          </w:tcPr>
          <w:p w14:paraId="205339D5">
            <w:pPr>
              <w:spacing w:after="0" w:line="240" w:lineRule="auto" w:before="0"/>
            </w:pPr>
            <w:r>
              <w:rPr>
                <w:rFonts w:ascii="Times New Roman" w:hAnsi="Times New Roman" w:eastAsia="Times New Roman" w:cs="Times New Roman"/>
                <w:b w:val="0"/>
                <w:sz w:val="15"/>
              </w:rPr>
              <w:t>HREF if content is unsupported but internally coherent and no semantic mechanism dominates.</w:t>
            </w:r>
          </w:p>
        </w:tc>
      </w:tr>
      <w:tr w14:paraId="1864C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792" w:type="dxa"/>
            <w:tcMar>
              <w:top w:w="65" w:type="dxa"/>
              <w:left w:w="70" w:type="dxa"/>
              <w:bottom w:w="65" w:type="dxa"/>
              <w:right w:w="70" w:type="dxa"/>
              <w:start w:w="68" w:type="dxa"/>
              <w:end w:w="68" w:type="dxa"/>
            </w:tcMar>
            <w:vAlign w:val="center"/>
          </w:tcPr>
          <w:p w14:paraId="6FB31194">
            <w:pPr>
              <w:spacing w:after="0" w:line="240" w:lineRule="auto" w:before="0"/>
            </w:pPr>
            <w:r>
              <w:rPr>
                <w:rFonts w:ascii="Times New Roman" w:hAnsi="Times New Roman" w:eastAsia="Times New Roman" w:cs="Times New Roman"/>
                <w:b w:val="0"/>
                <w:sz w:val="15"/>
              </w:rPr>
              <w:t>OVR-03</w:t>
            </w:r>
          </w:p>
        </w:tc>
        <w:tc>
          <w:tcPr>
            <w:tcW w:w="1944" w:type="dxa"/>
            <w:tcMar>
              <w:top w:w="65" w:type="dxa"/>
              <w:left w:w="70" w:type="dxa"/>
              <w:bottom w:w="65" w:type="dxa"/>
              <w:right w:w="70" w:type="dxa"/>
              <w:start w:w="68" w:type="dxa"/>
              <w:end w:w="68" w:type="dxa"/>
            </w:tcMar>
            <w:vAlign w:val="center"/>
          </w:tcPr>
          <w:p w14:paraId="449F68B5">
            <w:pPr>
              <w:spacing w:after="0" w:line="240" w:lineRule="auto" w:before="0"/>
            </w:pPr>
            <w:r>
              <w:rPr>
                <w:rFonts w:ascii="Times New Roman" w:hAnsi="Times New Roman" w:eastAsia="Times New Roman" w:cs="Times New Roman"/>
                <w:b w:val="0"/>
                <w:sz w:val="15"/>
              </w:rPr>
              <w:t>Entity / role / attribute misattribution</w:t>
            </w:r>
          </w:p>
        </w:tc>
        <w:tc>
          <w:tcPr>
            <w:tcW w:w="2952" w:type="dxa"/>
            <w:tcMar>
              <w:top w:w="65" w:type="dxa"/>
              <w:left w:w="70" w:type="dxa"/>
              <w:bottom w:w="65" w:type="dxa"/>
              <w:right w:w="70" w:type="dxa"/>
              <w:start w:w="68" w:type="dxa"/>
              <w:end w:w="68" w:type="dxa"/>
            </w:tcMar>
            <w:vAlign w:val="center"/>
          </w:tcPr>
          <w:p w14:paraId="336C5646">
            <w:pPr>
              <w:spacing w:after="0" w:line="240" w:lineRule="auto" w:before="0"/>
            </w:pPr>
            <w:r>
              <w:rPr>
                <w:rFonts w:ascii="Times New Roman" w:hAnsi="Times New Roman" w:eastAsia="Times New Roman" w:cs="Times New Roman"/>
                <w:b w:val="0"/>
                <w:sz w:val="15"/>
              </w:rPr>
              <w:t>Identity, role, property, or relation assigned to a determinate entity.</w:t>
            </w:r>
          </w:p>
        </w:tc>
        <w:tc>
          <w:tcPr>
            <w:tcW w:w="3816" w:type="dxa"/>
            <w:tcMar>
              <w:top w:w="65" w:type="dxa"/>
              <w:left w:w="70" w:type="dxa"/>
              <w:bottom w:w="65" w:type="dxa"/>
              <w:right w:w="70" w:type="dxa"/>
              <w:start w:w="68" w:type="dxa"/>
              <w:end w:w="68" w:type="dxa"/>
            </w:tcMar>
            <w:vAlign w:val="center"/>
          </w:tcPr>
          <w:p w14:paraId="23BDF44B">
            <w:pPr>
              <w:spacing w:after="0" w:line="240" w:lineRule="auto" w:before="0"/>
            </w:pPr>
            <w:r>
              <w:rPr>
                <w:rFonts w:ascii="Times New Roman" w:hAnsi="Times New Roman" w:eastAsia="Times New Roman" w:cs="Times New Roman"/>
                <w:b w:val="0"/>
                <w:sz w:val="15"/>
              </w:rPr>
              <w:t>The output swaps entities or assigns a visible role/attribute/relation to the wrong entity.</w:t>
            </w:r>
          </w:p>
        </w:tc>
        <w:tc>
          <w:tcPr>
            <w:tcW w:w="3096" w:type="dxa"/>
            <w:tcMar>
              <w:top w:w="65" w:type="dxa"/>
              <w:left w:w="70" w:type="dxa"/>
              <w:bottom w:w="65" w:type="dxa"/>
              <w:right w:w="70" w:type="dxa"/>
              <w:start w:w="68" w:type="dxa"/>
              <w:end w:w="68" w:type="dxa"/>
            </w:tcMar>
            <w:vAlign w:val="center"/>
          </w:tcPr>
          <w:p w14:paraId="7C8ECB13">
            <w:pPr>
              <w:spacing w:after="0" w:line="240" w:lineRule="auto" w:before="0"/>
            </w:pPr>
            <w:r>
              <w:rPr>
                <w:rFonts w:ascii="Times New Roman" w:hAnsi="Times New Roman" w:eastAsia="Times New Roman" w:cs="Times New Roman"/>
                <w:b w:val="0"/>
                <w:sz w:val="15"/>
              </w:rPr>
              <w:t>SCF-06 when the referent itself is unresolved or unstable.</w:t>
            </w:r>
          </w:p>
        </w:tc>
      </w:tr>
      <w:tr w14:paraId="471CB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792" w:type="dxa"/>
            <w:tcMar>
              <w:top w:w="65" w:type="dxa"/>
              <w:left w:w="70" w:type="dxa"/>
              <w:bottom w:w="65" w:type="dxa"/>
              <w:right w:w="70" w:type="dxa"/>
              <w:start w:w="68" w:type="dxa"/>
              <w:end w:w="68" w:type="dxa"/>
            </w:tcMar>
            <w:vAlign w:val="center"/>
          </w:tcPr>
          <w:p w14:paraId="6C6AE6A3">
            <w:pPr>
              <w:spacing w:after="0" w:line="240" w:lineRule="auto" w:before="0"/>
            </w:pPr>
            <w:r>
              <w:rPr>
                <w:rFonts w:ascii="Times New Roman" w:hAnsi="Times New Roman" w:eastAsia="Times New Roman" w:cs="Times New Roman"/>
                <w:b w:val="0"/>
                <w:sz w:val="15"/>
              </w:rPr>
              <w:t>OVR-04</w:t>
            </w:r>
          </w:p>
        </w:tc>
        <w:tc>
          <w:tcPr>
            <w:tcW w:w="1944" w:type="dxa"/>
            <w:tcMar>
              <w:top w:w="65" w:type="dxa"/>
              <w:left w:w="70" w:type="dxa"/>
              <w:bottom w:w="65" w:type="dxa"/>
              <w:right w:w="70" w:type="dxa"/>
              <w:start w:w="68" w:type="dxa"/>
              <w:end w:w="68" w:type="dxa"/>
            </w:tcMar>
            <w:vAlign w:val="center"/>
          </w:tcPr>
          <w:p w14:paraId="044324C8">
            <w:pPr>
              <w:spacing w:after="0" w:line="240" w:lineRule="auto" w:before="0"/>
            </w:pPr>
            <w:r>
              <w:rPr>
                <w:rFonts w:ascii="Times New Roman" w:hAnsi="Times New Roman" w:eastAsia="Times New Roman" w:cs="Times New Roman"/>
                <w:b w:val="0"/>
                <w:sz w:val="15"/>
              </w:rPr>
              <w:t>Temporal / world-state inconsistency</w:t>
            </w:r>
          </w:p>
        </w:tc>
        <w:tc>
          <w:tcPr>
            <w:tcW w:w="2952" w:type="dxa"/>
            <w:tcMar>
              <w:top w:w="65" w:type="dxa"/>
              <w:left w:w="70" w:type="dxa"/>
              <w:bottom w:w="65" w:type="dxa"/>
              <w:right w:w="70" w:type="dxa"/>
              <w:start w:w="68" w:type="dxa"/>
              <w:end w:w="68" w:type="dxa"/>
            </w:tcMar>
            <w:vAlign w:val="center"/>
          </w:tcPr>
          <w:p w14:paraId="55F99519">
            <w:pPr>
              <w:spacing w:after="0" w:line="240" w:lineRule="auto" w:before="0"/>
            </w:pPr>
            <w:r>
              <w:rPr>
                <w:rFonts w:ascii="Times New Roman" w:hAnsi="Times New Roman" w:eastAsia="Times New Roman" w:cs="Times New Roman"/>
                <w:b w:val="0"/>
                <w:sz w:val="15"/>
              </w:rPr>
              <w:t>Temporal order, state, or condition relative to a visible anchor.</w:t>
            </w:r>
          </w:p>
        </w:tc>
        <w:tc>
          <w:tcPr>
            <w:tcW w:w="3816" w:type="dxa"/>
            <w:tcMar>
              <w:top w:w="65" w:type="dxa"/>
              <w:left w:w="70" w:type="dxa"/>
              <w:bottom w:w="65" w:type="dxa"/>
              <w:right w:w="70" w:type="dxa"/>
              <w:start w:w="68" w:type="dxa"/>
              <w:end w:w="68" w:type="dxa"/>
            </w:tcMar>
            <w:vAlign w:val="center"/>
          </w:tcPr>
          <w:p w14:paraId="33E25CC4">
            <w:pPr>
              <w:spacing w:after="0" w:line="240" w:lineRule="auto" w:before="0"/>
            </w:pPr>
            <w:r>
              <w:rPr>
                <w:rFonts w:ascii="Times New Roman" w:hAnsi="Times New Roman" w:eastAsia="Times New Roman" w:cs="Times New Roman"/>
                <w:b w:val="0"/>
                <w:sz w:val="15"/>
              </w:rPr>
              <w:t>The output reverses or changes the supplied sequence, state, or condition.</w:t>
            </w:r>
          </w:p>
        </w:tc>
        <w:tc>
          <w:tcPr>
            <w:tcW w:w="3096" w:type="dxa"/>
            <w:tcMar>
              <w:top w:w="65" w:type="dxa"/>
              <w:left w:w="70" w:type="dxa"/>
              <w:bottom w:w="65" w:type="dxa"/>
              <w:right w:w="70" w:type="dxa"/>
              <w:start w:w="68" w:type="dxa"/>
              <w:end w:w="68" w:type="dxa"/>
            </w:tcMar>
            <w:vAlign w:val="center"/>
          </w:tcPr>
          <w:p w14:paraId="4093645D">
            <w:pPr>
              <w:spacing w:after="0" w:line="240" w:lineRule="auto" w:before="0"/>
            </w:pPr>
            <w:r>
              <w:rPr>
                <w:rFonts w:ascii="Times New Roman" w:hAnsi="Times New Roman" w:eastAsia="Times New Roman" w:cs="Times New Roman"/>
                <w:b w:val="0"/>
                <w:sz w:val="15"/>
              </w:rPr>
              <w:t>SCF-02 if the problem is causal continuity rather than temporal/world-state grounding.</w:t>
            </w:r>
          </w:p>
        </w:tc>
      </w:tr>
      <w:tr w14:paraId="4461E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792" w:type="dxa"/>
            <w:tcMar>
              <w:top w:w="65" w:type="dxa"/>
              <w:left w:w="70" w:type="dxa"/>
              <w:bottom w:w="65" w:type="dxa"/>
              <w:right w:w="70" w:type="dxa"/>
              <w:start w:w="68" w:type="dxa"/>
              <w:end w:w="68" w:type="dxa"/>
            </w:tcMar>
            <w:vAlign w:val="center"/>
          </w:tcPr>
          <w:p w14:paraId="4DA8AC2A">
            <w:pPr>
              <w:spacing w:after="0" w:line="240" w:lineRule="auto" w:before="0"/>
            </w:pPr>
            <w:r>
              <w:rPr>
                <w:rFonts w:ascii="Times New Roman" w:hAnsi="Times New Roman" w:eastAsia="Times New Roman" w:cs="Times New Roman"/>
                <w:b w:val="0"/>
                <w:sz w:val="15"/>
              </w:rPr>
              <w:t>OVR-05</w:t>
            </w:r>
          </w:p>
        </w:tc>
        <w:tc>
          <w:tcPr>
            <w:tcW w:w="1944" w:type="dxa"/>
            <w:tcMar>
              <w:top w:w="65" w:type="dxa"/>
              <w:left w:w="70" w:type="dxa"/>
              <w:bottom w:w="65" w:type="dxa"/>
              <w:right w:w="70" w:type="dxa"/>
              <w:start w:w="68" w:type="dxa"/>
              <w:end w:w="68" w:type="dxa"/>
            </w:tcMar>
            <w:vAlign w:val="center"/>
          </w:tcPr>
          <w:p w14:paraId="72AD9733">
            <w:pPr>
              <w:spacing w:after="0" w:line="240" w:lineRule="auto" w:before="0"/>
            </w:pPr>
            <w:r>
              <w:rPr>
                <w:rFonts w:ascii="Times New Roman" w:hAnsi="Times New Roman" w:eastAsia="Times New Roman" w:cs="Times New Roman"/>
                <w:b w:val="0"/>
                <w:sz w:val="15"/>
              </w:rPr>
              <w:t>Reasoning–answer mismatch</w:t>
            </w:r>
          </w:p>
        </w:tc>
        <w:tc>
          <w:tcPr>
            <w:tcW w:w="2952" w:type="dxa"/>
            <w:tcMar>
              <w:top w:w="65" w:type="dxa"/>
              <w:left w:w="70" w:type="dxa"/>
              <w:bottom w:w="65" w:type="dxa"/>
              <w:right w:w="70" w:type="dxa"/>
              <w:start w:w="68" w:type="dxa"/>
              <w:end w:w="68" w:type="dxa"/>
            </w:tcMar>
            <w:vAlign w:val="center"/>
          </w:tcPr>
          <w:p w14:paraId="7D47F9CB">
            <w:pPr>
              <w:spacing w:after="0" w:line="240" w:lineRule="auto" w:before="0"/>
            </w:pPr>
            <w:r>
              <w:rPr>
                <w:rFonts w:ascii="Times New Roman" w:hAnsi="Times New Roman" w:eastAsia="Times New Roman" w:cs="Times New Roman"/>
                <w:b w:val="0"/>
                <w:sz w:val="15"/>
              </w:rPr>
              <w:t>Inferential support between stated premises/reasoning and conclusion.</w:t>
            </w:r>
          </w:p>
        </w:tc>
        <w:tc>
          <w:tcPr>
            <w:tcW w:w="3816" w:type="dxa"/>
            <w:tcMar>
              <w:top w:w="65" w:type="dxa"/>
              <w:left w:w="70" w:type="dxa"/>
              <w:bottom w:w="65" w:type="dxa"/>
              <w:right w:w="70" w:type="dxa"/>
              <w:start w:w="68" w:type="dxa"/>
              <w:end w:w="68" w:type="dxa"/>
            </w:tcMar>
            <w:vAlign w:val="center"/>
          </w:tcPr>
          <w:p w14:paraId="65C11B27">
            <w:pPr>
              <w:spacing w:after="0" w:line="240" w:lineRule="auto" w:before="0"/>
            </w:pPr>
            <w:r>
              <w:rPr>
                <w:rFonts w:ascii="Times New Roman" w:hAnsi="Times New Roman" w:eastAsia="Times New Roman" w:cs="Times New Roman"/>
                <w:b w:val="0"/>
                <w:sz w:val="15"/>
              </w:rPr>
              <w:t>The stated reasoning supports one answer but the output concludes another.</w:t>
            </w:r>
          </w:p>
        </w:tc>
        <w:tc>
          <w:tcPr>
            <w:tcW w:w="3096" w:type="dxa"/>
            <w:tcMar>
              <w:top w:w="65" w:type="dxa"/>
              <w:left w:w="70" w:type="dxa"/>
              <w:bottom w:w="65" w:type="dxa"/>
              <w:right w:w="70" w:type="dxa"/>
              <w:start w:w="68" w:type="dxa"/>
              <w:end w:w="68" w:type="dxa"/>
            </w:tcMar>
            <w:vAlign w:val="center"/>
          </w:tcPr>
          <w:p w14:paraId="0486978D">
            <w:pPr>
              <w:spacing w:after="0" w:line="240" w:lineRule="auto" w:before="0"/>
            </w:pPr>
            <w:r>
              <w:rPr>
                <w:rFonts w:ascii="Times New Roman" w:hAnsi="Times New Roman" w:eastAsia="Times New Roman" w:cs="Times New Roman"/>
                <w:b w:val="0"/>
                <w:sz w:val="15"/>
              </w:rPr>
              <w:t>SCF-02 for causal-chain failure; OVR-01 for contradiction without an argument/conclusion relation. May be semantic_only or overlap.</w:t>
            </w:r>
          </w:p>
        </w:tc>
      </w:tr>
      <w:tr w14:paraId="1133C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792" w:type="dxa"/>
            <w:tcMar>
              <w:top w:w="65" w:type="dxa"/>
              <w:left w:w="70" w:type="dxa"/>
              <w:bottom w:w="65" w:type="dxa"/>
              <w:right w:w="70" w:type="dxa"/>
              <w:start w:w="68" w:type="dxa"/>
              <w:end w:w="68" w:type="dxa"/>
            </w:tcMar>
            <w:vAlign w:val="center"/>
          </w:tcPr>
          <w:p w14:paraId="6F156450">
            <w:pPr>
              <w:spacing w:after="0" w:line="240" w:lineRule="auto" w:before="0"/>
            </w:pPr>
            <w:r>
              <w:rPr>
                <w:rFonts w:ascii="Times New Roman" w:hAnsi="Times New Roman" w:eastAsia="Times New Roman" w:cs="Times New Roman"/>
                <w:b w:val="0"/>
                <w:sz w:val="15"/>
              </w:rPr>
              <w:t>OVR-06</w:t>
            </w:r>
          </w:p>
        </w:tc>
        <w:tc>
          <w:tcPr>
            <w:tcW w:w="1944" w:type="dxa"/>
            <w:tcMar>
              <w:top w:w="65" w:type="dxa"/>
              <w:left w:w="70" w:type="dxa"/>
              <w:bottom w:w="65" w:type="dxa"/>
              <w:right w:w="70" w:type="dxa"/>
              <w:start w:w="68" w:type="dxa"/>
              <w:end w:w="68" w:type="dxa"/>
            </w:tcMar>
            <w:vAlign w:val="center"/>
          </w:tcPr>
          <w:p w14:paraId="4A0611E5">
            <w:pPr>
              <w:spacing w:after="0" w:line="240" w:lineRule="auto" w:before="0"/>
            </w:pPr>
            <w:r>
              <w:rPr>
                <w:rFonts w:ascii="Times New Roman" w:hAnsi="Times New Roman" w:eastAsia="Times New Roman" w:cs="Times New Roman"/>
                <w:b w:val="0"/>
                <w:sz w:val="15"/>
              </w:rPr>
              <w:t>Mixed-context synthesis failure</w:t>
            </w:r>
          </w:p>
        </w:tc>
        <w:tc>
          <w:tcPr>
            <w:tcW w:w="2952" w:type="dxa"/>
            <w:tcMar>
              <w:top w:w="65" w:type="dxa"/>
              <w:left w:w="70" w:type="dxa"/>
              <w:bottom w:w="65" w:type="dxa"/>
              <w:right w:w="70" w:type="dxa"/>
              <w:start w:w="68" w:type="dxa"/>
              <w:end w:w="68" w:type="dxa"/>
            </w:tcMar>
            <w:vAlign w:val="center"/>
          </w:tcPr>
          <w:p w14:paraId="1A67823C">
            <w:pPr>
              <w:spacing w:after="0" w:line="240" w:lineRule="auto" w:before="0"/>
            </w:pPr>
            <w:r>
              <w:rPr>
                <w:rFonts w:ascii="Times New Roman" w:hAnsi="Times New Roman" w:eastAsia="Times New Roman" w:cs="Times New Roman"/>
                <w:b w:val="0"/>
                <w:sz w:val="15"/>
              </w:rPr>
              <w:t>Separation of distinct source, scenario, or entity contexts.</w:t>
            </w:r>
          </w:p>
        </w:tc>
        <w:tc>
          <w:tcPr>
            <w:tcW w:w="3816" w:type="dxa"/>
            <w:tcMar>
              <w:top w:w="65" w:type="dxa"/>
              <w:left w:w="70" w:type="dxa"/>
              <w:bottom w:w="65" w:type="dxa"/>
              <w:right w:w="70" w:type="dxa"/>
              <w:start w:w="68" w:type="dxa"/>
              <w:end w:w="68" w:type="dxa"/>
            </w:tcMar>
            <w:vAlign w:val="center"/>
          </w:tcPr>
          <w:p w14:paraId="49F3E67F">
            <w:pPr>
              <w:spacing w:after="0" w:line="240" w:lineRule="auto" w:before="0"/>
            </w:pPr>
            <w:r>
              <w:rPr>
                <w:rFonts w:ascii="Times New Roman" w:hAnsi="Times New Roman" w:eastAsia="Times New Roman" w:cs="Times New Roman"/>
                <w:b w:val="0"/>
                <w:sz w:val="15"/>
              </w:rPr>
              <w:t>The output merges information that belongs to different contexts into one false synthesis.</w:t>
            </w:r>
          </w:p>
        </w:tc>
        <w:tc>
          <w:tcPr>
            <w:tcW w:w="3096" w:type="dxa"/>
            <w:tcMar>
              <w:top w:w="65" w:type="dxa"/>
              <w:left w:w="70" w:type="dxa"/>
              <w:bottom w:w="65" w:type="dxa"/>
              <w:right w:w="70" w:type="dxa"/>
              <w:start w:w="68" w:type="dxa"/>
              <w:end w:w="68" w:type="dxa"/>
            </w:tcMar>
            <w:vAlign w:val="center"/>
          </w:tcPr>
          <w:p w14:paraId="543A91E3">
            <w:pPr>
              <w:spacing w:after="0" w:line="240" w:lineRule="auto" w:before="0"/>
            </w:pPr>
            <w:r>
              <w:rPr>
                <w:rFonts w:ascii="Times New Roman" w:hAnsi="Times New Roman" w:eastAsia="Times New Roman" w:cs="Times New Roman"/>
                <w:b w:val="0"/>
                <w:sz w:val="15"/>
              </w:rPr>
              <w:t>SCF-05 if no distinct source/context boundary is violated.</w:t>
            </w:r>
          </w:p>
        </w:tc>
      </w:tr>
      <w:tr w14:paraId="0BF4A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792" w:type="dxa"/>
            <w:tcMar>
              <w:top w:w="65" w:type="dxa"/>
              <w:left w:w="70" w:type="dxa"/>
              <w:bottom w:w="65" w:type="dxa"/>
              <w:right w:w="70" w:type="dxa"/>
              <w:start w:w="68" w:type="dxa"/>
              <w:end w:w="68" w:type="dxa"/>
            </w:tcMar>
            <w:vAlign w:val="center"/>
          </w:tcPr>
          <w:p w14:paraId="573FECA1">
            <w:pPr>
              <w:spacing w:after="0" w:line="240" w:lineRule="auto" w:before="0"/>
            </w:pPr>
            <w:r>
              <w:rPr>
                <w:rFonts w:ascii="Times New Roman" w:hAnsi="Times New Roman" w:eastAsia="Times New Roman" w:cs="Times New Roman"/>
                <w:b w:val="0"/>
                <w:sz w:val="15"/>
              </w:rPr>
              <w:t>HREF</w:t>
            </w:r>
          </w:p>
        </w:tc>
        <w:tc>
          <w:tcPr>
            <w:tcW w:w="1944" w:type="dxa"/>
            <w:tcMar>
              <w:top w:w="65" w:type="dxa"/>
              <w:left w:w="70" w:type="dxa"/>
              <w:bottom w:w="65" w:type="dxa"/>
              <w:right w:w="70" w:type="dxa"/>
              <w:start w:w="68" w:type="dxa"/>
              <w:end w:w="68" w:type="dxa"/>
            </w:tcMar>
            <w:vAlign w:val="center"/>
          </w:tcPr>
          <w:p w14:paraId="30D9F7D1">
            <w:pPr>
              <w:spacing w:after="0" w:line="240" w:lineRule="auto" w:before="0"/>
            </w:pPr>
            <w:r>
              <w:rPr>
                <w:rFonts w:ascii="Times New Roman" w:hAnsi="Times New Roman" w:eastAsia="Times New Roman" w:cs="Times New Roman"/>
                <w:b w:val="0"/>
                <w:sz w:val="15"/>
              </w:rPr>
              <w:t>Hallucination-reference category</w:t>
            </w:r>
          </w:p>
        </w:tc>
        <w:tc>
          <w:tcPr>
            <w:tcW w:w="2952" w:type="dxa"/>
            <w:tcMar>
              <w:top w:w="65" w:type="dxa"/>
              <w:left w:w="70" w:type="dxa"/>
              <w:bottom w:w="65" w:type="dxa"/>
              <w:right w:w="70" w:type="dxa"/>
              <w:start w:w="68" w:type="dxa"/>
              <w:end w:w="68" w:type="dxa"/>
            </w:tcMar>
            <w:vAlign w:val="center"/>
          </w:tcPr>
          <w:p w14:paraId="10D1E07F">
            <w:pPr>
              <w:spacing w:after="0" w:line="240" w:lineRule="auto" w:before="0"/>
            </w:pPr>
            <w:r>
              <w:rPr>
                <w:rFonts w:ascii="Times New Roman" w:hAnsi="Times New Roman" w:eastAsia="Times New Roman" w:cs="Times New Roman"/>
                <w:b w:val="0"/>
                <w:sz w:val="15"/>
              </w:rPr>
              <w:t>Support relation to an authorised visible anchor.</w:t>
            </w:r>
          </w:p>
        </w:tc>
        <w:tc>
          <w:tcPr>
            <w:tcW w:w="3816" w:type="dxa"/>
            <w:tcMar>
              <w:top w:w="65" w:type="dxa"/>
              <w:left w:w="70" w:type="dxa"/>
              <w:bottom w:w="65" w:type="dxa"/>
              <w:right w:w="70" w:type="dxa"/>
              <w:start w:w="68" w:type="dxa"/>
              <w:end w:w="68" w:type="dxa"/>
            </w:tcMar>
            <w:vAlign w:val="center"/>
          </w:tcPr>
          <w:p>
            <w:r>
              <w:t>A claim is presented as supported/factual despite absent visible support under the locked HREF guidance and no predominant semantic mechanism; source silence, contradiction, and externally false content are not interchangeable.</w:t>
            </w:r>
          </w:p>
        </w:tc>
        <w:tc>
          <w:tcPr>
            <w:tcW w:w="3096" w:type="dxa"/>
            <w:tcMar>
              <w:top w:w="65" w:type="dxa"/>
              <w:left w:w="70" w:type="dxa"/>
              <w:bottom w:w="65" w:type="dxa"/>
              <w:right w:w="70" w:type="dxa"/>
              <w:start w:w="68" w:type="dxa"/>
              <w:end w:w="68" w:type="dxa"/>
            </w:tcMar>
            <w:vAlign w:val="center"/>
          </w:tcPr>
          <w:p w14:paraId="16FCF094">
            <w:pPr>
              <w:spacing w:after="0" w:line="240" w:lineRule="auto" w:before="0"/>
            </w:pPr>
            <w:r>
              <w:rPr>
                <w:rFonts w:ascii="Times New Roman" w:hAnsi="Times New Roman" w:eastAsia="Times New Roman" w:cs="Times New Roman"/>
                <w:b w:val="0"/>
                <w:sz w:val="15"/>
              </w:rPr>
              <w:t>Use as secondary in overlap cases; unavailable evidence alone is not sufficient.</w:t>
            </w:r>
          </w:p>
        </w:tc>
      </w:tr>
      <w:tr w14:paraId="38F38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792" w:type="dxa"/>
            <w:tcMar>
              <w:top w:w="65" w:type="dxa"/>
              <w:left w:w="70" w:type="dxa"/>
              <w:bottom w:w="65" w:type="dxa"/>
              <w:right w:w="70" w:type="dxa"/>
              <w:start w:w="68" w:type="dxa"/>
              <w:end w:w="68" w:type="dxa"/>
            </w:tcMar>
            <w:vAlign w:val="center"/>
          </w:tcPr>
          <w:p w14:paraId="2AFD3FC1">
            <w:pPr>
              <w:spacing w:after="0" w:line="240" w:lineRule="auto" w:before="0"/>
            </w:pPr>
            <w:r>
              <w:rPr>
                <w:rFonts w:ascii="Times New Roman" w:hAnsi="Times New Roman" w:eastAsia="Times New Roman" w:cs="Times New Roman"/>
                <w:b w:val="0"/>
                <w:sz w:val="15"/>
              </w:rPr>
              <w:t>NONE</w:t>
            </w:r>
          </w:p>
        </w:tc>
        <w:tc>
          <w:tcPr>
            <w:tcW w:w="1944" w:type="dxa"/>
            <w:tcMar>
              <w:top w:w="65" w:type="dxa"/>
              <w:left w:w="70" w:type="dxa"/>
              <w:bottom w:w="65" w:type="dxa"/>
              <w:right w:w="70" w:type="dxa"/>
              <w:start w:w="68" w:type="dxa"/>
              <w:end w:w="68" w:type="dxa"/>
            </w:tcMar>
            <w:vAlign w:val="center"/>
          </w:tcPr>
          <w:p w14:paraId="659D488B">
            <w:pPr>
              <w:spacing w:after="0" w:line="240" w:lineRule="auto" w:before="0"/>
            </w:pPr>
            <w:r>
              <w:rPr>
                <w:rFonts w:ascii="Times New Roman" w:hAnsi="Times New Roman" w:eastAsia="Times New Roman" w:cs="Times New Roman"/>
                <w:b w:val="0"/>
                <w:sz w:val="15"/>
              </w:rPr>
              <w:t>No identifiable failure</w:t>
            </w:r>
          </w:p>
        </w:tc>
        <w:tc>
          <w:tcPr>
            <w:tcW w:w="2952" w:type="dxa"/>
            <w:tcMar>
              <w:top w:w="65" w:type="dxa"/>
              <w:left w:w="70" w:type="dxa"/>
              <w:bottom w:w="65" w:type="dxa"/>
              <w:right w:w="70" w:type="dxa"/>
              <w:start w:w="68" w:type="dxa"/>
              <w:end w:w="68" w:type="dxa"/>
            </w:tcMar>
            <w:vAlign w:val="center"/>
          </w:tcPr>
          <w:p w14:paraId="7AA9FAC0">
            <w:pPr>
              <w:spacing w:after="0" w:line="240" w:lineRule="auto" w:before="0"/>
            </w:pPr>
            <w:r>
              <w:rPr>
                <w:rFonts w:ascii="Times New Roman" w:hAnsi="Times New Roman" w:eastAsia="Times New Roman" w:cs="Times New Roman"/>
                <w:b w:val="0"/>
                <w:sz w:val="15"/>
              </w:rPr>
              <w:t>All relevant relations.</w:t>
            </w:r>
          </w:p>
        </w:tc>
        <w:tc>
          <w:tcPr>
            <w:tcW w:w="3816" w:type="dxa"/>
            <w:tcMar>
              <w:top w:w="65" w:type="dxa"/>
              <w:left w:w="70" w:type="dxa"/>
              <w:bottom w:w="65" w:type="dxa"/>
              <w:right w:w="70" w:type="dxa"/>
              <w:start w:w="68" w:type="dxa"/>
              <w:end w:w="68" w:type="dxa"/>
            </w:tcMar>
            <w:vAlign w:val="center"/>
          </w:tcPr>
          <w:p w14:paraId="296108EE">
            <w:pPr>
              <w:spacing w:after="0" w:line="240" w:lineRule="auto" w:before="0"/>
            </w:pPr>
            <w:r>
              <w:rPr>
                <w:rFonts w:ascii="Times New Roman" w:hAnsi="Times New Roman" w:eastAsia="Times New Roman" w:cs="Times New Roman"/>
                <w:b w:val="0"/>
                <w:sz w:val="15"/>
              </w:rPr>
              <w:t>No evidence-based meaning-level or hallucination-reference failure is identifiable.</w:t>
            </w:r>
          </w:p>
        </w:tc>
        <w:tc>
          <w:tcPr>
            <w:tcW w:w="3096" w:type="dxa"/>
            <w:tcMar>
              <w:top w:w="65" w:type="dxa"/>
              <w:left w:w="70" w:type="dxa"/>
              <w:bottom w:w="65" w:type="dxa"/>
              <w:right w:w="70" w:type="dxa"/>
              <w:start w:w="68" w:type="dxa"/>
              <w:end w:w="68" w:type="dxa"/>
            </w:tcMar>
            <w:vAlign w:val="center"/>
          </w:tcPr>
          <w:p w14:paraId="61DB0A7A">
            <w:pPr>
              <w:spacing w:after="0" w:line="240" w:lineRule="auto" w:before="0"/>
            </w:pPr>
            <w:r>
              <w:rPr>
                <w:rFonts w:ascii="Times New Roman" w:hAnsi="Times New Roman" w:eastAsia="Times New Roman" w:cs="Times New Roman"/>
                <w:b w:val="0"/>
                <w:sz w:val="15"/>
              </w:rPr>
              <w:t>Stylistic weakness, brevity, or repetition alone is insufficient unless a coded relation is affected.</w:t>
            </w:r>
          </w:p>
        </w:tc>
      </w:tr>
    </w:tbl>
    <w:p>
      <w:pPr>
        <w:spacing w:before="100" w:after="60"/>
      </w:pPr>
      <w:r>
        <w:t>Table S5. Construct-to-theory traceability for the operational primary labels.</w:t>
      </w:r>
    </w:p>
    <w:tbl>
      <w:tblPr>
        <w:tblStyle w:val="35"/>
        <w:tblW w:type="auto" w:w="0"/>
        <w:jc w:val="center"/>
        <w:tblLayout w:type="autofit"/>
        <w:tblLook w:firstColumn="1" w:firstRow="1" w:lastColumn="0" w:lastRow="0" w:noHBand="0" w:noVBand="1" w:val="04A0"/>
        <w:tblBorders>
          <w:top w:val="single" w:sz="4" w:color="C7D4E2"/>
          <w:bottom w:val="single" w:sz="4" w:color="C7D4E2"/>
          <w:left w:val="single" w:sz="4" w:color="C7D4E2"/>
          <w:right w:val="single" w:sz="4" w:color="C7D4E2"/>
          <w:insideH w:val="single" w:sz="4" w:color="C7D4E2"/>
          <w:insideV w:val="single" w:sz="3" w:color="C7D4E2"/>
        </w:tblBorders>
      </w:tblPr>
      <w:tblGrid>
        <w:gridCol w:w="2458"/>
        <w:gridCol w:w="2458"/>
        <w:gridCol w:w="2458"/>
        <w:gridCol w:w="2458"/>
      </w:tblGrid>
      <w:tr>
        <w:trPr>
          <w:cantSplit/>
          <w:tblHeader w:val="true"/>
          <w:tblHeader w:val="true"/>
        </w:trPr>
        <w:tc>
          <w:tcPr>
            <w:tcW w:type="dxa" w:w="1656"/>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6"/>
              </w:rPr>
              <w:t>Code / family</w:t>
            </w:r>
          </w:p>
        </w:tc>
        <w:tc>
          <w:tcPr>
            <w:tcW w:type="dxa" w:w="2232"/>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6"/>
              </w:rPr>
              <w:t>Linguistic object</w:t>
            </w:r>
          </w:p>
        </w:tc>
        <w:tc>
          <w:tcPr>
            <w:tcW w:type="dxa" w:w="4248"/>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6"/>
              </w:rPr>
              <w:t>Closest theoretical lineage / precedent used in this paper</w:t>
            </w:r>
          </w:p>
        </w:tc>
        <w:tc>
          <w:tcPr>
            <w:tcW w:type="dxa" w:w="2232"/>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6"/>
              </w:rPr>
              <w:t>Interpretive status</w:t>
            </w:r>
          </w:p>
        </w:tc>
      </w:tr>
      <w:tr>
        <w:trPr>
          <w:cantSplit/>
        </w:trPr>
        <w:tc>
          <w:tcPr>
            <w:tcW w:type="dxa" w:w="1656"/>
            <w:vAlign w:val="center"/>
            <w:tcMar>
              <w:top w:w="65" w:type="dxa"/>
              <w:start w:w="68" w:type="dxa"/>
              <w:bottom w:w="65" w:type="dxa"/>
              <w:end w:w="68" w:type="dxa"/>
            </w:tcMar>
          </w:tcPr>
          <w:p>
            <w:pPr>
              <w:spacing w:after="0" w:before="0"/>
            </w:pPr>
            <w:r>
              <w:rPr>
                <w:rFonts w:ascii="Times New Roman" w:hAnsi="Times New Roman"/>
                <w:sz w:val="16"/>
              </w:rPr>
              <w:t>SCF-01 / Core SCF</w:t>
            </w:r>
          </w:p>
        </w:tc>
        <w:tc>
          <w:tcPr>
            <w:tcW w:type="dxa" w:w="2232"/>
            <w:vAlign w:val="center"/>
            <w:tcMar>
              <w:top w:w="65" w:type="dxa"/>
              <w:start w:w="68" w:type="dxa"/>
              <w:bottom w:w="65" w:type="dxa"/>
              <w:end w:w="68" w:type="dxa"/>
            </w:tcMar>
          </w:tcPr>
          <w:p>
            <w:pPr>
              <w:spacing w:after="0" w:before="0"/>
            </w:pPr>
            <w:r>
              <w:rPr>
                <w:rFonts w:ascii="Times New Roman" w:hAnsi="Times New Roman"/>
                <w:sz w:val="16"/>
              </w:rPr>
              <w:t>Topic / QUD trajectory</w:t>
            </w:r>
          </w:p>
        </w:tc>
        <w:tc>
          <w:tcPr>
            <w:tcW w:type="dxa" w:w="4248"/>
            <w:vAlign w:val="center"/>
            <w:tcMar>
              <w:top w:w="65" w:type="dxa"/>
              <w:start w:w="68" w:type="dxa"/>
              <w:bottom w:w="65" w:type="dxa"/>
              <w:end w:w="68" w:type="dxa"/>
            </w:tcMar>
          </w:tcPr>
          <w:p>
            <w:pPr>
              <w:spacing w:after="0" w:before="0"/>
            </w:pPr>
            <w:r>
              <w:rPr>
                <w:rFonts w:ascii="Times New Roman" w:hAnsi="Times New Roman"/>
                <w:sz w:val="16"/>
              </w:rPr>
              <w:t>Information structure/QUD and pragmatic relevance (Grice, 1975; Roberts, 2012)</w:t>
            </w:r>
          </w:p>
        </w:tc>
        <w:tc>
          <w:tcPr>
            <w:tcW w:type="dxa" w:w="2232"/>
            <w:vAlign w:val="center"/>
            <w:tcMar>
              <w:top w:w="65" w:type="dxa"/>
              <w:start w:w="68" w:type="dxa"/>
              <w:bottom w:w="65" w:type="dxa"/>
              <w:end w:w="68" w:type="dxa"/>
            </w:tcMar>
          </w:tcPr>
          <w:p>
            <w:pPr>
              <w:spacing w:after="0" w:before="0"/>
            </w:pPr>
            <w:r>
              <w:rPr>
                <w:rFonts w:ascii="Times New Roman" w:hAnsi="Times New Roman"/>
                <w:sz w:val="16"/>
              </w:rPr>
              <w:t>Operational discourse/pragmatic continuity</w:t>
            </w:r>
          </w:p>
        </w:tc>
      </w:tr>
      <w:tr>
        <w:trPr>
          <w:cantSplit/>
        </w:trPr>
        <w:tc>
          <w:tcPr>
            <w:tcW w:type="dxa" w:w="1656"/>
            <w:vAlign w:val="center"/>
            <w:tcMar>
              <w:top w:w="65" w:type="dxa"/>
              <w:start w:w="68" w:type="dxa"/>
              <w:bottom w:w="65" w:type="dxa"/>
              <w:end w:w="68" w:type="dxa"/>
            </w:tcMar>
          </w:tcPr>
          <w:p>
            <w:pPr>
              <w:spacing w:after="0" w:before="0"/>
            </w:pPr>
            <w:r>
              <w:rPr>
                <w:rFonts w:ascii="Times New Roman" w:hAnsi="Times New Roman"/>
                <w:sz w:val="16"/>
              </w:rPr>
              <w:t>SCF-02 / Core SCF</w:t>
            </w:r>
          </w:p>
        </w:tc>
        <w:tc>
          <w:tcPr>
            <w:tcW w:type="dxa" w:w="2232"/>
            <w:vAlign w:val="center"/>
            <w:tcMar>
              <w:top w:w="65" w:type="dxa"/>
              <w:start w:w="68" w:type="dxa"/>
              <w:bottom w:w="65" w:type="dxa"/>
              <w:end w:w="68" w:type="dxa"/>
            </w:tcMar>
          </w:tcPr>
          <w:p>
            <w:pPr>
              <w:spacing w:after="0" w:before="0"/>
            </w:pPr>
            <w:r>
              <w:rPr>
                <w:rFonts w:ascii="Times New Roman" w:hAnsi="Times New Roman"/>
                <w:sz w:val="16"/>
              </w:rPr>
              <w:t>Causal / explanatory relation</w:t>
            </w:r>
          </w:p>
        </w:tc>
        <w:tc>
          <w:tcPr>
            <w:tcW w:type="dxa" w:w="4248"/>
            <w:vAlign w:val="center"/>
            <w:tcMar>
              <w:top w:w="65" w:type="dxa"/>
              <w:start w:w="68" w:type="dxa"/>
              <w:bottom w:w="65" w:type="dxa"/>
              <w:end w:w="68" w:type="dxa"/>
            </w:tcMar>
          </w:tcPr>
          <w:p>
            <w:pPr>
              <w:spacing w:after="0" w:before="0"/>
            </w:pPr>
            <w:r>
              <w:rPr>
                <w:rFonts w:ascii="Times New Roman" w:hAnsi="Times New Roman"/>
                <w:sz w:val="16"/>
              </w:rPr>
              <w:t>Discourse-coherence relations and explanatory linkage (Asher &amp; Lascarides, 2003; Kehler, 2002)</w:t>
            </w:r>
          </w:p>
        </w:tc>
        <w:tc>
          <w:tcPr>
            <w:tcW w:type="dxa" w:w="2232"/>
            <w:vAlign w:val="center"/>
            <w:tcMar>
              <w:top w:w="65" w:type="dxa"/>
              <w:start w:w="68" w:type="dxa"/>
              <w:bottom w:w="65" w:type="dxa"/>
              <w:end w:w="68" w:type="dxa"/>
            </w:tcMar>
          </w:tcPr>
          <w:p>
            <w:pPr>
              <w:spacing w:after="0" w:before="0"/>
            </w:pPr>
            <w:r>
              <w:rPr>
                <w:rFonts w:ascii="Times New Roman" w:hAnsi="Times New Roman"/>
                <w:sz w:val="16"/>
              </w:rPr>
              <w:t>Operational causal continuity</w:t>
            </w:r>
          </w:p>
        </w:tc>
      </w:tr>
      <w:tr>
        <w:trPr>
          <w:cantSplit/>
        </w:trPr>
        <w:tc>
          <w:tcPr>
            <w:tcW w:type="dxa" w:w="1656"/>
            <w:vAlign w:val="center"/>
            <w:tcMar>
              <w:top w:w="65" w:type="dxa"/>
              <w:start w:w="68" w:type="dxa"/>
              <w:bottom w:w="65" w:type="dxa"/>
              <w:end w:w="68" w:type="dxa"/>
            </w:tcMar>
          </w:tcPr>
          <w:p>
            <w:pPr>
              <w:spacing w:after="0" w:before="0"/>
            </w:pPr>
            <w:r>
              <w:rPr>
                <w:rFonts w:ascii="Times New Roman" w:hAnsi="Times New Roman"/>
                <w:sz w:val="16"/>
              </w:rPr>
              <w:t>SCF-03 / Core SCF</w:t>
            </w:r>
          </w:p>
        </w:tc>
        <w:tc>
          <w:tcPr>
            <w:tcW w:type="dxa" w:w="2232"/>
            <w:vAlign w:val="center"/>
            <w:tcMar>
              <w:top w:w="65" w:type="dxa"/>
              <w:start w:w="68" w:type="dxa"/>
              <w:bottom w:w="65" w:type="dxa"/>
              <w:end w:w="68" w:type="dxa"/>
            </w:tcMar>
          </w:tcPr>
          <w:p>
            <w:pPr>
              <w:spacing w:after="0" w:before="0"/>
            </w:pPr>
            <w:r>
              <w:rPr>
                <w:rFonts w:ascii="Times New Roman" w:hAnsi="Times New Roman"/>
                <w:sz w:val="16"/>
              </w:rPr>
              <w:t>Requested communicative operation / task goal</w:t>
            </w:r>
          </w:p>
        </w:tc>
        <w:tc>
          <w:tcPr>
            <w:tcW w:type="dxa" w:w="4248"/>
            <w:vAlign w:val="center"/>
            <w:tcMar>
              <w:top w:w="65" w:type="dxa"/>
              <w:start w:w="68" w:type="dxa"/>
              <w:bottom w:w="65" w:type="dxa"/>
              <w:end w:w="68" w:type="dxa"/>
            </w:tcMar>
          </w:tcPr>
          <w:p>
            <w:pPr>
              <w:spacing w:after="0" w:before="0"/>
            </w:pPr>
            <w:r>
              <w:rPr>
                <w:rFonts w:ascii="Times New Roman" w:hAnsi="Times New Roman"/>
                <w:sz w:val="16"/>
              </w:rPr>
              <w:t>Pragmatic relevance and QUD/task alignment (Grice, 1975; Roberts, 2012)</w:t>
            </w:r>
          </w:p>
        </w:tc>
        <w:tc>
          <w:tcPr>
            <w:tcW w:type="dxa" w:w="2232"/>
            <w:vAlign w:val="center"/>
            <w:tcMar>
              <w:top w:w="65" w:type="dxa"/>
              <w:start w:w="68" w:type="dxa"/>
              <w:bottom w:w="65" w:type="dxa"/>
              <w:end w:w="68" w:type="dxa"/>
            </w:tcMar>
          </w:tcPr>
          <w:p>
            <w:pPr>
              <w:spacing w:after="0" w:before="0"/>
            </w:pPr>
            <w:r>
              <w:rPr>
                <w:rFonts w:ascii="Times New Roman" w:hAnsi="Times New Roman"/>
                <w:sz w:val="16"/>
              </w:rPr>
              <w:t>Task-relative pragmatic alignment; broader than narrow discourse coherence</w:t>
            </w:r>
          </w:p>
        </w:tc>
      </w:tr>
      <w:tr>
        <w:trPr>
          <w:cantSplit/>
        </w:trPr>
        <w:tc>
          <w:tcPr>
            <w:tcW w:type="dxa" w:w="1656"/>
            <w:vAlign w:val="center"/>
            <w:tcMar>
              <w:top w:w="65" w:type="dxa"/>
              <w:start w:w="68" w:type="dxa"/>
              <w:bottom w:w="65" w:type="dxa"/>
              <w:end w:w="68" w:type="dxa"/>
            </w:tcMar>
          </w:tcPr>
          <w:p>
            <w:pPr>
              <w:spacing w:after="0" w:before="0"/>
            </w:pPr>
            <w:r>
              <w:rPr>
                <w:rFonts w:ascii="Times New Roman" w:hAnsi="Times New Roman"/>
                <w:sz w:val="16"/>
              </w:rPr>
              <w:t>SCF-04 / Core SCF</w:t>
            </w:r>
          </w:p>
        </w:tc>
        <w:tc>
          <w:tcPr>
            <w:tcW w:type="dxa" w:w="2232"/>
            <w:vAlign w:val="center"/>
            <w:tcMar>
              <w:top w:w="65" w:type="dxa"/>
              <w:start w:w="68" w:type="dxa"/>
              <w:bottom w:w="65" w:type="dxa"/>
              <w:end w:w="68" w:type="dxa"/>
            </w:tcMar>
          </w:tcPr>
          <w:p>
            <w:pPr>
              <w:spacing w:after="0" w:before="0"/>
            </w:pPr>
            <w:r>
              <w:rPr>
                <w:rFonts w:ascii="Times New Roman" w:hAnsi="Times New Roman"/>
                <w:sz w:val="16"/>
              </w:rPr>
              <w:t>Rhetorical organisation / discourse progression</w:t>
            </w:r>
          </w:p>
        </w:tc>
        <w:tc>
          <w:tcPr>
            <w:tcW w:type="dxa" w:w="4248"/>
            <w:vAlign w:val="center"/>
            <w:tcMar>
              <w:top w:w="65" w:type="dxa"/>
              <w:start w:w="68" w:type="dxa"/>
              <w:bottom w:w="65" w:type="dxa"/>
              <w:end w:w="68" w:type="dxa"/>
            </w:tcMar>
          </w:tcPr>
          <w:p>
            <w:pPr>
              <w:spacing w:after="0" w:before="0"/>
            </w:pPr>
            <w:r>
              <w:rPr>
                <w:rFonts w:ascii="Times New Roman" w:hAnsi="Times New Roman"/>
                <w:sz w:val="16"/>
              </w:rPr>
              <w:t>Rhetorical and discourse-relational organisation (Asher &amp; Lascarides, 2003; Mann &amp; Thompson, 1988)</w:t>
            </w:r>
          </w:p>
        </w:tc>
        <w:tc>
          <w:tcPr>
            <w:tcW w:type="dxa" w:w="2232"/>
            <w:vAlign w:val="center"/>
            <w:tcMar>
              <w:top w:w="65" w:type="dxa"/>
              <w:start w:w="68" w:type="dxa"/>
              <w:bottom w:w="65" w:type="dxa"/>
              <w:end w:w="68" w:type="dxa"/>
            </w:tcMar>
          </w:tcPr>
          <w:p>
            <w:pPr>
              <w:spacing w:after="0" w:before="0"/>
            </w:pPr>
            <w:r>
              <w:rPr>
                <w:rFonts w:ascii="Times New Roman" w:hAnsi="Times New Roman"/>
                <w:sz w:val="16"/>
              </w:rPr>
              <w:t>Operational macro-discourse organisation</w:t>
            </w:r>
          </w:p>
        </w:tc>
      </w:tr>
      <w:tr>
        <w:trPr>
          <w:cantSplit/>
        </w:trPr>
        <w:tc>
          <w:tcPr>
            <w:tcW w:type="dxa" w:w="1656"/>
            <w:vAlign w:val="center"/>
            <w:tcMar>
              <w:top w:w="65" w:type="dxa"/>
              <w:start w:w="68" w:type="dxa"/>
              <w:bottom w:w="65" w:type="dxa"/>
              <w:end w:w="68" w:type="dxa"/>
            </w:tcMar>
          </w:tcPr>
          <w:p>
            <w:pPr>
              <w:spacing w:after="0" w:before="0"/>
            </w:pPr>
            <w:r>
              <w:rPr>
                <w:rFonts w:ascii="Times New Roman" w:hAnsi="Times New Roman"/>
                <w:sz w:val="16"/>
              </w:rPr>
              <w:t>SCF-05 / Core SCF</w:t>
            </w:r>
          </w:p>
        </w:tc>
        <w:tc>
          <w:tcPr>
            <w:tcW w:type="dxa" w:w="2232"/>
            <w:vAlign w:val="center"/>
            <w:tcMar>
              <w:top w:w="65" w:type="dxa"/>
              <w:start w:w="68" w:type="dxa"/>
              <w:bottom w:w="65" w:type="dxa"/>
              <w:end w:w="68" w:type="dxa"/>
            </w:tcMar>
          </w:tcPr>
          <w:p>
            <w:pPr>
              <w:spacing w:after="0" w:before="0"/>
            </w:pPr>
            <w:r>
              <w:rPr>
                <w:rFonts w:ascii="Times New Roman" w:hAnsi="Times New Roman"/>
                <w:sz w:val="16"/>
              </w:rPr>
              <w:t>Local-to-global integration</w:t>
            </w:r>
          </w:p>
        </w:tc>
        <w:tc>
          <w:tcPr>
            <w:tcW w:type="dxa" w:w="4248"/>
            <w:vAlign w:val="center"/>
            <w:tcMar>
              <w:top w:w="65" w:type="dxa"/>
              <w:start w:w="68" w:type="dxa"/>
              <w:bottom w:w="65" w:type="dxa"/>
              <w:end w:w="68" w:type="dxa"/>
            </w:tcMar>
          </w:tcPr>
          <w:p>
            <w:pPr>
              <w:spacing w:after="0" w:before="0"/>
            </w:pPr>
            <w:r>
              <w:rPr>
                <w:rFonts w:ascii="Times New Roman" w:hAnsi="Times New Roman"/>
                <w:sz w:val="16"/>
              </w:rPr>
              <w:t>Cohesion and entity-based coherence traditions (Barzilay &amp; Lapata, 2008; Halliday &amp; Hasan, 1976)</w:t>
            </w:r>
          </w:p>
        </w:tc>
        <w:tc>
          <w:tcPr>
            <w:tcW w:type="dxa" w:w="2232"/>
            <w:vAlign w:val="center"/>
            <w:tcMar>
              <w:top w:w="65" w:type="dxa"/>
              <w:start w:w="68" w:type="dxa"/>
              <w:bottom w:w="65" w:type="dxa"/>
              <w:end w:w="68" w:type="dxa"/>
            </w:tcMar>
          </w:tcPr>
          <w:p>
            <w:pPr>
              <w:spacing w:after="0" w:before="0"/>
            </w:pPr>
            <w:r>
              <w:rPr>
                <w:rFonts w:ascii="Times New Roman" w:hAnsi="Times New Roman"/>
                <w:sz w:val="16"/>
              </w:rPr>
              <w:t>Operational global integration</w:t>
            </w:r>
          </w:p>
        </w:tc>
      </w:tr>
      <w:tr>
        <w:trPr>
          <w:cantSplit/>
        </w:trPr>
        <w:tc>
          <w:tcPr>
            <w:tcW w:type="dxa" w:w="1656"/>
            <w:vAlign w:val="center"/>
            <w:tcMar>
              <w:top w:w="65" w:type="dxa"/>
              <w:start w:w="68" w:type="dxa"/>
              <w:bottom w:w="65" w:type="dxa"/>
              <w:end w:w="68" w:type="dxa"/>
            </w:tcMar>
          </w:tcPr>
          <w:p>
            <w:pPr>
              <w:spacing w:after="0" w:before="0"/>
            </w:pPr>
            <w:r>
              <w:rPr>
                <w:rFonts w:ascii="Times New Roman" w:hAnsi="Times New Roman"/>
                <w:sz w:val="16"/>
              </w:rPr>
              <w:t>SCF-06 / Core SCF</w:t>
            </w:r>
          </w:p>
        </w:tc>
        <w:tc>
          <w:tcPr>
            <w:tcW w:type="dxa" w:w="2232"/>
            <w:vAlign w:val="center"/>
            <w:tcMar>
              <w:top w:w="65" w:type="dxa"/>
              <w:start w:w="68" w:type="dxa"/>
              <w:bottom w:w="65" w:type="dxa"/>
              <w:end w:w="68" w:type="dxa"/>
            </w:tcMar>
          </w:tcPr>
          <w:p>
            <w:pPr>
              <w:spacing w:after="0" w:before="0"/>
            </w:pPr>
            <w:r>
              <w:rPr>
                <w:rFonts w:ascii="Times New Roman" w:hAnsi="Times New Roman"/>
                <w:sz w:val="16"/>
              </w:rPr>
              <w:t>Discourse reference / coreference</w:t>
            </w:r>
          </w:p>
        </w:tc>
        <w:tc>
          <w:tcPr>
            <w:tcW w:type="dxa" w:w="4248"/>
            <w:vAlign w:val="center"/>
            <w:tcMar>
              <w:top w:w="65" w:type="dxa"/>
              <w:start w:w="68" w:type="dxa"/>
              <w:bottom w:w="65" w:type="dxa"/>
              <w:end w:w="68" w:type="dxa"/>
            </w:tcMar>
          </w:tcPr>
          <w:p>
            <w:pPr>
              <w:spacing w:after="0" w:before="0"/>
            </w:pPr>
            <w:r>
              <w:rPr>
                <w:rFonts w:ascii="Times New Roman" w:hAnsi="Times New Roman"/>
                <w:sz w:val="16"/>
              </w:rPr>
              <w:t>Entity-based coherence and centering/reference continuity (Barzilay &amp; Lapata, 2008; Grosz et al., 1995)</w:t>
            </w:r>
          </w:p>
        </w:tc>
        <w:tc>
          <w:tcPr>
            <w:tcW w:type="dxa" w:w="2232"/>
            <w:vAlign w:val="center"/>
            <w:tcMar>
              <w:top w:w="65" w:type="dxa"/>
              <w:start w:w="68" w:type="dxa"/>
              <w:bottom w:w="65" w:type="dxa"/>
              <w:end w:w="68" w:type="dxa"/>
            </w:tcMar>
          </w:tcPr>
          <w:p>
            <w:pPr>
              <w:spacing w:after="0" w:before="0"/>
            </w:pPr>
            <w:r>
              <w:rPr>
                <w:rFonts w:ascii="Times New Roman" w:hAnsi="Times New Roman"/>
                <w:sz w:val="16"/>
              </w:rPr>
              <w:t>Reference continuity</w:t>
            </w:r>
          </w:p>
        </w:tc>
      </w:tr>
      <w:tr>
        <w:trPr>
          <w:cantSplit/>
        </w:trPr>
        <w:tc>
          <w:tcPr>
            <w:tcW w:type="dxa" w:w="1656"/>
            <w:vAlign w:val="center"/>
            <w:tcMar>
              <w:top w:w="65" w:type="dxa"/>
              <w:start w:w="68" w:type="dxa"/>
              <w:bottom w:w="65" w:type="dxa"/>
              <w:end w:w="68" w:type="dxa"/>
            </w:tcMar>
          </w:tcPr>
          <w:p>
            <w:pPr>
              <w:spacing w:after="0" w:before="0"/>
            </w:pPr>
            <w:r>
              <w:rPr>
                <w:rFonts w:ascii="Times New Roman" w:hAnsi="Times New Roman"/>
                <w:sz w:val="16"/>
              </w:rPr>
              <w:t>SCF-07 / Core SCF</w:t>
            </w:r>
          </w:p>
        </w:tc>
        <w:tc>
          <w:tcPr>
            <w:tcW w:type="dxa" w:w="2232"/>
            <w:vAlign w:val="center"/>
            <w:tcMar>
              <w:top w:w="65" w:type="dxa"/>
              <w:start w:w="68" w:type="dxa"/>
              <w:bottom w:w="65" w:type="dxa"/>
              <w:end w:w="68" w:type="dxa"/>
            </w:tcMar>
          </w:tcPr>
          <w:p>
            <w:pPr>
              <w:spacing w:after="0" w:before="0"/>
            </w:pPr>
            <w:r>
              <w:rPr>
                <w:rFonts w:ascii="Times New Roman" w:hAnsi="Times New Roman"/>
                <w:sz w:val="16"/>
              </w:rPr>
              <w:t>Term sense / conceptual criterion</w:t>
            </w:r>
          </w:p>
        </w:tc>
        <w:tc>
          <w:tcPr>
            <w:tcW w:type="dxa" w:w="4248"/>
            <w:vAlign w:val="center"/>
            <w:tcMar>
              <w:top w:w="65" w:type="dxa"/>
              <w:start w:w="68" w:type="dxa"/>
              <w:bottom w:w="65" w:type="dxa"/>
              <w:end w:w="68" w:type="dxa"/>
            </w:tcMar>
          </w:tcPr>
          <w:p>
            <w:pPr>
              <w:spacing w:after="0" w:before="0"/>
            </w:pPr>
            <w:r>
              <w:rPr>
                <w:rFonts w:ascii="Times New Roman" w:hAnsi="Times New Roman"/>
                <w:sz w:val="16"/>
              </w:rPr>
              <w:t>Broader semantic consistency/comprehension evaluation (Huidrom et al., 2025; Li et al., 2025)</w:t>
            </w:r>
          </w:p>
        </w:tc>
        <w:tc>
          <w:tcPr>
            <w:tcW w:type="dxa" w:w="2232"/>
            <w:vAlign w:val="center"/>
            <w:tcMar>
              <w:top w:w="65" w:type="dxa"/>
              <w:start w:w="68" w:type="dxa"/>
              <w:bottom w:w="65" w:type="dxa"/>
              <w:end w:w="68" w:type="dxa"/>
            </w:tcMar>
          </w:tcPr>
          <w:p>
            <w:pPr>
              <w:spacing w:after="0" w:before="0"/>
            </w:pPr>
            <w:r>
              <w:rPr>
                <w:rFonts w:ascii="Times New Roman" w:hAnsi="Times New Roman"/>
                <w:sz w:val="16"/>
              </w:rPr>
              <w:t>Operational lexical/concept stability</w:t>
            </w:r>
          </w:p>
        </w:tc>
      </w:tr>
      <w:tr>
        <w:trPr>
          <w:cantSplit/>
        </w:trPr>
        <w:tc>
          <w:tcPr>
            <w:tcW w:type="dxa" w:w="1656"/>
            <w:vAlign w:val="center"/>
            <w:tcMar>
              <w:top w:w="65" w:type="dxa"/>
              <w:start w:w="68" w:type="dxa"/>
              <w:bottom w:w="65" w:type="dxa"/>
              <w:end w:w="68" w:type="dxa"/>
            </w:tcMar>
          </w:tcPr>
          <w:p>
            <w:pPr>
              <w:spacing w:after="0" w:before="0"/>
            </w:pPr>
            <w:r>
              <w:rPr>
                <w:rFonts w:ascii="Times New Roman" w:hAnsi="Times New Roman"/>
                <w:sz w:val="16"/>
              </w:rPr>
              <w:t>OVR-01 / OVR</w:t>
            </w:r>
          </w:p>
        </w:tc>
        <w:tc>
          <w:tcPr>
            <w:tcW w:type="dxa" w:w="2232"/>
            <w:vAlign w:val="center"/>
            <w:tcMar>
              <w:top w:w="65" w:type="dxa"/>
              <w:start w:w="68" w:type="dxa"/>
              <w:bottom w:w="65" w:type="dxa"/>
              <w:end w:w="68" w:type="dxa"/>
            </w:tcMar>
          </w:tcPr>
          <w:p>
            <w:pPr>
              <w:spacing w:after="0" w:before="0"/>
            </w:pPr>
            <w:r>
              <w:rPr>
                <w:rFonts w:ascii="Times New Roman" w:hAnsi="Times New Roman"/>
                <w:sz w:val="16"/>
              </w:rPr>
              <w:t>Compatibility of explicit propositions</w:t>
            </w:r>
          </w:p>
        </w:tc>
        <w:tc>
          <w:tcPr>
            <w:tcW w:type="dxa" w:w="4248"/>
            <w:vAlign w:val="center"/>
            <w:tcMar>
              <w:top w:w="65" w:type="dxa"/>
              <w:start w:w="68" w:type="dxa"/>
              <w:bottom w:w="65" w:type="dxa"/>
              <w:end w:w="68" w:type="dxa"/>
            </w:tcMar>
          </w:tcPr>
          <w:p>
            <w:pPr>
              <w:spacing w:after="0" w:before="0"/>
            </w:pPr>
            <w:r>
              <w:rPr>
                <w:rFonts w:ascii="Times New Roman" w:hAnsi="Times New Roman"/>
                <w:sz w:val="16"/>
              </w:rPr>
              <w:t>Contradiction and factual/semantic consistency evaluation (Ji et al., 2023; Kryściński et al., 2020)</w:t>
            </w:r>
          </w:p>
        </w:tc>
        <w:tc>
          <w:tcPr>
            <w:tcW w:type="dxa" w:w="2232"/>
            <w:vAlign w:val="center"/>
            <w:tcMar>
              <w:top w:w="65" w:type="dxa"/>
              <w:start w:w="68" w:type="dxa"/>
              <w:bottom w:w="65" w:type="dxa"/>
              <w:end w:w="68" w:type="dxa"/>
            </w:tcMar>
          </w:tcPr>
          <w:p>
            <w:pPr>
              <w:spacing w:after="0" w:before="0"/>
            </w:pPr>
            <w:r>
              <w:rPr>
                <w:rFonts w:ascii="Times New Roman" w:hAnsi="Times New Roman"/>
                <w:sz w:val="16"/>
              </w:rPr>
              <w:t>May be semantic_only or overlap</w:t>
            </w:r>
          </w:p>
        </w:tc>
      </w:tr>
      <w:tr>
        <w:trPr>
          <w:cantSplit/>
        </w:trPr>
        <w:tc>
          <w:tcPr>
            <w:tcW w:type="dxa" w:w="1656"/>
            <w:vAlign w:val="center"/>
            <w:tcMar>
              <w:top w:w="65" w:type="dxa"/>
              <w:start w:w="68" w:type="dxa"/>
              <w:bottom w:w="65" w:type="dxa"/>
              <w:end w:w="68" w:type="dxa"/>
            </w:tcMar>
          </w:tcPr>
          <w:p>
            <w:pPr>
              <w:spacing w:after="0" w:before="0"/>
            </w:pPr>
            <w:r>
              <w:rPr>
                <w:rFonts w:ascii="Times New Roman" w:hAnsi="Times New Roman"/>
                <w:sz w:val="16"/>
              </w:rPr>
              <w:t>OVR-02 / OVR</w:t>
            </w:r>
          </w:p>
        </w:tc>
        <w:tc>
          <w:tcPr>
            <w:tcW w:type="dxa" w:w="2232"/>
            <w:vAlign w:val="center"/>
            <w:tcMar>
              <w:top w:w="65" w:type="dxa"/>
              <w:start w:w="68" w:type="dxa"/>
              <w:bottom w:w="65" w:type="dxa"/>
              <w:end w:w="68" w:type="dxa"/>
            </w:tcMar>
          </w:tcPr>
          <w:p>
            <w:pPr>
              <w:spacing w:after="0" w:before="0"/>
            </w:pPr>
            <w:r>
              <w:rPr>
                <w:rFonts w:ascii="Times New Roman" w:hAnsi="Times New Roman"/>
                <w:sz w:val="16"/>
              </w:rPr>
              <w:t>Compatibility with visible prompt/source/prior context</w:t>
            </w:r>
          </w:p>
        </w:tc>
        <w:tc>
          <w:tcPr>
            <w:tcW w:type="dxa" w:w="4248"/>
            <w:vAlign w:val="center"/>
            <w:tcMar>
              <w:top w:w="65" w:type="dxa"/>
              <w:start w:w="68" w:type="dxa"/>
              <w:bottom w:w="65" w:type="dxa"/>
              <w:end w:w="68" w:type="dxa"/>
            </w:tcMar>
          </w:tcPr>
          <w:p>
            <w:pPr>
              <w:spacing w:after="0" w:before="0"/>
            </w:pPr>
            <w:r>
              <w:rPr>
                <w:rFonts w:ascii="Times New Roman" w:hAnsi="Times New Roman"/>
                <w:sz w:val="16"/>
              </w:rPr>
              <w:t>Context consistency and grounding-oriented hallucination research (Ji et al., 2023; Niu et al., 2024)</w:t>
            </w:r>
          </w:p>
        </w:tc>
        <w:tc>
          <w:tcPr>
            <w:tcW w:type="dxa" w:w="2232"/>
            <w:vAlign w:val="center"/>
            <w:tcMar>
              <w:top w:w="65" w:type="dxa"/>
              <w:start w:w="68" w:type="dxa"/>
              <w:bottom w:w="65" w:type="dxa"/>
              <w:end w:w="68" w:type="dxa"/>
            </w:tcMar>
          </w:tcPr>
          <w:p>
            <w:pPr>
              <w:spacing w:after="0" w:before="0"/>
            </w:pPr>
            <w:r>
              <w:rPr>
                <w:rFonts w:ascii="Times New Roman" w:hAnsi="Times New Roman"/>
                <w:sz w:val="16"/>
              </w:rPr>
              <w:t>Normally involves visible contextual conflict</w:t>
            </w:r>
          </w:p>
        </w:tc>
      </w:tr>
      <w:tr>
        <w:trPr>
          <w:cantSplit/>
        </w:trPr>
        <w:tc>
          <w:tcPr>
            <w:tcW w:type="dxa" w:w="1656"/>
            <w:vAlign w:val="center"/>
            <w:tcMar>
              <w:top w:w="65" w:type="dxa"/>
              <w:start w:w="68" w:type="dxa"/>
              <w:bottom w:w="65" w:type="dxa"/>
              <w:end w:w="68" w:type="dxa"/>
            </w:tcMar>
          </w:tcPr>
          <w:p>
            <w:pPr>
              <w:spacing w:after="0" w:before="0"/>
            </w:pPr>
            <w:r>
              <w:rPr>
                <w:rFonts w:ascii="Times New Roman" w:hAnsi="Times New Roman"/>
                <w:sz w:val="16"/>
              </w:rPr>
              <w:t>OVR-03 / OVR</w:t>
            </w:r>
          </w:p>
        </w:tc>
        <w:tc>
          <w:tcPr>
            <w:tcW w:type="dxa" w:w="2232"/>
            <w:vAlign w:val="center"/>
            <w:tcMar>
              <w:top w:w="65" w:type="dxa"/>
              <w:start w:w="68" w:type="dxa"/>
              <w:bottom w:w="65" w:type="dxa"/>
              <w:end w:w="68" w:type="dxa"/>
            </w:tcMar>
          </w:tcPr>
          <w:p>
            <w:pPr>
              <w:spacing w:after="0" w:before="0"/>
            </w:pPr>
            <w:r>
              <w:rPr>
                <w:rFonts w:ascii="Times New Roman" w:hAnsi="Times New Roman"/>
                <w:sz w:val="16"/>
              </w:rPr>
              <w:t>Entity/role/attribute mapping</w:t>
            </w:r>
          </w:p>
        </w:tc>
        <w:tc>
          <w:tcPr>
            <w:tcW w:type="dxa" w:w="4248"/>
            <w:vAlign w:val="center"/>
            <w:tcMar>
              <w:top w:w="65" w:type="dxa"/>
              <w:start w:w="68" w:type="dxa"/>
              <w:bottom w:w="65" w:type="dxa"/>
              <w:end w:w="68" w:type="dxa"/>
            </w:tcMar>
          </w:tcPr>
          <w:p>
            <w:pPr>
              <w:spacing w:after="0" w:before="0"/>
            </w:pPr>
            <w:r>
              <w:rPr>
                <w:rFonts w:ascii="Times New Roman" w:hAnsi="Times New Roman"/>
                <w:sz w:val="16"/>
              </w:rPr>
              <w:t>Fine-grained entity and factual-consistency error analysis (Pagnoni et al., 2021)</w:t>
            </w:r>
          </w:p>
        </w:tc>
        <w:tc>
          <w:tcPr>
            <w:tcW w:type="dxa" w:w="2232"/>
            <w:vAlign w:val="center"/>
            <w:tcMar>
              <w:top w:w="65" w:type="dxa"/>
              <w:start w:w="68" w:type="dxa"/>
              <w:bottom w:w="65" w:type="dxa"/>
              <w:end w:w="68" w:type="dxa"/>
            </w:tcMar>
          </w:tcPr>
          <w:p>
            <w:pPr>
              <w:spacing w:after="0" w:before="0"/>
            </w:pPr>
            <w:r>
              <w:rPr>
                <w:rFonts w:ascii="Times New Roman" w:hAnsi="Times New Roman"/>
                <w:sz w:val="16"/>
              </w:rPr>
              <w:t>Reference target is determinate but mapped incorrectly</w:t>
            </w:r>
          </w:p>
        </w:tc>
      </w:tr>
      <w:tr>
        <w:trPr>
          <w:cantSplit/>
        </w:trPr>
        <w:tc>
          <w:tcPr>
            <w:tcW w:type="dxa" w:w="1656"/>
            <w:vAlign w:val="center"/>
            <w:tcMar>
              <w:top w:w="65" w:type="dxa"/>
              <w:start w:w="68" w:type="dxa"/>
              <w:bottom w:w="65" w:type="dxa"/>
              <w:end w:w="68" w:type="dxa"/>
            </w:tcMar>
          </w:tcPr>
          <w:p>
            <w:pPr>
              <w:spacing w:after="0" w:before="0"/>
            </w:pPr>
            <w:r>
              <w:rPr>
                <w:rFonts w:ascii="Times New Roman" w:hAnsi="Times New Roman"/>
                <w:sz w:val="16"/>
              </w:rPr>
              <w:t>OVR-04 / OVR</w:t>
            </w:r>
          </w:p>
        </w:tc>
        <w:tc>
          <w:tcPr>
            <w:tcW w:type="dxa" w:w="2232"/>
            <w:vAlign w:val="center"/>
            <w:tcMar>
              <w:top w:w="65" w:type="dxa"/>
              <w:start w:w="68" w:type="dxa"/>
              <w:bottom w:w="65" w:type="dxa"/>
              <w:end w:w="68" w:type="dxa"/>
            </w:tcMar>
          </w:tcPr>
          <w:p>
            <w:pPr>
              <w:spacing w:after="0" w:before="0"/>
            </w:pPr>
            <w:r>
              <w:rPr>
                <w:rFonts w:ascii="Times New Roman" w:hAnsi="Times New Roman"/>
                <w:sz w:val="16"/>
              </w:rPr>
              <w:t>Temporal / world-state relation</w:t>
            </w:r>
          </w:p>
        </w:tc>
        <w:tc>
          <w:tcPr>
            <w:tcW w:type="dxa" w:w="4248"/>
            <w:vAlign w:val="center"/>
            <w:tcMar>
              <w:top w:w="65" w:type="dxa"/>
              <w:start w:w="68" w:type="dxa"/>
              <w:bottom w:w="65" w:type="dxa"/>
              <w:end w:w="68" w:type="dxa"/>
            </w:tcMar>
          </w:tcPr>
          <w:p>
            <w:pPr>
              <w:spacing w:after="0" w:before="0"/>
            </w:pPr>
            <w:r>
              <w:rPr>
                <w:rFonts w:ascii="Times New Roman" w:hAnsi="Times New Roman"/>
                <w:sz w:val="16"/>
              </w:rPr>
              <w:t>Contextual contradiction and factual-consistency analysis (Ji et al., 2023; Pagnoni et al., 2021)</w:t>
            </w:r>
          </w:p>
        </w:tc>
        <w:tc>
          <w:tcPr>
            <w:tcW w:type="dxa" w:w="2232"/>
            <w:vAlign w:val="center"/>
            <w:tcMar>
              <w:top w:w="65" w:type="dxa"/>
              <w:start w:w="68" w:type="dxa"/>
              <w:bottom w:w="65" w:type="dxa"/>
              <w:end w:w="68" w:type="dxa"/>
            </w:tcMar>
          </w:tcPr>
          <w:p>
            <w:pPr>
              <w:spacing w:after="0" w:before="0"/>
            </w:pPr>
            <w:r>
              <w:rPr>
                <w:rFonts w:ascii="Times New Roman" w:hAnsi="Times New Roman"/>
                <w:sz w:val="16"/>
              </w:rPr>
              <w:t>Normally tied to visible state/time context</w:t>
            </w:r>
          </w:p>
        </w:tc>
      </w:tr>
      <w:tr>
        <w:trPr>
          <w:cantSplit/>
        </w:trPr>
        <w:tc>
          <w:tcPr>
            <w:tcW w:type="dxa" w:w="1656"/>
            <w:vAlign w:val="center"/>
            <w:tcMar>
              <w:top w:w="65" w:type="dxa"/>
              <w:start w:w="68" w:type="dxa"/>
              <w:bottom w:w="65" w:type="dxa"/>
              <w:end w:w="68" w:type="dxa"/>
            </w:tcMar>
          </w:tcPr>
          <w:p>
            <w:pPr>
              <w:spacing w:after="0" w:before="0"/>
            </w:pPr>
            <w:r>
              <w:rPr>
                <w:rFonts w:ascii="Times New Roman" w:hAnsi="Times New Roman"/>
                <w:sz w:val="16"/>
              </w:rPr>
              <w:t>OVR-05 / OVR</w:t>
            </w:r>
          </w:p>
        </w:tc>
        <w:tc>
          <w:tcPr>
            <w:tcW w:type="dxa" w:w="2232"/>
            <w:vAlign w:val="center"/>
            <w:tcMar>
              <w:top w:w="65" w:type="dxa"/>
              <w:start w:w="68" w:type="dxa"/>
              <w:bottom w:w="65" w:type="dxa"/>
              <w:end w:w="68" w:type="dxa"/>
            </w:tcMar>
          </w:tcPr>
          <w:p>
            <w:pPr>
              <w:spacing w:after="0" w:before="0"/>
            </w:pPr>
            <w:r>
              <w:rPr>
                <w:rFonts w:ascii="Times New Roman" w:hAnsi="Times New Roman"/>
                <w:sz w:val="16"/>
              </w:rPr>
              <w:t>Premise/reasoning-to-conclusion support</w:t>
            </w:r>
          </w:p>
        </w:tc>
        <w:tc>
          <w:tcPr>
            <w:tcW w:type="dxa" w:w="4248"/>
            <w:vAlign w:val="center"/>
            <w:tcMar>
              <w:top w:w="65" w:type="dxa"/>
              <w:start w:w="68" w:type="dxa"/>
              <w:bottom w:w="65" w:type="dxa"/>
              <w:end w:w="68" w:type="dxa"/>
            </w:tcMar>
          </w:tcPr>
          <w:p>
            <w:pPr>
              <w:spacing w:after="0" w:before="0"/>
            </w:pPr>
            <w:r>
              <w:rPr>
                <w:rFonts w:ascii="Times New Roman" w:hAnsi="Times New Roman"/>
                <w:sz w:val="16"/>
              </w:rPr>
              <w:t>Natural-language inference/explanation and semantic-interdependence evaluation (Camburu et al., 2018; Li et al., 2025)</w:t>
            </w:r>
          </w:p>
        </w:tc>
        <w:tc>
          <w:tcPr>
            <w:tcW w:type="dxa" w:w="2232"/>
            <w:vAlign w:val="center"/>
            <w:tcMar>
              <w:top w:w="65" w:type="dxa"/>
              <w:start w:w="68" w:type="dxa"/>
              <w:bottom w:w="65" w:type="dxa"/>
              <w:end w:w="68" w:type="dxa"/>
            </w:tcMar>
          </w:tcPr>
          <w:p>
            <w:pPr>
              <w:spacing w:after="0" w:before="0"/>
            </w:pPr>
            <w:r>
              <w:rPr>
                <w:rFonts w:ascii="Times New Roman" w:hAnsi="Times New Roman"/>
                <w:sz w:val="16"/>
              </w:rPr>
              <w:t>May be semantic_only or overlap</w:t>
            </w:r>
          </w:p>
        </w:tc>
      </w:tr>
      <w:tr>
        <w:trPr>
          <w:cantSplit/>
        </w:trPr>
        <w:tc>
          <w:tcPr>
            <w:tcW w:type="dxa" w:w="1656"/>
            <w:vAlign w:val="center"/>
            <w:tcMar>
              <w:top w:w="65" w:type="dxa"/>
              <w:start w:w="68" w:type="dxa"/>
              <w:bottom w:w="65" w:type="dxa"/>
              <w:end w:w="68" w:type="dxa"/>
            </w:tcMar>
          </w:tcPr>
          <w:p>
            <w:pPr>
              <w:spacing w:after="0" w:before="0"/>
            </w:pPr>
            <w:r>
              <w:rPr>
                <w:rFonts w:ascii="Times New Roman" w:hAnsi="Times New Roman"/>
                <w:sz w:val="16"/>
              </w:rPr>
              <w:t>OVR-06 / OVR</w:t>
            </w:r>
          </w:p>
        </w:tc>
        <w:tc>
          <w:tcPr>
            <w:tcW w:type="dxa" w:w="2232"/>
            <w:vAlign w:val="center"/>
            <w:tcMar>
              <w:top w:w="65" w:type="dxa"/>
              <w:start w:w="68" w:type="dxa"/>
              <w:bottom w:w="65" w:type="dxa"/>
              <w:end w:w="68" w:type="dxa"/>
            </w:tcMar>
          </w:tcPr>
          <w:p>
            <w:pPr>
              <w:spacing w:after="0" w:before="0"/>
            </w:pPr>
            <w:r>
              <w:rPr>
                <w:rFonts w:ascii="Times New Roman" w:hAnsi="Times New Roman"/>
                <w:sz w:val="16"/>
              </w:rPr>
              <w:t>Separation of distinct contexts/sources/entities</w:t>
            </w:r>
          </w:p>
        </w:tc>
        <w:tc>
          <w:tcPr>
            <w:tcW w:type="dxa" w:w="4248"/>
            <w:vAlign w:val="center"/>
            <w:tcMar>
              <w:top w:w="65" w:type="dxa"/>
              <w:start w:w="68" w:type="dxa"/>
              <w:bottom w:w="65" w:type="dxa"/>
              <w:end w:w="68" w:type="dxa"/>
            </w:tcMar>
          </w:tcPr>
          <w:p>
            <w:pPr>
              <w:spacing w:after="0" w:before="0"/>
            </w:pPr>
            <w:r>
              <w:rPr>
                <w:rFonts w:ascii="Times New Roman" w:hAnsi="Times New Roman"/>
                <w:sz w:val="16"/>
              </w:rPr>
              <w:t>Grounding and context-integration failure traditions (Ji et al., 2023; Niu et al., 2024)</w:t>
            </w:r>
          </w:p>
        </w:tc>
        <w:tc>
          <w:tcPr>
            <w:tcW w:type="dxa" w:w="2232"/>
            <w:vAlign w:val="center"/>
            <w:tcMar>
              <w:top w:w="65" w:type="dxa"/>
              <w:start w:w="68" w:type="dxa"/>
              <w:bottom w:w="65" w:type="dxa"/>
              <w:end w:w="68" w:type="dxa"/>
            </w:tcMar>
          </w:tcPr>
          <w:p>
            <w:pPr>
              <w:spacing w:after="0" w:before="0"/>
            </w:pPr>
            <w:r>
              <w:rPr>
                <w:rFonts w:ascii="Times New Roman" w:hAnsi="Times New Roman"/>
                <w:sz w:val="16"/>
              </w:rPr>
              <w:t>Normally involves cross-context grounding conflict</w:t>
            </w:r>
          </w:p>
        </w:tc>
      </w:tr>
      <w:tr>
        <w:trPr>
          <w:cantSplit/>
        </w:trPr>
        <w:tc>
          <w:tcPr>
            <w:tcW w:type="dxa" w:w="1656"/>
            <w:vAlign w:val="center"/>
            <w:tcMar>
              <w:top w:w="65" w:type="dxa"/>
              <w:start w:w="68" w:type="dxa"/>
              <w:bottom w:w="65" w:type="dxa"/>
              <w:end w:w="68" w:type="dxa"/>
            </w:tcMar>
          </w:tcPr>
          <w:p>
            <w:pPr>
              <w:spacing w:after="0" w:before="0"/>
            </w:pPr>
            <w:r>
              <w:rPr>
                <w:rFonts w:ascii="Times New Roman" w:hAnsi="Times New Roman"/>
                <w:sz w:val="16"/>
              </w:rPr>
              <w:t>HREF</w:t>
            </w:r>
          </w:p>
        </w:tc>
        <w:tc>
          <w:tcPr>
            <w:tcW w:type="dxa" w:w="2232"/>
            <w:vAlign w:val="center"/>
            <w:tcMar>
              <w:top w:w="65" w:type="dxa"/>
              <w:start w:w="68" w:type="dxa"/>
              <w:bottom w:w="65" w:type="dxa"/>
              <w:end w:w="68" w:type="dxa"/>
            </w:tcMar>
          </w:tcPr>
          <w:p>
            <w:pPr>
              <w:spacing w:after="0" w:before="0"/>
            </w:pPr>
            <w:r>
              <w:rPr>
                <w:rFonts w:ascii="Times New Roman" w:hAnsi="Times New Roman"/>
                <w:sz w:val="16"/>
              </w:rPr>
              <w:t>Support relation to authorised visible anchor</w:t>
            </w:r>
          </w:p>
        </w:tc>
        <w:tc>
          <w:tcPr>
            <w:tcW w:type="dxa" w:w="4248"/>
            <w:vAlign w:val="center"/>
            <w:tcMar>
              <w:top w:w="65" w:type="dxa"/>
              <w:start w:w="68" w:type="dxa"/>
              <w:bottom w:w="65" w:type="dxa"/>
              <w:end w:w="68" w:type="dxa"/>
            </w:tcMar>
          </w:tcPr>
          <w:p>
            <w:pPr>
              <w:spacing w:after="0" w:before="0"/>
            </w:pPr>
            <w:r>
              <w:rPr>
                <w:rFonts w:ascii="Times New Roman" w:hAnsi="Times New Roman"/>
                <w:sz w:val="16"/>
              </w:rPr>
              <w:t>Hallucination/factuality and source-grounding literature (Ji et al., 2023; Niu et al., 2024; Tang et al., 2024)</w:t>
            </w:r>
          </w:p>
        </w:tc>
        <w:tc>
          <w:tcPr>
            <w:tcW w:type="dxa" w:w="2232"/>
            <w:vAlign w:val="center"/>
            <w:tcMar>
              <w:top w:w="65" w:type="dxa"/>
              <w:start w:w="68" w:type="dxa"/>
              <w:bottom w:w="65" w:type="dxa"/>
              <w:end w:w="68" w:type="dxa"/>
            </w:tcMar>
          </w:tcPr>
          <w:p>
            <w:pPr>
              <w:spacing w:after="0" w:before="0"/>
            </w:pPr>
            <w:r>
              <w:rPr>
                <w:rFonts w:ascii="Times New Roman" w:hAnsi="Times New Roman"/>
                <w:sz w:val="16"/>
              </w:rPr>
              <w:t>Grounding-only reference category when no semantic mechanism is primary</w:t>
            </w:r>
          </w:p>
        </w:tc>
      </w:tr>
      <w:tr>
        <w:trPr>
          <w:cantSplit/>
        </w:trPr>
        <w:tc>
          <w:tcPr>
            <w:tcW w:type="dxa" w:w="1656"/>
            <w:vAlign w:val="center"/>
            <w:tcMar>
              <w:top w:w="65" w:type="dxa"/>
              <w:start w:w="68" w:type="dxa"/>
              <w:bottom w:w="65" w:type="dxa"/>
              <w:end w:w="68" w:type="dxa"/>
            </w:tcMar>
          </w:tcPr>
          <w:p>
            <w:pPr>
              <w:spacing w:after="0" w:before="0"/>
            </w:pPr>
            <w:r>
              <w:rPr>
                <w:rFonts w:ascii="Times New Roman" w:hAnsi="Times New Roman"/>
                <w:sz w:val="16"/>
              </w:rPr>
              <w:t>NONE</w:t>
            </w:r>
          </w:p>
        </w:tc>
        <w:tc>
          <w:tcPr>
            <w:tcW w:type="dxa" w:w="2232"/>
            <w:vAlign w:val="center"/>
            <w:tcMar>
              <w:top w:w="65" w:type="dxa"/>
              <w:start w:w="68" w:type="dxa"/>
              <w:bottom w:w="65" w:type="dxa"/>
              <w:end w:w="68" w:type="dxa"/>
            </w:tcMar>
          </w:tcPr>
          <w:p>
            <w:pPr>
              <w:spacing w:after="0" w:before="0"/>
            </w:pPr>
            <w:r>
              <w:rPr>
                <w:rFonts w:ascii="Times New Roman" w:hAnsi="Times New Roman"/>
                <w:sz w:val="16"/>
              </w:rPr>
              <w:t>No identifiable coded failure</w:t>
            </w:r>
          </w:p>
        </w:tc>
        <w:tc>
          <w:tcPr>
            <w:tcW w:type="dxa" w:w="4248"/>
            <w:vAlign w:val="center"/>
            <w:tcMar>
              <w:top w:w="65" w:type="dxa"/>
              <w:start w:w="68" w:type="dxa"/>
              <w:bottom w:w="65" w:type="dxa"/>
              <w:end w:w="68" w:type="dxa"/>
            </w:tcMar>
          </w:tcPr>
          <w:p>
            <w:pPr>
              <w:spacing w:after="0" w:before="0"/>
            </w:pPr>
            <w:r>
              <w:rPr>
                <w:rFonts w:ascii="Times New Roman" w:hAnsi="Times New Roman"/>
                <w:sz w:val="16"/>
              </w:rPr>
              <w:t>Negative decision under the locked operational codebook</w:t>
            </w:r>
          </w:p>
        </w:tc>
        <w:tc>
          <w:tcPr>
            <w:tcW w:type="dxa" w:w="2232"/>
            <w:vAlign w:val="center"/>
            <w:tcMar>
              <w:top w:w="65" w:type="dxa"/>
              <w:start w:w="68" w:type="dxa"/>
              <w:bottom w:w="65" w:type="dxa"/>
              <w:end w:w="68" w:type="dxa"/>
            </w:tcMar>
          </w:tcPr>
          <w:p>
            <w:pPr>
              <w:spacing w:after="0" w:before="0"/>
            </w:pPr>
            <w:r>
              <w:rPr>
                <w:rFonts w:ascii="Times New Roman" w:hAnsi="Times New Roman"/>
                <w:sz w:val="16"/>
              </w:rPr>
              <w:t>Absence of an evidence-supported coded failure; not proof of perfect quality</w:t>
            </w:r>
          </w:p>
        </w:tc>
      </w:tr>
    </w:tbl>
    <w:p>
      <w:pPr>
        <w:widowControl/>
        <w:spacing w:after="80"/>
      </w:pPr>
      <w:r>
        <w:rPr>
          <w:i/>
        </w:rPr>
        <w:t>Note. The table provides theoretical traceability, not a claim that any cited theory uniquely entails the study label. “Semantic coherence” is used as an operational umbrella across discourse coherence, semantic consistency, reference continuity, and task-relative pragmatic alignment.</w:t>
      </w:r>
    </w:p>
    <w:p>
      <w:pPr/>
      <w:r>
        <w:t>Scope of this addendum (CS01/CS12/CS13). The diagnostic distinctions in Table S4 are later interpretations of existing codes: discourse/QUD attachment, task speech-act alignment, referential stability, internal contradiction and authorised-evidence support are not one latent factor. Raters applied the earlier v1.2_final_locked wording; no independent EDU/RST, entity-grid, coreference-chain, QUD, or lexical-sense reference was annotated, and no post-study “exclusions” have been retroactively imposed on the 720-case human ratings or final reference. The empirical Core-SCF/OVR target recovers predominant adjudicated response-level codes, not an independently segmented discourse structure.</w:t>
      </w:r>
    </w:p>
    <w:p w14:paraId="416EDD12">
      <w:pPr>
        <w:pStyle w:val="3"/>
        <w:keepNext/>
        <w:keepLines/>
        <w:pageBreakBefore w:val="0"/>
        <w:spacing w:before="140" w:after="80"/>
      </w:pPr>
      <w:r>
        <w:rPr>
          <w:color w:val="000000"/>
        </w:rPr>
        <w:t>S2.2 Grounding boundary, OVR/HREF rules, and evidence availability</w:t>
      </w:r>
    </w:p>
    <w:p>
      <w:pPr>
        <w:jc w:val="both"/>
      </w:pPr>
      <w:r>
        <w:rPr>
          <w:rFonts w:ascii="Times New Roman" w:hAnsi="Times New Roman"/>
          <w:b/>
          <w:sz w:val="20"/>
        </w:rPr>
        <w:t>Rule-constraint and evidence map.</w:t>
      </w:r>
      <w:r>
        <w:rPr>
          <w:rFonts w:ascii="Times New Roman" w:hAnsi="Times New Roman"/>
          <w:sz w:val="20"/>
        </w:rPr>
        <w:t xml:space="preserve"> The admissible combinations in Table S6 intentionally couple fields: NONE → no_failure → severity 0; HREF as primary → hallucination_only (unsupported content relative to an authorised visible anchor); and overlap → a semantic mechanism together with evidence-related involvement. Missing source evidence does not automatically imply hallucination, and source-absent items are assessed only against the visible prompt, task objective or internal logic. These constraints preclude an interpretation of the three fields as mutually independent latent constructs. In the 460 T3-eligible cases the Core-SCF/OVR family contrast has Cramér’s V = .728 against boundary status, illustrating additional empirical association rather than construct separability.</w:t>
      </w:r>
    </w:p>
    <w:p>
      <w:pPr/>
      <w:r>
        <w:t>Post-study evidence-relation decision map (CS05/CS14; explanatory, not a replacement for locked HREF rules): (1) ENTAILED/LICENCED by visible authorised text: no evidence violation on that basis; (2) EXPLICITLY CONTRADICTED by visible authorised text: diagnose source-relative context conflict, potentially OVR-02/overlap under the original rule; (3) NOT ENTAILED or omitted by a short source: this is not, by itself, proof of fabrication; only use HREF where an asserted source-supported/factual claim meets the original manual’s observable support rule, otherwise record the available anchor and evidence ambiguity; (4) UNDECIDABLE because source/anchor is absent or incomplete: neither entailment nor external falsity is established, and source-absence alone is not HREF. “Unsupported”, “contradicted”, and “factually false in the open world” are different predicates. Existing ground-truth labels remain unchanged.</w:t>
      </w:r>
    </w:p>
    <w:p w14:paraId="024F3793">
      <w:pPr>
        <w:pStyle w:val="16"/>
        <w:keepNext/>
        <w:keepLines/>
        <w:spacing w:before="120" w:after="60"/>
        <w:jc w:val="left"/>
      </w:pPr>
      <w:r>
        <w:t>Table S6. Grounding-boundary rules and allowed primary-label patterns.</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2458"/>
        <w:gridCol w:w="2458"/>
        <w:gridCol w:w="2458"/>
        <w:gridCol w:w="2458"/>
      </w:tblGrid>
      <w:tr w14:paraId="00A7F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jc w:val="center"/>
          <w:cantSplit w:val="true"/>
          <w:tblHeader w:val="true"/>
        </w:trPr>
        <w:tc>
          <w:tcPr>
            <w:tcW w:w="1440" w:type="dxa"/>
            <w:tcMar>
              <w:top w:w="65" w:type="dxa"/>
              <w:left w:w="70" w:type="dxa"/>
              <w:bottom w:w="65" w:type="dxa"/>
              <w:right w:w="70" w:type="dxa"/>
              <w:start w:w="68" w:type="dxa"/>
              <w:end w:w="68" w:type="dxa"/>
            </w:tcMar>
            <w:vAlign w:val="center"/>
            <w:shd w:val="clear" w:color="auto" w:fill="E8F0F8"/>
          </w:tcPr>
          <w:p w14:paraId="5B511B06">
            <w:pPr>
              <w:spacing w:after="0" w:line="240" w:lineRule="auto" w:before="0"/>
              <w:jc w:val="center"/>
            </w:pPr>
            <w:r>
              <w:rPr>
                <w:rFonts w:ascii="Times New Roman" w:hAnsi="Times New Roman" w:eastAsia="Times New Roman" w:cs="Times New Roman"/>
                <w:b/>
                <w:color w:val="1E364D"/>
                <w:sz w:val="16"/>
              </w:rPr>
              <w:t>Zone</w:t>
            </w:r>
          </w:p>
        </w:tc>
        <w:tc>
          <w:tcPr>
            <w:tcW w:w="3960" w:type="dxa"/>
            <w:tcMar>
              <w:top w:w="65" w:type="dxa"/>
              <w:left w:w="70" w:type="dxa"/>
              <w:bottom w:w="65" w:type="dxa"/>
              <w:right w:w="70" w:type="dxa"/>
              <w:start w:w="68" w:type="dxa"/>
              <w:end w:w="68" w:type="dxa"/>
            </w:tcMar>
            <w:vAlign w:val="center"/>
            <w:shd w:val="clear" w:color="auto" w:fill="E8F0F8"/>
          </w:tcPr>
          <w:p w14:paraId="57EE7657">
            <w:pPr>
              <w:spacing w:after="0" w:line="240" w:lineRule="auto" w:before="0"/>
              <w:jc w:val="center"/>
            </w:pPr>
            <w:r>
              <w:rPr>
                <w:rFonts w:ascii="Times New Roman" w:hAnsi="Times New Roman" w:eastAsia="Times New Roman" w:cs="Times New Roman"/>
                <w:b/>
                <w:color w:val="1E364D"/>
                <w:sz w:val="16"/>
              </w:rPr>
              <w:t>Diagnostic condition</w:t>
            </w:r>
          </w:p>
        </w:tc>
        <w:tc>
          <w:tcPr>
            <w:tcW w:w="3600" w:type="dxa"/>
            <w:tcMar>
              <w:top w:w="65" w:type="dxa"/>
              <w:left w:w="70" w:type="dxa"/>
              <w:bottom w:w="65" w:type="dxa"/>
              <w:right w:w="70" w:type="dxa"/>
              <w:start w:w="68" w:type="dxa"/>
              <w:end w:w="68" w:type="dxa"/>
            </w:tcMar>
            <w:vAlign w:val="center"/>
            <w:shd w:val="clear" w:color="auto" w:fill="E8F0F8"/>
          </w:tcPr>
          <w:p w14:paraId="6DF0C2CA">
            <w:pPr>
              <w:spacing w:after="0" w:line="240" w:lineRule="auto" w:before="0"/>
              <w:jc w:val="center"/>
            </w:pPr>
            <w:r>
              <w:rPr>
                <w:rFonts w:ascii="Times New Roman" w:hAnsi="Times New Roman" w:eastAsia="Times New Roman" w:cs="Times New Roman"/>
                <w:b/>
                <w:color w:val="1E364D"/>
                <w:sz w:val="16"/>
              </w:rPr>
              <w:t>Allowed primary pattern</w:t>
            </w:r>
          </w:p>
        </w:tc>
        <w:tc>
          <w:tcPr>
            <w:tcW w:w="3240" w:type="dxa"/>
            <w:tcMar>
              <w:top w:w="65" w:type="dxa"/>
              <w:left w:w="70" w:type="dxa"/>
              <w:bottom w:w="65" w:type="dxa"/>
              <w:right w:w="70" w:type="dxa"/>
              <w:start w:w="68" w:type="dxa"/>
              <w:end w:w="68" w:type="dxa"/>
            </w:tcMar>
            <w:vAlign w:val="center"/>
            <w:shd w:val="clear" w:color="auto" w:fill="E8F0F8"/>
          </w:tcPr>
          <w:p w14:paraId="13FB69DE">
            <w:pPr>
              <w:spacing w:after="0" w:line="240" w:lineRule="auto" w:before="0"/>
              <w:jc w:val="center"/>
            </w:pPr>
            <w:r>
              <w:rPr>
                <w:rFonts w:ascii="Times New Roman" w:hAnsi="Times New Roman" w:eastAsia="Times New Roman" w:cs="Times New Roman"/>
                <w:b/>
                <w:color w:val="1E364D"/>
                <w:sz w:val="16"/>
              </w:rPr>
              <w:t>Rule</w:t>
            </w:r>
          </w:p>
        </w:tc>
      </w:tr>
      <w:tr w14:paraId="5C46F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440" w:type="dxa"/>
            <w:tcMar>
              <w:top w:w="65" w:type="dxa"/>
              <w:left w:w="70" w:type="dxa"/>
              <w:bottom w:w="65" w:type="dxa"/>
              <w:right w:w="70" w:type="dxa"/>
              <w:start w:w="68" w:type="dxa"/>
              <w:end w:w="68" w:type="dxa"/>
            </w:tcMar>
            <w:vAlign w:val="center"/>
          </w:tcPr>
          <w:p w14:paraId="522D11B1">
            <w:pPr>
              <w:spacing w:after="0" w:line="240" w:lineRule="auto" w:before="0"/>
            </w:pPr>
            <w:r>
              <w:rPr>
                <w:rFonts w:ascii="Times New Roman" w:hAnsi="Times New Roman" w:eastAsia="Times New Roman" w:cs="Times New Roman"/>
                <w:b w:val="0"/>
                <w:sz w:val="16"/>
              </w:rPr>
              <w:t>semantic_only</w:t>
            </w:r>
          </w:p>
        </w:tc>
        <w:tc>
          <w:tcPr>
            <w:tcW w:w="3960" w:type="dxa"/>
            <w:tcMar>
              <w:top w:w="65" w:type="dxa"/>
              <w:left w:w="70" w:type="dxa"/>
              <w:bottom w:w="65" w:type="dxa"/>
              <w:right w:w="70" w:type="dxa"/>
              <w:start w:w="68" w:type="dxa"/>
              <w:end w:w="68" w:type="dxa"/>
            </w:tcMar>
            <w:vAlign w:val="center"/>
          </w:tcPr>
          <w:p w14:paraId="65436AD7">
            <w:pPr>
              <w:spacing w:after="0" w:line="240" w:lineRule="auto" w:before="0"/>
            </w:pPr>
            <w:r>
              <w:rPr>
                <w:rFonts w:ascii="Times New Roman" w:hAnsi="Times New Roman" w:eastAsia="Times New Roman" w:cs="Times New Roman"/>
                <w:b w:val="0"/>
                <w:sz w:val="16"/>
              </w:rPr>
              <w:t>A meaning-level relation fails without unsupported/fabricated content relative to an authorised visible anchor.</w:t>
            </w:r>
          </w:p>
        </w:tc>
        <w:tc>
          <w:tcPr>
            <w:tcW w:w="3600" w:type="dxa"/>
            <w:tcMar>
              <w:top w:w="65" w:type="dxa"/>
              <w:left w:w="70" w:type="dxa"/>
              <w:bottom w:w="65" w:type="dxa"/>
              <w:right w:w="70" w:type="dxa"/>
              <w:start w:w="68" w:type="dxa"/>
              <w:end w:w="68" w:type="dxa"/>
            </w:tcMar>
            <w:vAlign w:val="center"/>
          </w:tcPr>
          <w:p w14:paraId="66926AB8">
            <w:pPr>
              <w:spacing w:after="0" w:line="240" w:lineRule="auto" w:before="0"/>
            </w:pPr>
            <w:r>
              <w:rPr>
                <w:rFonts w:ascii="Times New Roman" w:hAnsi="Times New Roman" w:eastAsia="Times New Roman" w:cs="Times New Roman"/>
                <w:b w:val="0"/>
                <w:sz w:val="16"/>
              </w:rPr>
              <w:t>SCF-01–SCF-07; OVR-01 or OVR-05.</w:t>
            </w:r>
          </w:p>
        </w:tc>
        <w:tc>
          <w:tcPr>
            <w:tcW w:w="3240" w:type="dxa"/>
            <w:tcMar>
              <w:top w:w="65" w:type="dxa"/>
              <w:left w:w="70" w:type="dxa"/>
              <w:bottom w:w="65" w:type="dxa"/>
              <w:right w:w="70" w:type="dxa"/>
              <w:start w:w="68" w:type="dxa"/>
              <w:end w:w="68" w:type="dxa"/>
            </w:tcMar>
            <w:vAlign w:val="center"/>
          </w:tcPr>
          <w:p w14:paraId="2F40BDCB">
            <w:pPr>
              <w:spacing w:after="0" w:line="240" w:lineRule="auto" w:before="0"/>
            </w:pPr>
            <w:r>
              <w:rPr>
                <w:rFonts w:ascii="Times New Roman" w:hAnsi="Times New Roman" w:eastAsia="Times New Roman" w:cs="Times New Roman"/>
                <w:b w:val="0"/>
                <w:sz w:val="16"/>
              </w:rPr>
              <w:t>Assign the dominant semantic mechanism. Do not infer overlap from an OVR prefix.</w:t>
            </w:r>
          </w:p>
        </w:tc>
      </w:tr>
      <w:tr w14:paraId="68BD9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440" w:type="dxa"/>
            <w:tcMar>
              <w:top w:w="65" w:type="dxa"/>
              <w:left w:w="70" w:type="dxa"/>
              <w:bottom w:w="65" w:type="dxa"/>
              <w:right w:w="70" w:type="dxa"/>
              <w:start w:w="68" w:type="dxa"/>
              <w:end w:w="68" w:type="dxa"/>
            </w:tcMar>
            <w:vAlign w:val="center"/>
          </w:tcPr>
          <w:p w14:paraId="0638BD56">
            <w:pPr>
              <w:spacing w:after="0" w:line="240" w:lineRule="auto" w:before="0"/>
            </w:pPr>
            <w:r>
              <w:rPr>
                <w:rFonts w:ascii="Times New Roman" w:hAnsi="Times New Roman" w:eastAsia="Times New Roman" w:cs="Times New Roman"/>
                <w:b w:val="0"/>
                <w:sz w:val="16"/>
              </w:rPr>
              <w:t>hallucination_only</w:t>
            </w:r>
          </w:p>
        </w:tc>
        <w:tc>
          <w:tcPr>
            <w:tcW w:w="3960" w:type="dxa"/>
            <w:tcMar>
              <w:top w:w="65" w:type="dxa"/>
              <w:left w:w="70" w:type="dxa"/>
              <w:bottom w:w="65" w:type="dxa"/>
              <w:right w:w="70" w:type="dxa"/>
              <w:start w:w="68" w:type="dxa"/>
              <w:end w:w="68" w:type="dxa"/>
            </w:tcMar>
            <w:vAlign w:val="center"/>
          </w:tcPr>
          <w:p w14:paraId="5B549D24">
            <w:pPr>
              <w:spacing w:after="0" w:line="240" w:lineRule="auto" w:before="0"/>
            </w:pPr>
            <w:r>
              <w:rPr>
                <w:rFonts w:ascii="Times New Roman" w:hAnsi="Times New Roman" w:eastAsia="Times New Roman" w:cs="Times New Roman"/>
                <w:b w:val="0"/>
                <w:sz w:val="16"/>
              </w:rPr>
              <w:t>The output remains internally coherent but contains unsupported or fabricated content relative to the prompt, supplied source, or prior discourse.</w:t>
            </w:r>
          </w:p>
        </w:tc>
        <w:tc>
          <w:tcPr>
            <w:tcW w:w="3600" w:type="dxa"/>
            <w:tcMar>
              <w:top w:w="65" w:type="dxa"/>
              <w:left w:w="70" w:type="dxa"/>
              <w:bottom w:w="65" w:type="dxa"/>
              <w:right w:w="70" w:type="dxa"/>
              <w:start w:w="68" w:type="dxa"/>
              <w:end w:w="68" w:type="dxa"/>
            </w:tcMar>
            <w:vAlign w:val="center"/>
          </w:tcPr>
          <w:p w14:paraId="1063C65F">
            <w:pPr>
              <w:spacing w:after="0" w:line="240" w:lineRule="auto" w:before="0"/>
            </w:pPr>
            <w:r>
              <w:rPr>
                <w:rFonts w:ascii="Times New Roman" w:hAnsi="Times New Roman" w:eastAsia="Times New Roman" w:cs="Times New Roman"/>
                <w:b w:val="0"/>
                <w:sz w:val="16"/>
              </w:rPr>
              <w:t>HREF primary; no independent semantic mechanism.</w:t>
            </w:r>
          </w:p>
        </w:tc>
        <w:tc>
          <w:tcPr>
            <w:tcW w:w="3240" w:type="dxa"/>
            <w:tcMar>
              <w:top w:w="65" w:type="dxa"/>
              <w:left w:w="70" w:type="dxa"/>
              <w:bottom w:w="65" w:type="dxa"/>
              <w:right w:w="70" w:type="dxa"/>
              <w:start w:w="68" w:type="dxa"/>
              <w:end w:w="68" w:type="dxa"/>
            </w:tcMar>
            <w:vAlign w:val="center"/>
          </w:tcPr>
          <w:p w14:paraId="3B1A1DC2">
            <w:pPr>
              <w:spacing w:after="0" w:line="240" w:lineRule="auto" w:before="0"/>
            </w:pPr>
            <w:r>
              <w:rPr>
                <w:rFonts w:ascii="Times New Roman" w:hAnsi="Times New Roman" w:eastAsia="Times New Roman" w:cs="Times New Roman"/>
                <w:b w:val="0"/>
                <w:sz w:val="16"/>
              </w:rPr>
              <w:t>Lack of available evidence is not itself hallucination; use evidence ambiguity when the anchor is insufficient.</w:t>
            </w:r>
          </w:p>
        </w:tc>
      </w:tr>
      <w:tr w14:paraId="686DA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440" w:type="dxa"/>
            <w:tcMar>
              <w:top w:w="65" w:type="dxa"/>
              <w:left w:w="70" w:type="dxa"/>
              <w:bottom w:w="65" w:type="dxa"/>
              <w:right w:w="70" w:type="dxa"/>
              <w:start w:w="68" w:type="dxa"/>
              <w:end w:w="68" w:type="dxa"/>
            </w:tcMar>
            <w:vAlign w:val="center"/>
          </w:tcPr>
          <w:p w14:paraId="3970FC62">
            <w:pPr>
              <w:spacing w:after="0" w:line="240" w:lineRule="auto" w:before="0"/>
            </w:pPr>
            <w:r>
              <w:rPr>
                <w:rFonts w:ascii="Times New Roman" w:hAnsi="Times New Roman" w:eastAsia="Times New Roman" w:cs="Times New Roman"/>
                <w:b w:val="0"/>
                <w:sz w:val="16"/>
              </w:rPr>
              <w:t>overlap</w:t>
            </w:r>
          </w:p>
        </w:tc>
        <w:tc>
          <w:tcPr>
            <w:tcW w:w="3960" w:type="dxa"/>
            <w:tcMar>
              <w:top w:w="65" w:type="dxa"/>
              <w:left w:w="70" w:type="dxa"/>
              <w:bottom w:w="65" w:type="dxa"/>
              <w:right w:w="70" w:type="dxa"/>
              <w:start w:w="68" w:type="dxa"/>
              <w:end w:w="68" w:type="dxa"/>
            </w:tcMar>
            <w:vAlign w:val="center"/>
          </w:tcPr>
          <w:p w14:paraId="5D3A55B2">
            <w:pPr>
              <w:spacing w:after="0" w:line="240" w:lineRule="auto" w:before="0"/>
            </w:pPr>
            <w:r>
              <w:rPr>
                <w:rFonts w:ascii="Times New Roman" w:hAnsi="Times New Roman" w:eastAsia="Times New Roman" w:cs="Times New Roman"/>
                <w:b w:val="0"/>
                <w:sz w:val="16"/>
              </w:rPr>
              <w:t>A semantic mechanism co-occurs with unsupported/fabricated or visibly contradictory grounding.</w:t>
            </w:r>
          </w:p>
        </w:tc>
        <w:tc>
          <w:tcPr>
            <w:tcW w:w="3600" w:type="dxa"/>
            <w:tcMar>
              <w:top w:w="65" w:type="dxa"/>
              <w:left w:w="70" w:type="dxa"/>
              <w:bottom w:w="65" w:type="dxa"/>
              <w:right w:w="70" w:type="dxa"/>
              <w:start w:w="68" w:type="dxa"/>
              <w:end w:w="68" w:type="dxa"/>
            </w:tcMar>
            <w:vAlign w:val="center"/>
          </w:tcPr>
          <w:p w14:paraId="62E0C2B9">
            <w:pPr>
              <w:spacing w:after="0" w:line="240" w:lineRule="auto" w:before="0"/>
            </w:pPr>
            <w:r>
              <w:rPr>
                <w:rFonts w:ascii="Times New Roman" w:hAnsi="Times New Roman" w:eastAsia="Times New Roman" w:cs="Times New Roman"/>
                <w:b w:val="0"/>
                <w:sz w:val="16"/>
              </w:rPr>
              <w:t>SCF/OVR primary plus HREF secondary where appropriate; OVR-02/03/04/06 normally occur here.</w:t>
            </w:r>
          </w:p>
        </w:tc>
        <w:tc>
          <w:tcPr>
            <w:tcW w:w="3240" w:type="dxa"/>
            <w:tcMar>
              <w:top w:w="65" w:type="dxa"/>
              <w:left w:w="70" w:type="dxa"/>
              <w:bottom w:w="65" w:type="dxa"/>
              <w:right w:w="70" w:type="dxa"/>
              <w:start w:w="68" w:type="dxa"/>
              <w:end w:w="68" w:type="dxa"/>
            </w:tcMar>
            <w:vAlign w:val="center"/>
          </w:tcPr>
          <w:p w14:paraId="56B1D13F">
            <w:pPr>
              <w:spacing w:after="0" w:line="240" w:lineRule="auto" w:before="0"/>
            </w:pPr>
            <w:r>
              <w:rPr>
                <w:rFonts w:ascii="Times New Roman" w:hAnsi="Times New Roman" w:eastAsia="Times New Roman" w:cs="Times New Roman"/>
                <w:b w:val="0"/>
                <w:sz w:val="16"/>
              </w:rPr>
              <w:t>The semantic mechanism remains primary under the dominant-mechanism rule; boundary records the grounding interaction.</w:t>
            </w:r>
          </w:p>
        </w:tc>
      </w:tr>
      <w:tr w14:paraId="346BC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440" w:type="dxa"/>
            <w:tcMar>
              <w:top w:w="65" w:type="dxa"/>
              <w:left w:w="70" w:type="dxa"/>
              <w:bottom w:w="65" w:type="dxa"/>
              <w:right w:w="70" w:type="dxa"/>
              <w:start w:w="68" w:type="dxa"/>
              <w:end w:w="68" w:type="dxa"/>
            </w:tcMar>
            <w:vAlign w:val="center"/>
          </w:tcPr>
          <w:p w14:paraId="6653DCD3">
            <w:pPr>
              <w:spacing w:after="0" w:line="240" w:lineRule="auto" w:before="0"/>
            </w:pPr>
            <w:r>
              <w:rPr>
                <w:rFonts w:ascii="Times New Roman" w:hAnsi="Times New Roman" w:eastAsia="Times New Roman" w:cs="Times New Roman"/>
                <w:b w:val="0"/>
                <w:sz w:val="16"/>
              </w:rPr>
              <w:t>no_failure</w:t>
            </w:r>
          </w:p>
        </w:tc>
        <w:tc>
          <w:tcPr>
            <w:tcW w:w="3960" w:type="dxa"/>
            <w:tcMar>
              <w:top w:w="65" w:type="dxa"/>
              <w:left w:w="70" w:type="dxa"/>
              <w:bottom w:w="65" w:type="dxa"/>
              <w:right w:w="70" w:type="dxa"/>
              <w:start w:w="68" w:type="dxa"/>
              <w:end w:w="68" w:type="dxa"/>
            </w:tcMar>
            <w:vAlign w:val="center"/>
          </w:tcPr>
          <w:p w14:paraId="4E950C00">
            <w:pPr>
              <w:spacing w:after="0" w:line="240" w:lineRule="auto" w:before="0"/>
            </w:pPr>
            <w:r>
              <w:rPr>
                <w:rFonts w:ascii="Times New Roman" w:hAnsi="Times New Roman" w:eastAsia="Times New Roman" w:cs="Times New Roman"/>
                <w:b w:val="0"/>
                <w:sz w:val="16"/>
              </w:rPr>
              <w:t>No evidence-based semantic or hallucination-reference failure is present.</w:t>
            </w:r>
          </w:p>
        </w:tc>
        <w:tc>
          <w:tcPr>
            <w:tcW w:w="3600" w:type="dxa"/>
            <w:tcMar>
              <w:top w:w="65" w:type="dxa"/>
              <w:left w:w="70" w:type="dxa"/>
              <w:bottom w:w="65" w:type="dxa"/>
              <w:right w:w="70" w:type="dxa"/>
              <w:start w:w="68" w:type="dxa"/>
              <w:end w:w="68" w:type="dxa"/>
            </w:tcMar>
            <w:vAlign w:val="center"/>
          </w:tcPr>
          <w:p w14:paraId="3330C2ED">
            <w:pPr>
              <w:spacing w:after="0" w:line="240" w:lineRule="auto" w:before="0"/>
            </w:pPr>
            <w:r>
              <w:rPr>
                <w:rFonts w:ascii="Times New Roman" w:hAnsi="Times New Roman" w:eastAsia="Times New Roman" w:cs="Times New Roman"/>
                <w:b w:val="0"/>
                <w:sz w:val="16"/>
              </w:rPr>
              <w:t>NONE only.</w:t>
            </w:r>
          </w:p>
        </w:tc>
        <w:tc>
          <w:tcPr>
            <w:tcW w:w="3240" w:type="dxa"/>
            <w:tcMar>
              <w:top w:w="65" w:type="dxa"/>
              <w:left w:w="70" w:type="dxa"/>
              <w:bottom w:w="65" w:type="dxa"/>
              <w:right w:w="70" w:type="dxa"/>
              <w:start w:w="68" w:type="dxa"/>
              <w:end w:w="68" w:type="dxa"/>
            </w:tcMar>
            <w:vAlign w:val="center"/>
          </w:tcPr>
          <w:p w14:paraId="140C81A1">
            <w:pPr>
              <w:spacing w:after="0" w:line="240" w:lineRule="auto" w:before="0"/>
            </w:pPr>
            <w:r>
              <w:rPr>
                <w:rFonts w:ascii="Times New Roman" w:hAnsi="Times New Roman" w:eastAsia="Times New Roman" w:cs="Times New Roman"/>
                <w:b w:val="0"/>
                <w:sz w:val="16"/>
              </w:rPr>
              <w:t>Severity 0 and no secondary label.</w:t>
            </w:r>
          </w:p>
        </w:tc>
      </w:tr>
    </w:tbl>
    <w:p w14:paraId="63A7D0CE">
      <w:pPr>
        <w:pStyle w:val="3"/>
        <w:keepNext/>
        <w:keepLines/>
        <w:pageBreakBefore w:val="0"/>
        <w:spacing w:before="140" w:after="80"/>
      </w:pPr>
      <w:r>
        <w:rPr>
          <w:rFonts w:ascii="Times New Roman" w:hAnsi="Times New Roman" w:eastAsia="Times New Roman"/>
          <w:color w:val="000000"/>
        </w:rPr>
        <w:t>S2.3 Severity rubric</w:t>
      </w:r>
    </w:p>
    <w:p>
      <w:pPr>
        <w:jc w:val="both"/>
      </w:pPr>
      <w:r>
        <w:rPr>
          <w:rFonts w:ascii="Times New Roman" w:hAnsi="Times New Roman"/>
          <w:b/>
          <w:sz w:val="20"/>
        </w:rPr>
        <w:t>Measurement note.</w:t>
      </w:r>
      <w:r>
        <w:rPr>
          <w:rFonts w:ascii="Times New Roman" w:hAnsi="Times New Roman"/>
          <w:sz w:val="20"/>
        </w:rPr>
        <w:t xml:space="preserve"> Severity 0 is reserved by rule for no_failure. Severity 1, 2 and 3 are ordered functional-impact anchors; the manual does not assert equal distances between those categories or independent observation of user harm. Consequently the full-sample ordinal agreement, the majority-failure restricted agreement and predictive QWK/within-one accuracy have different denominators and assumptions.</w:t>
      </w:r>
    </w:p>
    <w:p w14:paraId="5F137BFC">
      <w:pPr>
        <w:pStyle w:val="16"/>
        <w:keepNext/>
        <w:keepLines/>
        <w:spacing w:before="120" w:after="60"/>
        <w:jc w:val="left"/>
      </w:pPr>
      <w:r>
        <w:t>Table S7. Severity anchors.</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2530"/>
        <w:gridCol w:w="2530"/>
        <w:gridCol w:w="2530"/>
        <w:gridCol w:w="2530"/>
      </w:tblGrid>
      <w:tr w14:paraId="77A28EF5">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tblHeader w:val="true"/>
          <w:jc w:val="center"/>
          <w:tblHeader w:val="true"/>
        </w:trPr>
        <w:tc>
          <w:tcPr>
            <w:tcW w:w="792" w:type="dxa"/>
            <w:tcMar>
              <w:top w:w="65" w:type="dxa"/>
              <w:left w:w="70" w:type="dxa"/>
              <w:bottom w:w="65" w:type="dxa"/>
              <w:right w:w="70" w:type="dxa"/>
              <w:start w:w="68" w:type="dxa"/>
              <w:end w:w="68" w:type="dxa"/>
            </w:tcMar>
            <w:vAlign w:val="center"/>
            <w:shd w:val="clear" w:color="auto" w:fill="E8F0F8"/>
          </w:tcPr>
          <w:p w14:paraId="1537AA1A">
            <w:pPr>
              <w:spacing w:before="0" w:after="0" w:line="240" w:lineRule="auto"/>
              <w:jc w:val="center"/>
            </w:pPr>
            <w:r>
              <w:rPr>
                <w:rFonts w:ascii="Times New Roman" w:hAnsi="Times New Roman" w:eastAsia="Times New Roman" w:cs="Times New Roman"/>
                <w:b/>
                <w:color w:val="1E364D"/>
                <w:sz w:val="16"/>
              </w:rPr>
              <w:t>Score</w:t>
            </w:r>
          </w:p>
        </w:tc>
        <w:tc>
          <w:tcPr>
            <w:tcW w:w="1080" w:type="dxa"/>
            <w:tcMar>
              <w:top w:w="65" w:type="dxa"/>
              <w:left w:w="70" w:type="dxa"/>
              <w:bottom w:w="65" w:type="dxa"/>
              <w:right w:w="70" w:type="dxa"/>
              <w:start w:w="68" w:type="dxa"/>
              <w:end w:w="68" w:type="dxa"/>
            </w:tcMar>
            <w:vAlign w:val="center"/>
            <w:shd w:val="clear" w:color="auto" w:fill="E8F0F8"/>
          </w:tcPr>
          <w:p w14:paraId="1BCC6BC9">
            <w:pPr>
              <w:spacing w:before="0" w:after="0" w:line="240" w:lineRule="auto"/>
              <w:jc w:val="center"/>
            </w:pPr>
            <w:r>
              <w:rPr>
                <w:rFonts w:ascii="Times New Roman" w:hAnsi="Times New Roman" w:eastAsia="Times New Roman" w:cs="Times New Roman"/>
                <w:b/>
                <w:color w:val="1E364D"/>
                <w:sz w:val="16"/>
              </w:rPr>
              <w:t>Level</w:t>
            </w:r>
          </w:p>
        </w:tc>
        <w:tc>
          <w:tcPr>
            <w:tcW w:w="5040" w:type="dxa"/>
            <w:tcMar>
              <w:top w:w="65" w:type="dxa"/>
              <w:left w:w="70" w:type="dxa"/>
              <w:bottom w:w="65" w:type="dxa"/>
              <w:right w:w="70" w:type="dxa"/>
              <w:start w:w="68" w:type="dxa"/>
              <w:end w:w="68" w:type="dxa"/>
            </w:tcMar>
            <w:vAlign w:val="center"/>
            <w:shd w:val="clear" w:color="auto" w:fill="E8F0F8"/>
          </w:tcPr>
          <w:p w14:paraId="2D1E3330">
            <w:pPr>
              <w:spacing w:before="0" w:after="0" w:line="240" w:lineRule="auto"/>
              <w:jc w:val="center"/>
            </w:pPr>
            <w:r>
              <w:rPr>
                <w:rFonts w:ascii="Times New Roman" w:hAnsi="Times New Roman" w:eastAsia="Times New Roman" w:cs="Times New Roman"/>
                <w:b/>
                <w:color w:val="1E364D"/>
                <w:sz w:val="16"/>
              </w:rPr>
              <w:t>Operational definition</w:t>
            </w:r>
          </w:p>
        </w:tc>
        <w:tc>
          <w:tcPr>
            <w:tcW w:w="3672" w:type="dxa"/>
            <w:tcMar>
              <w:top w:w="65" w:type="dxa"/>
              <w:left w:w="70" w:type="dxa"/>
              <w:bottom w:w="65" w:type="dxa"/>
              <w:right w:w="70" w:type="dxa"/>
              <w:start w:w="68" w:type="dxa"/>
              <w:end w:w="68" w:type="dxa"/>
            </w:tcMar>
            <w:vAlign w:val="center"/>
            <w:shd w:val="clear" w:color="auto" w:fill="E8F0F8"/>
          </w:tcPr>
          <w:p w14:paraId="46F06ABF">
            <w:pPr>
              <w:spacing w:before="0" w:after="0" w:line="240" w:lineRule="auto"/>
              <w:jc w:val="center"/>
            </w:pPr>
            <w:r>
              <w:rPr>
                <w:rFonts w:ascii="Times New Roman" w:hAnsi="Times New Roman" w:eastAsia="Times New Roman" w:cs="Times New Roman"/>
                <w:b/>
                <w:color w:val="1E364D"/>
                <w:sz w:val="16"/>
              </w:rPr>
              <w:t>Guidance</w:t>
            </w:r>
          </w:p>
        </w:tc>
      </w:tr>
      <w:tr w14:paraId="2869AC44">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792" w:type="dxa"/>
            <w:tcMar>
              <w:top w:w="65" w:type="dxa"/>
              <w:left w:w="70" w:type="dxa"/>
              <w:bottom w:w="65" w:type="dxa"/>
              <w:right w:w="70" w:type="dxa"/>
              <w:start w:w="68" w:type="dxa"/>
              <w:end w:w="68" w:type="dxa"/>
            </w:tcMar>
            <w:vAlign w:val="center"/>
          </w:tcPr>
          <w:p w14:paraId="79392A47">
            <w:pPr>
              <w:spacing w:before="0" w:after="0" w:line="240" w:lineRule="auto"/>
              <w:jc w:val="left"/>
            </w:pPr>
            <w:r>
              <w:rPr>
                <w:rFonts w:ascii="Times New Roman" w:hAnsi="Times New Roman" w:eastAsia="Times New Roman" w:cs="Times New Roman"/>
                <w:b w:val="0"/>
                <w:color w:val="000000"/>
                <w:sz w:val="16"/>
              </w:rPr>
              <w:t>0</w:t>
            </w:r>
          </w:p>
        </w:tc>
        <w:tc>
          <w:tcPr>
            <w:tcW w:w="1080" w:type="dxa"/>
            <w:tcMar>
              <w:top w:w="65" w:type="dxa"/>
              <w:left w:w="70" w:type="dxa"/>
              <w:bottom w:w="65" w:type="dxa"/>
              <w:right w:w="70" w:type="dxa"/>
              <w:start w:w="68" w:type="dxa"/>
              <w:end w:w="68" w:type="dxa"/>
            </w:tcMar>
            <w:vAlign w:val="center"/>
          </w:tcPr>
          <w:p w14:paraId="04F0E72E">
            <w:pPr>
              <w:spacing w:before="0" w:after="0" w:line="240" w:lineRule="auto"/>
              <w:jc w:val="left"/>
            </w:pPr>
            <w:r>
              <w:rPr>
                <w:rFonts w:ascii="Times New Roman" w:hAnsi="Times New Roman" w:eastAsia="Times New Roman" w:cs="Times New Roman"/>
                <w:b w:val="0"/>
                <w:color w:val="000000"/>
                <w:sz w:val="16"/>
              </w:rPr>
              <w:t>None</w:t>
            </w:r>
          </w:p>
        </w:tc>
        <w:tc>
          <w:tcPr>
            <w:tcW w:w="5040" w:type="dxa"/>
            <w:tcMar>
              <w:top w:w="65" w:type="dxa"/>
              <w:left w:w="70" w:type="dxa"/>
              <w:bottom w:w="65" w:type="dxa"/>
              <w:right w:w="70" w:type="dxa"/>
              <w:start w:w="68" w:type="dxa"/>
              <w:end w:w="68" w:type="dxa"/>
            </w:tcMar>
            <w:vAlign w:val="center"/>
          </w:tcPr>
          <w:p w14:paraId="16CDEB3D">
            <w:pPr>
              <w:spacing w:before="0" w:after="0" w:line="240" w:lineRule="auto"/>
              <w:jc w:val="left"/>
            </w:pPr>
            <w:r>
              <w:rPr>
                <w:rFonts w:ascii="Times New Roman" w:hAnsi="Times New Roman" w:eastAsia="Times New Roman" w:cs="Times New Roman"/>
                <w:b w:val="0"/>
                <w:color w:val="000000"/>
                <w:sz w:val="16"/>
              </w:rPr>
              <w:t>No identifiable failure.</w:t>
            </w:r>
          </w:p>
        </w:tc>
        <w:tc>
          <w:tcPr>
            <w:tcW w:w="3672" w:type="dxa"/>
            <w:tcMar>
              <w:top w:w="65" w:type="dxa"/>
              <w:left w:w="70" w:type="dxa"/>
              <w:bottom w:w="65" w:type="dxa"/>
              <w:right w:w="70" w:type="dxa"/>
              <w:start w:w="68" w:type="dxa"/>
              <w:end w:w="68" w:type="dxa"/>
            </w:tcMar>
            <w:vAlign w:val="center"/>
          </w:tcPr>
          <w:p w14:paraId="6EAE9247">
            <w:pPr>
              <w:spacing w:before="0" w:after="0" w:line="240" w:lineRule="auto"/>
              <w:jc w:val="left"/>
            </w:pPr>
            <w:r>
              <w:rPr>
                <w:rFonts w:ascii="Times New Roman" w:hAnsi="Times New Roman" w:eastAsia="Times New Roman" w:cs="Times New Roman"/>
                <w:b w:val="0"/>
                <w:color w:val="000000"/>
                <w:sz w:val="16"/>
              </w:rPr>
              <w:t>Use only when no evidence-based disruption is present.</w:t>
            </w:r>
          </w:p>
        </w:tc>
      </w:tr>
      <w:tr w14:paraId="79D4CD24">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792" w:type="dxa"/>
            <w:tcMar>
              <w:top w:w="65" w:type="dxa"/>
              <w:left w:w="70" w:type="dxa"/>
              <w:bottom w:w="65" w:type="dxa"/>
              <w:right w:w="70" w:type="dxa"/>
              <w:start w:w="68" w:type="dxa"/>
              <w:end w:w="68" w:type="dxa"/>
            </w:tcMar>
            <w:vAlign w:val="center"/>
          </w:tcPr>
          <w:p w14:paraId="62564DC7">
            <w:pPr>
              <w:spacing w:before="0" w:after="0" w:line="240" w:lineRule="auto"/>
              <w:jc w:val="left"/>
            </w:pPr>
            <w:r>
              <w:rPr>
                <w:rFonts w:ascii="Times New Roman" w:hAnsi="Times New Roman" w:eastAsia="Times New Roman" w:cs="Times New Roman"/>
                <w:b w:val="0"/>
                <w:color w:val="000000"/>
                <w:sz w:val="16"/>
              </w:rPr>
              <w:t>1</w:t>
            </w:r>
          </w:p>
        </w:tc>
        <w:tc>
          <w:tcPr>
            <w:tcW w:w="1080" w:type="dxa"/>
            <w:tcMar>
              <w:top w:w="65" w:type="dxa"/>
              <w:left w:w="70" w:type="dxa"/>
              <w:bottom w:w="65" w:type="dxa"/>
              <w:right w:w="70" w:type="dxa"/>
              <w:start w:w="68" w:type="dxa"/>
              <w:end w:w="68" w:type="dxa"/>
            </w:tcMar>
            <w:vAlign w:val="center"/>
          </w:tcPr>
          <w:p w14:paraId="083D79E1">
            <w:pPr>
              <w:spacing w:before="0" w:after="0" w:line="240" w:lineRule="auto"/>
              <w:jc w:val="left"/>
            </w:pPr>
            <w:r>
              <w:rPr>
                <w:rFonts w:ascii="Times New Roman" w:hAnsi="Times New Roman" w:eastAsia="Times New Roman" w:cs="Times New Roman"/>
                <w:b w:val="0"/>
                <w:color w:val="000000"/>
                <w:sz w:val="16"/>
              </w:rPr>
              <w:t>Minor</w:t>
            </w:r>
          </w:p>
        </w:tc>
        <w:tc>
          <w:tcPr>
            <w:tcW w:w="5040" w:type="dxa"/>
            <w:tcMar>
              <w:top w:w="65" w:type="dxa"/>
              <w:left w:w="70" w:type="dxa"/>
              <w:bottom w:w="65" w:type="dxa"/>
              <w:right w:w="70" w:type="dxa"/>
              <w:start w:w="68" w:type="dxa"/>
              <w:end w:w="68" w:type="dxa"/>
            </w:tcMar>
            <w:vAlign w:val="center"/>
          </w:tcPr>
          <w:p w14:paraId="29B6A216">
            <w:pPr>
              <w:spacing w:before="0" w:after="0" w:line="240" w:lineRule="auto"/>
              <w:jc w:val="left"/>
            </w:pPr>
            <w:r>
              <w:rPr>
                <w:rFonts w:ascii="Times New Roman" w:hAnsi="Times New Roman" w:eastAsia="Times New Roman" w:cs="Times New Roman"/>
                <w:b w:val="0"/>
                <w:color w:val="000000"/>
                <w:sz w:val="16"/>
              </w:rPr>
              <w:t>Localised disruption with limited effect on the main answer.</w:t>
            </w:r>
          </w:p>
        </w:tc>
        <w:tc>
          <w:tcPr>
            <w:tcW w:w="3672" w:type="dxa"/>
            <w:tcMar>
              <w:top w:w="65" w:type="dxa"/>
              <w:left w:w="70" w:type="dxa"/>
              <w:bottom w:w="65" w:type="dxa"/>
              <w:right w:w="70" w:type="dxa"/>
              <w:start w:w="68" w:type="dxa"/>
              <w:end w:w="68" w:type="dxa"/>
            </w:tcMar>
            <w:vAlign w:val="center"/>
          </w:tcPr>
          <w:p w14:paraId="3FD5B6B7">
            <w:pPr>
              <w:spacing w:before="0" w:after="0" w:line="240" w:lineRule="auto"/>
              <w:jc w:val="left"/>
            </w:pPr>
            <w:r>
              <w:rPr>
                <w:rFonts w:ascii="Times New Roman" w:hAnsi="Times New Roman" w:eastAsia="Times New Roman" w:cs="Times New Roman"/>
                <w:b w:val="0"/>
                <w:color w:val="000000"/>
                <w:sz w:val="16"/>
              </w:rPr>
              <w:t>Response remains mostly interpretable and task-usable.</w:t>
            </w:r>
          </w:p>
        </w:tc>
      </w:tr>
      <w:tr w14:paraId="030C062D">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792" w:type="dxa"/>
            <w:tcMar>
              <w:top w:w="65" w:type="dxa"/>
              <w:left w:w="70" w:type="dxa"/>
              <w:bottom w:w="65" w:type="dxa"/>
              <w:right w:w="70" w:type="dxa"/>
              <w:start w:w="68" w:type="dxa"/>
              <w:end w:w="68" w:type="dxa"/>
            </w:tcMar>
            <w:vAlign w:val="center"/>
          </w:tcPr>
          <w:p w14:paraId="2E112DC6">
            <w:pPr>
              <w:spacing w:before="0" w:after="0" w:line="240" w:lineRule="auto"/>
              <w:jc w:val="left"/>
            </w:pPr>
            <w:r>
              <w:rPr>
                <w:rFonts w:ascii="Times New Roman" w:hAnsi="Times New Roman" w:eastAsia="Times New Roman" w:cs="Times New Roman"/>
                <w:b w:val="0"/>
                <w:color w:val="000000"/>
                <w:sz w:val="16"/>
              </w:rPr>
              <w:t>2</w:t>
            </w:r>
          </w:p>
        </w:tc>
        <w:tc>
          <w:tcPr>
            <w:tcW w:w="1080" w:type="dxa"/>
            <w:tcMar>
              <w:top w:w="65" w:type="dxa"/>
              <w:left w:w="70" w:type="dxa"/>
              <w:bottom w:w="65" w:type="dxa"/>
              <w:right w:w="70" w:type="dxa"/>
              <w:start w:w="68" w:type="dxa"/>
              <w:end w:w="68" w:type="dxa"/>
            </w:tcMar>
            <w:vAlign w:val="center"/>
          </w:tcPr>
          <w:p w14:paraId="0B0B9077">
            <w:pPr>
              <w:spacing w:before="0" w:after="0" w:line="240" w:lineRule="auto"/>
              <w:jc w:val="left"/>
            </w:pPr>
            <w:r>
              <w:rPr>
                <w:rFonts w:ascii="Times New Roman" w:hAnsi="Times New Roman" w:eastAsia="Times New Roman" w:cs="Times New Roman"/>
                <w:b w:val="0"/>
                <w:color w:val="000000"/>
                <w:sz w:val="16"/>
              </w:rPr>
              <w:t>Moderate</w:t>
            </w:r>
          </w:p>
        </w:tc>
        <w:tc>
          <w:tcPr>
            <w:tcW w:w="5040" w:type="dxa"/>
            <w:tcMar>
              <w:top w:w="65" w:type="dxa"/>
              <w:left w:w="70" w:type="dxa"/>
              <w:bottom w:w="65" w:type="dxa"/>
              <w:right w:w="70" w:type="dxa"/>
              <w:start w:w="68" w:type="dxa"/>
              <w:end w:w="68" w:type="dxa"/>
            </w:tcMar>
            <w:vAlign w:val="center"/>
          </w:tcPr>
          <w:p w14:paraId="2F154C3B">
            <w:pPr>
              <w:spacing w:before="0" w:after="0" w:line="240" w:lineRule="auto"/>
              <w:jc w:val="left"/>
            </w:pPr>
            <w:r>
              <w:rPr>
                <w:rFonts w:ascii="Times New Roman" w:hAnsi="Times New Roman" w:eastAsia="Times New Roman" w:cs="Times New Roman"/>
                <w:b w:val="0"/>
                <w:color w:val="000000"/>
                <w:sz w:val="16"/>
              </w:rPr>
              <w:t>Failure affects an important claim, relation, inference, entity link, or task-relevant component.</w:t>
            </w:r>
          </w:p>
        </w:tc>
        <w:tc>
          <w:tcPr>
            <w:tcW w:w="3672" w:type="dxa"/>
            <w:tcMar>
              <w:top w:w="65" w:type="dxa"/>
              <w:left w:w="70" w:type="dxa"/>
              <w:bottom w:w="65" w:type="dxa"/>
              <w:right w:w="70" w:type="dxa"/>
              <w:start w:w="68" w:type="dxa"/>
              <w:end w:w="68" w:type="dxa"/>
            </w:tcMar>
            <w:vAlign w:val="center"/>
          </w:tcPr>
          <w:p w14:paraId="73AD4A38">
            <w:pPr>
              <w:spacing w:before="0" w:after="0" w:line="240" w:lineRule="auto"/>
              <w:jc w:val="left"/>
            </w:pPr>
            <w:r>
              <w:rPr>
                <w:rFonts w:ascii="Times New Roman" w:hAnsi="Times New Roman" w:eastAsia="Times New Roman" w:cs="Times New Roman"/>
                <w:b w:val="0"/>
                <w:color w:val="000000"/>
                <w:sz w:val="16"/>
              </w:rPr>
              <w:t>Interpretation or task fulfilment is materially weakened.</w:t>
            </w:r>
          </w:p>
        </w:tc>
      </w:tr>
      <w:tr w14:paraId="6B129305">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792" w:type="dxa"/>
            <w:tcMar>
              <w:top w:w="65" w:type="dxa"/>
              <w:left w:w="70" w:type="dxa"/>
              <w:bottom w:w="65" w:type="dxa"/>
              <w:right w:w="70" w:type="dxa"/>
              <w:start w:w="68" w:type="dxa"/>
              <w:end w:w="68" w:type="dxa"/>
            </w:tcMar>
            <w:vAlign w:val="center"/>
          </w:tcPr>
          <w:p w14:paraId="2C816FBD">
            <w:pPr>
              <w:spacing w:before="0" w:after="0" w:line="240" w:lineRule="auto"/>
              <w:jc w:val="left"/>
            </w:pPr>
            <w:r>
              <w:rPr>
                <w:rFonts w:ascii="Times New Roman" w:hAnsi="Times New Roman" w:eastAsia="Times New Roman" w:cs="Times New Roman"/>
                <w:b w:val="0"/>
                <w:color w:val="000000"/>
                <w:sz w:val="16"/>
              </w:rPr>
              <w:t>3</w:t>
            </w:r>
          </w:p>
        </w:tc>
        <w:tc>
          <w:tcPr>
            <w:tcW w:w="1080" w:type="dxa"/>
            <w:tcMar>
              <w:top w:w="65" w:type="dxa"/>
              <w:left w:w="70" w:type="dxa"/>
              <w:bottom w:w="65" w:type="dxa"/>
              <w:right w:w="70" w:type="dxa"/>
              <w:start w:w="68" w:type="dxa"/>
              <w:end w:w="68" w:type="dxa"/>
            </w:tcMar>
            <w:vAlign w:val="center"/>
          </w:tcPr>
          <w:p w14:paraId="5CF21473">
            <w:pPr>
              <w:spacing w:before="0" w:after="0" w:line="240" w:lineRule="auto"/>
              <w:jc w:val="left"/>
            </w:pPr>
            <w:r>
              <w:rPr>
                <w:rFonts w:ascii="Times New Roman" w:hAnsi="Times New Roman" w:eastAsia="Times New Roman" w:cs="Times New Roman"/>
                <w:b w:val="0"/>
                <w:color w:val="000000"/>
                <w:sz w:val="16"/>
              </w:rPr>
              <w:t>Severe</w:t>
            </w:r>
          </w:p>
        </w:tc>
        <w:tc>
          <w:tcPr>
            <w:tcW w:w="5040" w:type="dxa"/>
            <w:tcMar>
              <w:top w:w="65" w:type="dxa"/>
              <w:left w:w="70" w:type="dxa"/>
              <w:bottom w:w="65" w:type="dxa"/>
              <w:right w:w="70" w:type="dxa"/>
              <w:start w:w="68" w:type="dxa"/>
              <w:end w:w="68" w:type="dxa"/>
            </w:tcMar>
            <w:vAlign w:val="center"/>
          </w:tcPr>
          <w:p w14:paraId="08A52DB5">
            <w:pPr>
              <w:spacing w:before="0" w:after="0" w:line="240" w:lineRule="auto"/>
              <w:jc w:val="left"/>
            </w:pPr>
            <w:r>
              <w:rPr>
                <w:rFonts w:ascii="Times New Roman" w:hAnsi="Times New Roman" w:eastAsia="Times New Roman" w:cs="Times New Roman"/>
                <w:b w:val="0"/>
                <w:color w:val="000000"/>
                <w:sz w:val="16"/>
              </w:rPr>
              <w:t>Failure undermines the main answer, reverses meaning, contradicts source/prompt, or makes the output unreliable.</w:t>
            </w:r>
          </w:p>
        </w:tc>
        <w:tc>
          <w:tcPr>
            <w:tcW w:w="3672" w:type="dxa"/>
            <w:tcMar>
              <w:top w:w="65" w:type="dxa"/>
              <w:left w:w="70" w:type="dxa"/>
              <w:bottom w:w="65" w:type="dxa"/>
              <w:right w:w="70" w:type="dxa"/>
              <w:start w:w="68" w:type="dxa"/>
              <w:end w:w="68" w:type="dxa"/>
            </w:tcMar>
            <w:vAlign w:val="center"/>
          </w:tcPr>
          <w:p w14:paraId="3E73F9B7">
            <w:pPr>
              <w:spacing w:before="0" w:after="0" w:line="240" w:lineRule="auto"/>
              <w:jc w:val="left"/>
            </w:pPr>
            <w:r>
              <w:rPr>
                <w:rFonts w:ascii="Times New Roman" w:hAnsi="Times New Roman" w:eastAsia="Times New Roman" w:cs="Times New Roman"/>
                <w:b w:val="0"/>
                <w:color w:val="000000"/>
                <w:sz w:val="16"/>
              </w:rPr>
              <w:t>Response is misleading, internally incompatible, or unusable for the intended task.</w:t>
            </w:r>
          </w:p>
        </w:tc>
      </w:tr>
    </w:tbl>
    <w:p w14:paraId="4E9CB415">
      <w:pPr>
        <w:pStyle w:val="3"/>
        <w:keepNext/>
        <w:keepLines/>
        <w:pageBreakBefore w:val="0"/>
        <w:spacing w:before="140" w:after="80"/>
      </w:pPr>
      <w:r>
        <w:t>S2.4 Annotator training and calibration</w:t>
      </w:r>
    </w:p>
    <w:p>
      <w:pPr>
        <w:keepNext/>
      </w:pPr>
      <w:r>
        <w:t>Table S8. Training, calibration, independent main-round annotation, and project-lead role.</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3373"/>
        <w:gridCol w:w="3373"/>
        <w:gridCol w:w="3373"/>
      </w:tblGrid>
      <w:tr w14:paraId="33D330F1">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tblHeader w:val="true"/>
          <w:jc w:val="center"/>
          <w:tblHeader w:val="true"/>
        </w:trPr>
        <w:tc>
          <w:tcPr>
            <w:tcW w:w="1656" w:type="dxa"/>
            <w:tcMar>
              <w:top w:w="65" w:type="dxa"/>
              <w:left w:w="70" w:type="dxa"/>
              <w:bottom w:w="65" w:type="dxa"/>
              <w:right w:w="70" w:type="dxa"/>
              <w:start w:w="68" w:type="dxa"/>
              <w:end w:w="68" w:type="dxa"/>
            </w:tcMar>
            <w:vAlign w:val="center"/>
            <w:shd w:val="clear" w:color="auto" w:fill="E8F0F8"/>
          </w:tcPr>
          <w:p w14:paraId="3DD5CDFF">
            <w:pPr>
              <w:spacing w:before="0" w:after="0" w:line="240" w:lineRule="auto"/>
              <w:jc w:val="center"/>
            </w:pPr>
            <w:r>
              <w:rPr>
                <w:rFonts w:ascii="Times New Roman" w:hAnsi="Times New Roman" w:eastAsia="Times New Roman" w:cs="Times New Roman"/>
                <w:b/>
                <w:color w:val="1E364D"/>
                <w:sz w:val="16"/>
              </w:rPr>
              <w:t>Component</w:t>
            </w:r>
          </w:p>
        </w:tc>
        <w:tc>
          <w:tcPr>
            <w:tcW w:w="4464" w:type="dxa"/>
            <w:tcMar>
              <w:top w:w="65" w:type="dxa"/>
              <w:left w:w="70" w:type="dxa"/>
              <w:bottom w:w="65" w:type="dxa"/>
              <w:right w:w="70" w:type="dxa"/>
              <w:start w:w="68" w:type="dxa"/>
              <w:end w:w="68" w:type="dxa"/>
            </w:tcMar>
            <w:vAlign w:val="center"/>
            <w:shd w:val="clear" w:color="auto" w:fill="E8F0F8"/>
          </w:tcPr>
          <w:p w14:paraId="79FC2963">
            <w:pPr>
              <w:spacing w:before="0" w:after="0" w:line="240" w:lineRule="auto"/>
              <w:jc w:val="center"/>
            </w:pPr>
            <w:r>
              <w:rPr>
                <w:rFonts w:ascii="Times New Roman" w:hAnsi="Times New Roman" w:eastAsia="Times New Roman" w:cs="Times New Roman"/>
                <w:b/>
                <w:color w:val="1E364D"/>
                <w:sz w:val="16"/>
              </w:rPr>
              <w:t>Implemented procedure</w:t>
            </w:r>
          </w:p>
        </w:tc>
        <w:tc>
          <w:tcPr>
            <w:tcW w:w="3672" w:type="dxa"/>
            <w:tcMar>
              <w:top w:w="65" w:type="dxa"/>
              <w:left w:w="70" w:type="dxa"/>
              <w:bottom w:w="65" w:type="dxa"/>
              <w:right w:w="70" w:type="dxa"/>
              <w:start w:w="68" w:type="dxa"/>
              <w:end w:w="68" w:type="dxa"/>
            </w:tcMar>
            <w:vAlign w:val="center"/>
            <w:shd w:val="clear" w:color="auto" w:fill="E8F0F8"/>
          </w:tcPr>
          <w:p w14:paraId="7DDA5385">
            <w:pPr>
              <w:spacing w:before="0" w:after="0" w:line="240" w:lineRule="auto"/>
              <w:jc w:val="center"/>
            </w:pPr>
            <w:r>
              <w:rPr>
                <w:rFonts w:ascii="Times New Roman" w:hAnsi="Times New Roman" w:eastAsia="Times New Roman" w:cs="Times New Roman"/>
                <w:b/>
                <w:color w:val="1E364D"/>
                <w:sz w:val="16"/>
              </w:rPr>
              <w:t>Analytic consequence</w:t>
            </w:r>
          </w:p>
        </w:tc>
      </w:tr>
      <w:tr w14:paraId="3D88C1C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3373" w:type="dxa"/>
            <w:vAlign w:val="center"/>
            <w:tcMar>
              <w:top w:w="65" w:type="dxa"/>
              <w:start w:w="68" w:type="dxa"/>
              <w:bottom w:w="65" w:type="dxa"/>
              <w:end w:w="68" w:type="dxa"/>
            </w:tcMar>
          </w:tcPr>
          <w:p w14:paraId="663885C6">
            <w:pPr>
              <w:spacing w:before="0" w:after="0" w:line="240" w:lineRule="auto"/>
            </w:pPr>
            <w:r>
              <w:rPr>
                <w:rFonts w:ascii="Times New Roman" w:hAnsi="Times New Roman" w:eastAsia="Times New Roman" w:cs="Times New Roman"/>
                <w:b w:val="0"/>
                <w:sz w:val="16"/>
              </w:rPr>
              <w:t>Annotators</w:t>
            </w:r>
          </w:p>
        </w:tc>
        <w:tc>
          <w:tcPr>
            <w:tcW w:w="3373" w:type="dxa"/>
            <w:vAlign w:val="center"/>
            <w:tcMar>
              <w:top w:w="65" w:type="dxa"/>
              <w:start w:w="68" w:type="dxa"/>
              <w:bottom w:w="65" w:type="dxa"/>
              <w:end w:w="68" w:type="dxa"/>
            </w:tcMar>
          </w:tcPr>
          <w:p w14:paraId="24B9BF1D">
            <w:pPr>
              <w:spacing w:before="0" w:after="0" w:line="240" w:lineRule="auto"/>
            </w:pPr>
            <w:r>
              <w:rPr>
                <w:rFonts w:ascii="Times New Roman" w:hAnsi="Times New Roman" w:eastAsia="Times New Roman" w:cs="Times New Roman"/>
                <w:b w:val="0"/>
                <w:sz w:val="16"/>
              </w:rPr>
              <w:t>Three named linguistics specialists; separate files, different row orders, no peer-label exposure, and no checkpoint/architecture or target-outcome fields.</w:t>
            </w:r>
          </w:p>
        </w:tc>
        <w:tc>
          <w:tcPr>
            <w:tcW w:w="3373" w:type="dxa"/>
            <w:vAlign w:val="center"/>
            <w:tcMar>
              <w:top w:w="65" w:type="dxa"/>
              <w:start w:w="68" w:type="dxa"/>
              <w:bottom w:w="65" w:type="dxa"/>
              <w:end w:w="68" w:type="dxa"/>
            </w:tcMar>
          </w:tcPr>
          <w:p w14:paraId="740C3641">
            <w:pPr>
              <w:spacing w:before="0" w:after="0" w:line="240" w:lineRule="auto"/>
            </w:pPr>
            <w:r>
              <w:rPr>
                <w:rFonts w:ascii="Times New Roman" w:hAnsi="Times New Roman" w:eastAsia="Times New Roman" w:cs="Times New Roman"/>
                <w:b w:val="0"/>
                <w:sz w:val="16"/>
              </w:rPr>
              <w:t>Supports model blinding, cross-rater label blinding, and separate-file annotation; social non-contact remains author-declared.</w:t>
            </w:r>
          </w:p>
        </w:tc>
      </w:tr>
      <w:tr w14:paraId="117E228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3373" w:type="dxa"/>
            <w:vAlign w:val="center"/>
            <w:tcMar>
              <w:top w:w="65" w:type="dxa"/>
              <w:start w:w="68" w:type="dxa"/>
              <w:bottom w:w="65" w:type="dxa"/>
              <w:end w:w="68" w:type="dxa"/>
            </w:tcMar>
          </w:tcPr>
          <w:p w14:paraId="2B722A31">
            <w:pPr>
              <w:spacing w:before="0" w:after="0" w:line="240" w:lineRule="auto"/>
            </w:pPr>
            <w:r>
              <w:rPr>
                <w:rFonts w:ascii="Times New Roman" w:hAnsi="Times New Roman" w:eastAsia="Times New Roman" w:cs="Times New Roman"/>
                <w:b w:val="0"/>
                <w:sz w:val="16"/>
              </w:rPr>
              <w:t>Training</w:t>
            </w:r>
          </w:p>
        </w:tc>
        <w:tc>
          <w:tcPr>
            <w:tcW w:w="3373" w:type="dxa"/>
            <w:vAlign w:val="center"/>
            <w:tcMar>
              <w:top w:w="65" w:type="dxa"/>
              <w:start w:w="68" w:type="dxa"/>
              <w:bottom w:w="65" w:type="dxa"/>
              <w:end w:w="68" w:type="dxa"/>
            </w:tcMar>
          </w:tcPr>
          <w:p w14:paraId="0C44E36F">
            <w:pPr>
              <w:spacing w:before="0" w:after="0" w:line="240" w:lineRule="auto"/>
            </w:pPr>
            <w:r>
              <w:rPr>
                <w:rFonts w:ascii="Times New Roman" w:hAnsi="Times New Roman" w:eastAsia="Times New Roman" w:cs="Times New Roman"/>
                <w:b w:val="0"/>
                <w:sz w:val="16"/>
              </w:rPr>
              <w:t>Approximately three days led by the project lead using Annotation Manual v1.2_final_locked, worked examples, and the three-axis decision procedure.</w:t>
            </w:r>
          </w:p>
        </w:tc>
        <w:tc>
          <w:tcPr>
            <w:tcW w:w="3373" w:type="dxa"/>
            <w:vAlign w:val="center"/>
            <w:tcMar>
              <w:top w:w="65" w:type="dxa"/>
              <w:start w:w="68" w:type="dxa"/>
              <w:bottom w:w="65" w:type="dxa"/>
              <w:end w:w="68" w:type="dxa"/>
            </w:tcMar>
          </w:tcPr>
          <w:p w14:paraId="02B6D168">
            <w:pPr>
              <w:spacing w:before="0" w:after="0" w:line="240" w:lineRule="auto"/>
            </w:pPr>
            <w:r>
              <w:rPr>
                <w:rFonts w:ascii="Times New Roman" w:hAnsi="Times New Roman" w:eastAsia="Times New Roman" w:cs="Times New Roman"/>
                <w:b w:val="0"/>
                <w:sz w:val="16"/>
              </w:rPr>
              <w:t>Training occurred before the analytic round; the project lead was trainer, not a fourth rater.</w:t>
            </w:r>
          </w:p>
        </w:tc>
      </w:tr>
      <w:tr w14:paraId="1282860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3373" w:type="dxa"/>
            <w:vAlign w:val="center"/>
            <w:tcMar>
              <w:top w:w="65" w:type="dxa"/>
              <w:start w:w="68" w:type="dxa"/>
              <w:bottom w:w="65" w:type="dxa"/>
              <w:end w:w="68" w:type="dxa"/>
            </w:tcMar>
          </w:tcPr>
          <w:p w14:paraId="3791E321">
            <w:pPr>
              <w:spacing w:before="0" w:after="0" w:line="240" w:lineRule="auto"/>
            </w:pPr>
            <w:r>
              <w:rPr>
                <w:rFonts w:ascii="Times New Roman" w:hAnsi="Times New Roman" w:eastAsia="Times New Roman" w:cs="Times New Roman"/>
                <w:b w:val="0"/>
                <w:sz w:val="16"/>
              </w:rPr>
              <w:t>Calibration</w:t>
            </w:r>
          </w:p>
        </w:tc>
        <w:tc>
          <w:tcPr>
            <w:tcW w:w="3373" w:type="dxa"/>
            <w:vAlign w:val="center"/>
            <w:tcMar>
              <w:top w:w="65" w:type="dxa"/>
              <w:start w:w="68" w:type="dxa"/>
              <w:bottom w:w="65" w:type="dxa"/>
              <w:end w:w="68" w:type="dxa"/>
            </w:tcMar>
          </w:tcPr>
          <w:p w14:paraId="75DF6FDF">
            <w:pPr>
              <w:spacing w:before="0" w:after="0" w:line="240" w:lineRule="auto"/>
            </w:pPr>
            <w:r>
              <w:rPr>
                <w:rFonts w:ascii="Times New Roman" w:hAnsi="Times New Roman" w:eastAsia="Times New Roman" w:cs="Times New Roman"/>
                <w:b w:val="0"/>
                <w:sz w:val="16"/>
              </w:rPr>
              <w:t>The same 18 external cases were completed independently by each annotator, followed by separate official-email feedback. Field agreement: A1 93.8%, A2 90.3%, A3 87.0%.</w:t>
            </w:r>
          </w:p>
        </w:tc>
        <w:tc>
          <w:tcPr>
            <w:tcW w:w="3373" w:type="dxa"/>
            <w:vAlign w:val="center"/>
            <w:tcMar>
              <w:top w:w="65" w:type="dxa"/>
              <w:start w:w="68" w:type="dxa"/>
              <w:bottom w:w="65" w:type="dxa"/>
              <w:end w:w="68" w:type="dxa"/>
            </w:tcMar>
          </w:tcPr>
          <w:p w14:paraId="5B72E003">
            <w:pPr>
              <w:spacing w:before="0" w:after="0" w:line="240" w:lineRule="auto"/>
            </w:pPr>
            <w:r>
              <w:rPr>
                <w:rFonts w:ascii="Times New Roman" w:hAnsi="Times New Roman" w:eastAsia="Times New Roman" w:cs="Times New Roman"/>
                <w:b w:val="0"/>
                <w:sz w:val="16"/>
              </w:rPr>
              <w:t>Calibration was excluded from all 720-case statistics; no prespecified numerical threshold or post-feedback retest.</w:t>
            </w:r>
          </w:p>
        </w:tc>
      </w:tr>
      <w:tr w14:paraId="016DCB7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3373" w:type="dxa"/>
            <w:vAlign w:val="center"/>
            <w:tcMar>
              <w:top w:w="65" w:type="dxa"/>
              <w:start w:w="68" w:type="dxa"/>
              <w:bottom w:w="65" w:type="dxa"/>
              <w:end w:w="68" w:type="dxa"/>
            </w:tcMar>
          </w:tcPr>
          <w:p w14:paraId="217C86AE">
            <w:pPr>
              <w:spacing w:before="0" w:after="0" w:line="240" w:lineRule="auto"/>
            </w:pPr>
            <w:r>
              <w:rPr>
                <w:rFonts w:ascii="Times New Roman" w:hAnsi="Times New Roman" w:eastAsia="Times New Roman" w:cs="Times New Roman"/>
                <w:b w:val="0"/>
                <w:sz w:val="16"/>
              </w:rPr>
              <w:t>Main round</w:t>
            </w:r>
          </w:p>
        </w:tc>
        <w:tc>
          <w:tcPr>
            <w:tcW w:w="3373" w:type="dxa"/>
            <w:vAlign w:val="center"/>
            <w:tcMar>
              <w:top w:w="65" w:type="dxa"/>
              <w:start w:w="68" w:type="dxa"/>
              <w:bottom w:w="65" w:type="dxa"/>
              <w:end w:w="68" w:type="dxa"/>
            </w:tcMar>
          </w:tcPr>
          <w:p w14:paraId="3DE5DBDE">
            <w:pPr>
              <w:spacing w:before="0" w:after="0" w:line="240" w:lineRule="auto"/>
            </w:pPr>
            <w:r>
              <w:rPr>
                <w:rFonts w:ascii="Times New Roman" w:hAnsi="Times New Roman" w:eastAsia="Times New Roman" w:cs="Times New Roman"/>
                <w:b w:val="0"/>
                <w:sz w:val="16"/>
              </w:rPr>
              <w:t>720 outputs per annotator; no peer discussion, shared labels, majority outcomes, or final resolutions.</w:t>
            </w:r>
          </w:p>
        </w:tc>
        <w:tc>
          <w:tcPr>
            <w:tcW w:w="3373" w:type="dxa"/>
            <w:vAlign w:val="center"/>
            <w:tcMar>
              <w:top w:w="65" w:type="dxa"/>
              <w:start w:w="68" w:type="dxa"/>
              <w:bottom w:w="65" w:type="dxa"/>
              <w:end w:w="68" w:type="dxa"/>
            </w:tcMar>
          </w:tcPr>
          <w:p w14:paraId="05E322E4">
            <w:pPr>
              <w:spacing w:before="0" w:after="0" w:line="240" w:lineRule="auto"/>
            </w:pPr>
            <w:r>
              <w:rPr>
                <w:rFonts w:ascii="Times New Roman" w:hAnsi="Times New Roman" w:eastAsia="Times New Roman" w:cs="Times New Roman"/>
                <w:b w:val="0"/>
                <w:sz w:val="16"/>
              </w:rPr>
              <w:t>Each file records the originating annotator's final locked decisions before cross-rater resolution.</w:t>
            </w:r>
          </w:p>
        </w:tc>
      </w:tr>
      <w:tr w14:paraId="4E0EDBC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3373" w:type="dxa"/>
            <w:vAlign w:val="center"/>
            <w:tcMar>
              <w:top w:w="65" w:type="dxa"/>
              <w:start w:w="68" w:type="dxa"/>
              <w:bottom w:w="65" w:type="dxa"/>
              <w:end w:w="68" w:type="dxa"/>
            </w:tcMar>
          </w:tcPr>
          <w:p w14:paraId="2D8EE6ED">
            <w:pPr>
              <w:spacing w:before="0" w:after="0" w:line="240" w:lineRule="auto"/>
            </w:pPr>
            <w:r>
              <w:rPr>
                <w:rFonts w:ascii="Times New Roman" w:hAnsi="Times New Roman" w:eastAsia="Times New Roman" w:cs="Times New Roman"/>
                <w:b w:val="0"/>
                <w:sz w:val="16"/>
              </w:rPr>
              <w:t>Calibration clarification ownership</w:t>
            </w:r>
          </w:p>
        </w:tc>
        <w:tc>
          <w:tcPr>
            <w:tcW w:w="3373" w:type="dxa"/>
            <w:vAlign w:val="center"/>
            <w:tcMar>
              <w:top w:w="65" w:type="dxa"/>
              <w:start w:w="68" w:type="dxa"/>
              <w:bottom w:w="65" w:type="dxa"/>
              <w:end w:w="68" w:type="dxa"/>
            </w:tcMar>
          </w:tcPr>
          <w:p w14:paraId="4BC8EE3D">
            <w:pPr>
              <w:spacing w:before="0" w:after="0" w:line="240" w:lineRule="auto"/>
            </w:pPr>
            <w:r>
              <w:rPr>
                <w:rFonts w:ascii="Times New Roman" w:hAnsi="Times New Roman" w:eastAsia="Times New Roman" w:cs="Times New Roman"/>
                <w:b w:val="0"/>
                <w:sz w:val="16"/>
              </w:rPr>
              <w:t>Feedback addressed only the 18 calibration cases and explicitly preserved each annotator's own application of the locked manual; no peer main-study decisions were disclosed.</w:t>
            </w:r>
          </w:p>
        </w:tc>
        <w:tc>
          <w:tcPr>
            <w:tcW w:w="3373" w:type="dxa"/>
            <w:vAlign w:val="center"/>
            <w:tcMar>
              <w:top w:w="65" w:type="dxa"/>
              <w:start w:w="68" w:type="dxa"/>
              <w:bottom w:w="65" w:type="dxa"/>
              <w:end w:w="68" w:type="dxa"/>
            </w:tcMar>
          </w:tcPr>
          <w:p w14:paraId="3C949E72">
            <w:pPr>
              <w:spacing w:before="0" w:after="0" w:line="240" w:lineRule="auto"/>
            </w:pPr>
            <w:r>
              <w:rPr>
                <w:rFonts w:ascii="Times New Roman" w:hAnsi="Times New Roman" w:eastAsia="Times New Roman" w:cs="Times New Roman"/>
                <w:b w:val="0"/>
                <w:sz w:val="16"/>
              </w:rPr>
              <w:t>Training clarification, not project-lead correction of the 720-case ratings and not a fourth rating.</w:t>
            </w:r>
          </w:p>
        </w:tc>
      </w:tr>
      <w:tr w14:paraId="0306D51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3373" w:type="dxa"/>
            <w:vAlign w:val="center"/>
            <w:tcMar>
              <w:top w:w="65" w:type="dxa"/>
              <w:start w:w="68" w:type="dxa"/>
              <w:bottom w:w="65" w:type="dxa"/>
              <w:end w:w="68" w:type="dxa"/>
            </w:tcMar>
          </w:tcPr>
          <w:p w14:paraId="027C75E5">
            <w:pPr>
              <w:spacing w:before="0" w:after="0" w:line="240" w:lineRule="auto"/>
            </w:pPr>
            <w:r>
              <w:rPr>
                <w:rFonts w:ascii="Times New Roman" w:hAnsi="Times New Roman" w:eastAsia="Times New Roman" w:cs="Times New Roman"/>
                <w:b w:val="0"/>
                <w:sz w:val="16"/>
              </w:rPr>
              <w:t>Authoritative workbooks</w:t>
            </w:r>
          </w:p>
        </w:tc>
        <w:tc>
          <w:tcPr>
            <w:tcW w:w="3373" w:type="dxa"/>
            <w:vAlign w:val="center"/>
            <w:tcMar>
              <w:top w:w="65" w:type="dxa"/>
              <w:start w:w="68" w:type="dxa"/>
              <w:bottom w:w="65" w:type="dxa"/>
              <w:end w:w="68" w:type="dxa"/>
            </w:tcMar>
          </w:tcPr>
          <w:p w14:paraId="4623C0FF">
            <w:pPr>
              <w:spacing w:before="0" w:after="0" w:line="240" w:lineRule="auto"/>
            </w:pPr>
            <w:r>
              <w:rPr>
                <w:rFonts w:ascii="Times New Roman" w:hAnsi="Times New Roman" w:eastAsia="Times New Roman" w:cs="Times New Roman"/>
                <w:b w:val="0"/>
                <w:sz w:val="16"/>
              </w:rPr>
              <w:t>Current A1, A2, and A3 files each contain 720 analytic rows and four sheets: Annotation, Instructions, Codebook, and AllowedValues.</w:t>
            </w:r>
          </w:p>
        </w:tc>
        <w:tc>
          <w:tcPr>
            <w:tcW w:w="3373" w:type="dxa"/>
            <w:vAlign w:val="center"/>
            <w:tcMar>
              <w:top w:w="65" w:type="dxa"/>
              <w:start w:w="68" w:type="dxa"/>
              <w:bottom w:w="65" w:type="dxa"/>
              <w:end w:w="68" w:type="dxa"/>
            </w:tcMar>
          </w:tcPr>
          <w:p w14:paraId="7B46C726">
            <w:pPr>
              <w:spacing w:before="0" w:after="0" w:line="240" w:lineRule="auto"/>
            </w:pPr>
            <w:r>
              <w:rPr>
                <w:rFonts w:ascii="Times New Roman" w:hAnsi="Times New Roman" w:eastAsia="Times New Roman" w:cs="Times New Roman"/>
                <w:b w:val="0"/>
                <w:sz w:val="16"/>
              </w:rPr>
              <w:t>No retained old/new decision ledger is present in the authoritative source set.</w:t>
            </w:r>
          </w:p>
        </w:tc>
      </w:tr>
      <w:tr w14:paraId="2884742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3373" w:type="dxa"/>
            <w:vAlign w:val="center"/>
            <w:tcMar>
              <w:top w:w="65" w:type="dxa"/>
              <w:start w:w="68" w:type="dxa"/>
              <w:bottom w:w="65" w:type="dxa"/>
              <w:end w:w="68" w:type="dxa"/>
            </w:tcMar>
          </w:tcPr>
          <w:p w14:paraId="0DBABA87">
            <w:pPr>
              <w:spacing w:before="0" w:after="0" w:line="240" w:lineRule="auto"/>
            </w:pPr>
            <w:r>
              <w:rPr>
                <w:rFonts w:ascii="Times New Roman" w:hAnsi="Times New Roman" w:eastAsia="Times New Roman" w:cs="Times New Roman"/>
                <w:b w:val="0"/>
                <w:sz w:val="16"/>
              </w:rPr>
              <w:t>Locked analysis files</w:t>
            </w:r>
          </w:p>
        </w:tc>
        <w:tc>
          <w:tcPr>
            <w:tcW w:w="3373" w:type="dxa"/>
            <w:vAlign w:val="center"/>
            <w:tcMar>
              <w:top w:w="65" w:type="dxa"/>
              <w:start w:w="68" w:type="dxa"/>
              <w:bottom w:w="65" w:type="dxa"/>
              <w:end w:w="68" w:type="dxa"/>
            </w:tcMar>
          </w:tcPr>
          <w:p w14:paraId="0C6C780D">
            <w:pPr>
              <w:spacing w:before="0" w:after="0" w:line="240" w:lineRule="auto"/>
            </w:pPr>
            <w:r>
              <w:rPr>
                <w:rFonts w:ascii="Times New Roman" w:hAnsi="Times New Roman" w:eastAsia="Times New Roman" w:cs="Times New Roman"/>
                <w:b w:val="0"/>
                <w:sz w:val="16"/>
              </w:rPr>
              <w:t>720 cases x 3 annotators = 2,160 ratings.</w:t>
            </w:r>
          </w:p>
        </w:tc>
        <w:tc>
          <w:tcPr>
            <w:tcW w:w="3373" w:type="dxa"/>
            <w:vAlign w:val="center"/>
            <w:tcMar>
              <w:top w:w="65" w:type="dxa"/>
              <w:start w:w="68" w:type="dxa"/>
              <w:bottom w:w="65" w:type="dxa"/>
              <w:end w:w="68" w:type="dxa"/>
            </w:tcMar>
          </w:tcPr>
          <w:p w14:paraId="1570C6F9">
            <w:pPr>
              <w:spacing w:before="0" w:after="0" w:line="240" w:lineRule="auto"/>
            </w:pPr>
            <w:r>
              <w:rPr>
                <w:rFonts w:ascii="Times New Roman" w:hAnsi="Times New Roman" w:eastAsia="Times New Roman" w:cs="Times New Roman"/>
                <w:b w:val="0"/>
                <w:sz w:val="16"/>
              </w:rPr>
              <w:t>Basis of all agreement coefficients before majority, median, text review, AI assistance, or project-lead adjudication.</w:t>
            </w:r>
          </w:p>
        </w:tc>
      </w:tr>
      <w:tr w14:paraId="77BF93F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3373" w:type="dxa"/>
            <w:vAlign w:val="center"/>
            <w:tcMar>
              <w:top w:w="65" w:type="dxa"/>
              <w:start w:w="68" w:type="dxa"/>
              <w:bottom w:w="65" w:type="dxa"/>
              <w:end w:w="68" w:type="dxa"/>
            </w:tcMar>
          </w:tcPr>
          <w:p w14:paraId="6A504889">
            <w:pPr>
              <w:spacing w:before="0" w:after="0" w:line="240" w:lineRule="auto"/>
            </w:pPr>
            <w:r>
              <w:rPr>
                <w:rFonts w:ascii="Times New Roman" w:hAnsi="Times New Roman" w:eastAsia="Times New Roman" w:cs="Times New Roman"/>
                <w:b w:val="0"/>
                <w:sz w:val="16"/>
              </w:rPr>
              <w:t>Evidence</w:t>
            </w:r>
          </w:p>
        </w:tc>
        <w:tc>
          <w:tcPr>
            <w:tcW w:w="3373" w:type="dxa"/>
            <w:vAlign w:val="center"/>
            <w:tcMar>
              <w:top w:w="65" w:type="dxa"/>
              <w:start w:w="68" w:type="dxa"/>
              <w:bottom w:w="65" w:type="dxa"/>
              <w:end w:w="68" w:type="dxa"/>
            </w:tcMar>
          </w:tcPr>
          <w:p w14:paraId="18325F5B">
            <w:pPr>
              <w:spacing w:before="0" w:after="0" w:line="240" w:lineRule="auto"/>
            </w:pPr>
            <w:r>
              <w:rPr>
                <w:rFonts w:ascii="Times New Roman" w:hAnsi="Times New Roman" w:eastAsia="Times New Roman" w:cs="Times New Roman"/>
                <w:b w:val="0"/>
                <w:sz w:val="16"/>
              </w:rPr>
              <w:t>Failure ratings required an evidence note; an evidence span was recommended.</w:t>
            </w:r>
          </w:p>
        </w:tc>
        <w:tc>
          <w:tcPr>
            <w:tcW w:w="3373" w:type="dxa"/>
            <w:vAlign w:val="center"/>
            <w:tcMar>
              <w:top w:w="65" w:type="dxa"/>
              <w:start w:w="68" w:type="dxa"/>
              <w:bottom w:w="65" w:type="dxa"/>
              <w:end w:w="68" w:type="dxa"/>
            </w:tcMar>
          </w:tcPr>
          <w:p w14:paraId="309ECD7B">
            <w:pPr>
              <w:spacing w:before="0" w:after="0" w:line="240" w:lineRule="auto"/>
            </w:pPr>
            <w:r>
              <w:rPr>
                <w:rFonts w:ascii="Times New Roman" w:hAnsi="Times New Roman" w:eastAsia="Times New Roman" w:cs="Times New Roman"/>
                <w:b w:val="0"/>
                <w:sz w:val="16"/>
              </w:rPr>
              <w:t>Preserves the locked manual distinction between required and recommended fields.</w:t>
            </w:r>
          </w:p>
        </w:tc>
      </w:tr>
      <w:tr w14:paraId="4CCC17A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3373" w:type="dxa"/>
            <w:vAlign w:val="center"/>
            <w:tcMar>
              <w:top w:w="65" w:type="dxa"/>
              <w:start w:w="68" w:type="dxa"/>
              <w:bottom w:w="65" w:type="dxa"/>
              <w:end w:w="68" w:type="dxa"/>
            </w:tcMar>
          </w:tcPr>
          <w:p w14:paraId="4E7E8BE3">
            <w:pPr>
              <w:spacing w:before="0" w:after="0" w:line="240" w:lineRule="auto"/>
            </w:pPr>
            <w:r>
              <w:rPr>
                <w:rFonts w:ascii="Times New Roman" w:hAnsi="Times New Roman" w:eastAsia="Times New Roman" w:cs="Times New Roman"/>
                <w:b w:val="0"/>
                <w:sz w:val="16"/>
              </w:rPr>
              <w:t>Version</w:t>
            </w:r>
          </w:p>
        </w:tc>
        <w:tc>
          <w:tcPr>
            <w:tcW w:w="3373" w:type="dxa"/>
            <w:vAlign w:val="center"/>
            <w:tcMar>
              <w:top w:w="65" w:type="dxa"/>
              <w:start w:w="68" w:type="dxa"/>
              <w:bottom w:w="65" w:type="dxa"/>
              <w:end w:w="68" w:type="dxa"/>
            </w:tcMar>
          </w:tcPr>
          <w:p>
            <w:pPr>
              <w:spacing w:before="0" w:after="0" w:line="240" w:lineRule="auto"/>
            </w:pPr>
            <w:r>
              <w:rPr>
                <w:rFonts w:ascii="Times New Roman" w:hAnsi="Times New Roman" w:eastAsia="Times New Roman" w:cs="Times New Roman"/>
                <w:b w:val="0"/>
                <w:sz w:val="16"/>
              </w:rPr>
              <w:t>Annotation Manual and annotator workbooks: v1.2_final_locked; current downstream reference layer: FINAL GOLD v1.0.</w:t>
            </w:r>
          </w:p>
        </w:tc>
        <w:tc>
          <w:tcPr>
            <w:tcW w:w="3373" w:type="dxa"/>
            <w:vAlign w:val="center"/>
            <w:tcMar>
              <w:top w:w="65" w:type="dxa"/>
              <w:start w:w="68" w:type="dxa"/>
              <w:bottom w:w="65" w:type="dxa"/>
              <w:end w:w="68" w:type="dxa"/>
            </w:tcMar>
          </w:tcPr>
          <w:p>
            <w:pPr>
              <w:spacing w:before="0" w:after="0" w:line="240" w:lineRule="auto"/>
            </w:pPr>
            <w:r>
              <w:rPr>
                <w:rFonts w:ascii="Times New Roman" w:hAnsi="Times New Roman" w:eastAsia="Times New Roman" w:cs="Times New Roman"/>
                <w:b w:val="0"/>
                <w:sz w:val="16"/>
              </w:rPr>
              <w:t>FINAL GOLD v1.0 is a separate post-reliability reference layer; it does not revise the manual or original A1–A3 ratings.</w:t>
            </w:r>
          </w:p>
        </w:tc>
      </w:tr>
      <w:tr w14:paraId="087FBA6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3373" w:type="dxa"/>
            <w:vAlign w:val="center"/>
            <w:tcMar>
              <w:top w:w="65" w:type="dxa"/>
              <w:start w:w="68" w:type="dxa"/>
              <w:bottom w:w="65" w:type="dxa"/>
              <w:end w:w="68" w:type="dxa"/>
            </w:tcMar>
          </w:tcPr>
          <w:p w14:paraId="2022B4CA">
            <w:pPr>
              <w:spacing w:before="0" w:after="0" w:line="240" w:lineRule="auto"/>
            </w:pPr>
            <w:r>
              <w:rPr>
                <w:rFonts w:ascii="Times New Roman" w:hAnsi="Times New Roman" w:eastAsia="Times New Roman" w:cs="Times New Roman"/>
                <w:b w:val="0"/>
                <w:sz w:val="16"/>
              </w:rPr>
              <w:t>Project-lead cross-rater role</w:t>
            </w:r>
          </w:p>
        </w:tc>
        <w:tc>
          <w:tcPr>
            <w:tcW w:w="3373" w:type="dxa"/>
            <w:vAlign w:val="center"/>
            <w:tcMar>
              <w:top w:w="65" w:type="dxa"/>
              <w:start w:w="68" w:type="dxa"/>
              <w:bottom w:w="65" w:type="dxa"/>
              <w:end w:w="68" w:type="dxa"/>
            </w:tcMar>
          </w:tcPr>
          <w:p>
            <w:pPr>
              <w:spacing w:before="0" w:after="0" w:line="240" w:lineRule="auto"/>
            </w:pPr>
            <w:r>
              <w:rPr>
                <w:rFonts w:ascii="Times New Roman" w:hAnsi="Times New Roman" w:eastAsia="Times New Roman" w:cs="Times New Roman"/>
                <w:b w:val="0"/>
                <w:sz w:val="16"/>
              </w:rPr>
              <w:t>Training and earlier provisional resolution occurred only after the A1–A3 reliability freeze; the current final reference layer was subsequently reviewed by the senior human adjudicator.</w:t>
            </w:r>
          </w:p>
        </w:tc>
        <w:tc>
          <w:tcPr>
            <w:tcW w:w="3373" w:type="dxa"/>
            <w:vAlign w:val="center"/>
            <w:tcMar>
              <w:top w:w="65" w:type="dxa"/>
              <w:start w:w="68" w:type="dxa"/>
              <w:bottom w:w="65" w:type="dxa"/>
              <w:end w:w="68" w:type="dxa"/>
            </w:tcMar>
          </w:tcPr>
          <w:p>
            <w:pPr>
              <w:spacing w:before="0" w:after="0" w:line="240" w:lineRule="auto"/>
            </w:pPr>
            <w:r>
              <w:rPr>
                <w:rFonts w:ascii="Times New Roman" w:hAnsi="Times New Roman" w:eastAsia="Times New Roman" w:cs="Times New Roman"/>
                <w:b w:val="0"/>
                <w:sz w:val="16"/>
              </w:rPr>
              <w:t>Project lead is not a fourth rater and is not treated as the final senior adjudicator in the current freeze.</w:t>
            </w:r>
          </w:p>
        </w:tc>
      </w:tr>
    </w:tbl>
    <w:p>
      <w:pPr>
        <w:keepNext/>
      </w:pPr>
      <w:r>
        <w:t>Table S9. Anonymized professional qualifications and study roles relevant to semantic and discourse annotation.</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1966"/>
        <w:gridCol w:w="1966"/>
        <w:gridCol w:w="1966"/>
        <w:gridCol w:w="1966"/>
        <w:gridCol w:w="2034"/>
      </w:tblGrid>
      <w:tr w14:paraId="4AD94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blHeader w:val="true"/>
          <w:jc w:val="center"/>
          <w:tblHeader w:val="true"/>
        </w:trPr>
        <w:tc>
          <w:tcPr>
            <w:tcW w:w="1966" w:type="dxa"/>
            <w:vAlign w:val="center"/>
            <w:tcMar>
              <w:top w:w="65" w:type="dxa"/>
              <w:start w:w="68" w:type="dxa"/>
              <w:bottom w:w="65" w:type="dxa"/>
              <w:end w:w="68" w:type="dxa"/>
            </w:tcMar>
            <w:shd w:val="clear" w:color="auto" w:fill="E8F0F8"/>
          </w:tcPr>
          <w:p>
            <w:pPr>
              <w:spacing w:before="0" w:after="0"/>
            </w:pPr>
            <w:r>
              <w:rPr>
                <w:rFonts w:ascii="Times New Roman" w:hAnsi="Times New Roman"/>
                <w:b/>
                <w:color w:val="1E364D"/>
                <w:sz w:val="15"/>
              </w:rPr>
            </w:r>
            <w:r>
              <w:rPr>
                <w:rFonts w:ascii="Times New Roman" w:hAnsi="Times New Roman"/>
                <w:b/>
                <w:color w:val="1E364D"/>
                <w:sz w:val="15"/>
              </w:rPr>
              <w:t>Human role</w:t>
            </w:r>
          </w:p>
        </w:tc>
        <w:tc>
          <w:tcPr>
            <w:tcW w:w="1966" w:type="dxa"/>
            <w:vAlign w:val="center"/>
            <w:tcMar>
              <w:top w:w="65" w:type="dxa"/>
              <w:start w:w="68" w:type="dxa"/>
              <w:bottom w:w="65" w:type="dxa"/>
              <w:end w:w="68" w:type="dxa"/>
            </w:tcMar>
            <w:shd w:val="clear" w:color="auto" w:fill="E8F0F8"/>
          </w:tcPr>
          <w:p>
            <w:pPr>
              <w:spacing w:before="0" w:after="0"/>
            </w:pPr>
            <w:r>
              <w:rPr>
                <w:rFonts w:ascii="Times New Roman" w:hAnsi="Times New Roman"/>
                <w:b/>
                <w:color w:val="1E364D"/>
                <w:sz w:val="15"/>
              </w:rPr>
            </w:r>
            <w:r>
              <w:rPr>
                <w:rFonts w:ascii="Times New Roman" w:hAnsi="Times New Roman"/>
                <w:b/>
                <w:color w:val="1E364D"/>
                <w:sz w:val="15"/>
              </w:rPr>
              <w:t>Anonymized professional role</w:t>
            </w:r>
          </w:p>
        </w:tc>
        <w:tc>
          <w:tcPr>
            <w:tcW w:w="1966" w:type="dxa"/>
            <w:vAlign w:val="center"/>
            <w:tcMar>
              <w:top w:w="65" w:type="dxa"/>
              <w:start w:w="68" w:type="dxa"/>
              <w:bottom w:w="65" w:type="dxa"/>
              <w:end w:w="68" w:type="dxa"/>
            </w:tcMar>
            <w:shd w:val="clear" w:color="auto" w:fill="E8F0F8"/>
          </w:tcPr>
          <w:p>
            <w:pPr>
              <w:spacing w:before="0" w:after="0"/>
            </w:pPr>
            <w:r>
              <w:rPr>
                <w:rFonts w:ascii="Times New Roman" w:hAnsi="Times New Roman"/>
                <w:b/>
                <w:color w:val="1E364D"/>
                <w:sz w:val="15"/>
              </w:rPr>
            </w:r>
            <w:r>
              <w:rPr>
                <w:rFonts w:ascii="Times New Roman" w:hAnsi="Times New Roman"/>
                <w:b/>
                <w:color w:val="1E364D"/>
                <w:sz w:val="15"/>
              </w:rPr>
              <w:t>Qualification/experience</w:t>
            </w:r>
          </w:p>
        </w:tc>
        <w:tc>
          <w:tcPr>
            <w:tcW w:w="1966" w:type="dxa"/>
            <w:vAlign w:val="center"/>
            <w:tcMar>
              <w:top w:w="65" w:type="dxa"/>
              <w:start w:w="68" w:type="dxa"/>
              <w:bottom w:w="65" w:type="dxa"/>
              <w:end w:w="68" w:type="dxa"/>
            </w:tcMar>
            <w:shd w:val="clear" w:color="auto" w:fill="E8F0F8"/>
          </w:tcPr>
          <w:p>
            <w:pPr>
              <w:spacing w:before="0" w:after="0"/>
            </w:pPr>
            <w:r>
              <w:rPr>
                <w:rFonts w:ascii="Times New Roman" w:hAnsi="Times New Roman"/>
                <w:b/>
                <w:color w:val="1E364D"/>
                <w:sz w:val="15"/>
              </w:rPr>
            </w:r>
            <w:r>
              <w:rPr>
                <w:rFonts w:ascii="Times New Roman" w:hAnsi="Times New Roman"/>
                <w:b/>
                <w:color w:val="1E364D"/>
                <w:sz w:val="15"/>
              </w:rPr>
              <w:t>Relevant expertise</w:t>
            </w:r>
          </w:p>
        </w:tc>
        <w:tc>
          <w:tcPr>
            <w:tcW w:w="1966" w:type="dxa"/>
            <w:vAlign w:val="center"/>
            <w:tcMar>
              <w:top w:w="65" w:type="dxa"/>
              <w:start w:w="68" w:type="dxa"/>
              <w:bottom w:w="65" w:type="dxa"/>
              <w:end w:w="68" w:type="dxa"/>
            </w:tcMar>
            <w:shd w:val="clear" w:color="auto" w:fill="E8F0F8"/>
          </w:tcPr>
          <w:p>
            <w:pPr>
              <w:spacing w:before="0" w:after="0"/>
            </w:pPr>
            <w:r>
              <w:rPr>
                <w:rFonts w:ascii="Times New Roman" w:hAnsi="Times New Roman"/>
                <w:b/>
                <w:color w:val="1E364D"/>
                <w:sz w:val="15"/>
              </w:rPr>
            </w:r>
            <w:r>
              <w:rPr>
                <w:rFonts w:ascii="Times New Roman" w:hAnsi="Times New Roman"/>
                <w:b/>
                <w:color w:val="1E364D"/>
                <w:sz w:val="15"/>
              </w:rPr>
              <w:t>Study role</w:t>
            </w:r>
          </w:p>
        </w:tc>
      </w:tr>
      <w:tr w14:paraId="24CC5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966" w:type="dxa"/>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A1</w:t>
            </w:r>
          </w:p>
        </w:tc>
        <w:tc>
          <w:tcPr>
            <w:tcW w:w="1966" w:type="dxa"/>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University lecturer in English linguistics/literature</w:t>
            </w:r>
          </w:p>
        </w:tc>
        <w:tc>
          <w:tcPr>
            <w:tcW w:w="1966" w:type="dxa"/>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University-level English linguistics teaching since 2019; undergraduate supervision in linguistics/applied linguistics</w:t>
            </w:r>
          </w:p>
        </w:tc>
        <w:tc>
          <w:tcPr>
            <w:tcW w:w="1966" w:type="dxa"/>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Applied linguistics; discourse and critical discourse analysis; pragmatics; semantics; translation; systemic functional linguistics</w:t>
            </w:r>
          </w:p>
        </w:tc>
        <w:tc>
          <w:tcPr>
            <w:tcW w:w="1966" w:type="dxa"/>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Main annotator; 18-case guided calibration; independent 720-case annotation.</w:t>
            </w:r>
          </w:p>
        </w:tc>
      </w:tr>
      <w:tr w14:paraId="789AE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966" w:type="dxa"/>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A2</w:t>
            </w:r>
          </w:p>
        </w:tc>
        <w:tc>
          <w:tcPr>
            <w:tcW w:w="1966" w:type="dxa"/>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Postdoctoral researcher in applied linguistics and AI</w:t>
            </w:r>
          </w:p>
        </w:tc>
        <w:tc>
          <w:tcPr>
            <w:tcW w:w="1966" w:type="dxa"/>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PhD; postdoctoral research in applied linguistics and AI</w:t>
            </w:r>
          </w:p>
        </w:tc>
        <w:tc>
          <w:tcPr>
            <w:tcW w:w="1966" w:type="dxa"/>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Discourse/sentiment annotation; human–AI coding agreement; pragmatic/emotional constructs; narrative identity; AI-assisted writing interaction</w:t>
            </w:r>
          </w:p>
        </w:tc>
        <w:tc>
          <w:tcPr>
            <w:tcW w:w="1966" w:type="dxa"/>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Main annotator; 18-case guided calibration; independent 720-case annotation.</w:t>
            </w:r>
          </w:p>
        </w:tc>
      </w:tr>
      <w:tr w14:paraId="0A91B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966" w:type="dxa"/>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A3</w:t>
            </w:r>
          </w:p>
        </w:tc>
        <w:tc>
          <w:tcPr>
            <w:tcW w:w="1966" w:type="dxa"/>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University lecturer in linguistics</w:t>
            </w:r>
          </w:p>
        </w:tc>
        <w:tc>
          <w:tcPr>
            <w:tcW w:w="1966" w:type="dxa"/>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PhD in Linguistics</w:t>
            </w:r>
          </w:p>
        </w:tc>
        <w:tc>
          <w:tcPr>
            <w:tcW w:w="1966" w:type="dxa"/>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Cognitive stylistics; critical discourse analysis; cognitive grammar; systemic functional grammar; semantics; media discourse; linguistically informed MT evaluation</w:t>
            </w:r>
          </w:p>
        </w:tc>
        <w:tc>
          <w:tcPr>
            <w:tcW w:w="1966" w:type="dxa"/>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Main annotator; 18-case guided calibration; independent 720-case annotation.</w:t>
            </w:r>
          </w:p>
        </w:tc>
      </w:tr>
      <w:tr>
        <w:trPr>
          <w:cantSplit/>
        </w:trPr>
        <w:tc>
          <w:tcPr>
            <w:tcW w:type="dxa" w:w="1966"/>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A4</w:t>
            </w:r>
          </w:p>
        </w:tc>
        <w:tc>
          <w:tcPr>
            <w:tcW w:type="dxa" w:w="1966"/>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University lecturer in English literature</w:t>
            </w:r>
          </w:p>
        </w:tc>
        <w:tc>
          <w:tcPr>
            <w:tcW w:type="dxa" w:w="1966"/>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Postgraduate training relevant to applied linguistics/English-language studies; professional university teaching role</w:t>
            </w:r>
          </w:p>
        </w:tc>
        <w:tc>
          <w:tcPr>
            <w:tcW w:type="dxa" w:w="1966"/>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English literature/language analysis; linguistics-related teaching and research</w:t>
            </w:r>
          </w:p>
        </w:tc>
        <w:tc>
          <w:tcPr>
            <w:tcW w:type="dxa" w:w="2034"/>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Senior adjudicator only; received locked manual; did not complete the A1–A3 18-case calibration; adjudicated 423 disagreement cases and re-reviewed a targeted 29-case manual-consistency set.</w:t>
            </w:r>
          </w:p>
        </w:tc>
      </w:tr>
    </w:tbl>
    <w:p>
      <w:pPr>
        <w:keepNext/>
      </w:pPr>
      <w:r>
        <w:t>Table S10. Calibration design, field agreement, clarification themes, and readiness decisions.</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1639"/>
        <w:gridCol w:w="1639"/>
        <w:gridCol w:w="1639"/>
        <w:gridCol w:w="1639"/>
        <w:gridCol w:w="3278"/>
      </w:tblGrid>
      <w:tr w14:paraId="61BB0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blHeader w:val="true"/>
          <w:jc w:val="center"/>
          <w:tblHeader w:val="true"/>
        </w:trPr>
        <w:tc>
          <w:tcPr>
            <w:tcW w:w="1639" w:type="dxa"/>
            <w:vAlign w:val="center"/>
            <w:tcMar>
              <w:top w:w="65" w:type="dxa"/>
              <w:start w:w="68" w:type="dxa"/>
              <w:bottom w:w="65" w:type="dxa"/>
              <w:end w:w="68" w:type="dxa"/>
            </w:tcMar>
            <w:shd w:val="clear" w:color="auto" w:fill="E8F0F8"/>
          </w:tcPr>
          <w:p w14:paraId="24FF202C">
            <w:pPr>
              <w:spacing w:before="0" w:after="0" w:line="240" w:lineRule="auto"/>
              <w:jc w:val="center"/>
            </w:pPr>
            <w:r>
              <w:rPr>
                <w:rFonts w:ascii="Times New Roman" w:hAnsi="Times New Roman" w:eastAsia="Times New Roman" w:cs="Times New Roman"/>
                <w:b/>
                <w:color w:val="1E364D"/>
                <w:sz w:val="15"/>
              </w:rPr>
              <w:t>Annotator</w:t>
            </w:r>
          </w:p>
        </w:tc>
        <w:tc>
          <w:tcPr>
            <w:tcW w:w="1639" w:type="dxa"/>
            <w:vAlign w:val="center"/>
            <w:tcMar>
              <w:top w:w="65" w:type="dxa"/>
              <w:start w:w="68" w:type="dxa"/>
              <w:bottom w:w="65" w:type="dxa"/>
              <w:end w:w="68" w:type="dxa"/>
            </w:tcMar>
            <w:shd w:val="clear" w:color="auto" w:fill="E8F0F8"/>
          </w:tcPr>
          <w:p w14:paraId="795E8C83">
            <w:pPr>
              <w:spacing w:before="0" w:after="0" w:line="240" w:lineRule="auto"/>
              <w:jc w:val="center"/>
            </w:pPr>
            <w:r>
              <w:rPr>
                <w:rFonts w:ascii="Times New Roman" w:hAnsi="Times New Roman" w:eastAsia="Times New Roman" w:cs="Times New Roman"/>
                <w:b/>
                <w:color w:val="1E364D"/>
                <w:sz w:val="15"/>
              </w:rPr>
              <w:t>Calibration cases</w:t>
            </w:r>
          </w:p>
        </w:tc>
        <w:tc>
          <w:tcPr>
            <w:tcW w:w="1639" w:type="dxa"/>
            <w:vAlign w:val="center"/>
            <w:tcMar>
              <w:top w:w="65" w:type="dxa"/>
              <w:start w:w="68" w:type="dxa"/>
              <w:bottom w:w="65" w:type="dxa"/>
              <w:end w:w="68" w:type="dxa"/>
            </w:tcMar>
            <w:shd w:val="clear" w:color="auto" w:fill="E8F0F8"/>
          </w:tcPr>
          <w:p>
            <w:pPr>
              <w:spacing w:before="0" w:after="0"/>
            </w:pPr>
            <w:r>
              <w:rPr>
                <w:rFonts w:ascii="Times New Roman" w:hAnsi="Times New Roman"/>
                <w:b/>
                <w:color w:val="1E364D"/>
                <w:sz w:val="15"/>
              </w:rPr>
            </w:r>
            <w:r>
              <w:rPr>
                <w:rFonts w:ascii="Times New Roman" w:hAnsi="Times New Roman"/>
                <w:b/>
                <w:color w:val="1E364D"/>
                <w:sz w:val="15"/>
              </w:rPr>
              <w:t>Recorded calibration agreement</w:t>
            </w:r>
          </w:p>
        </w:tc>
        <w:tc>
          <w:tcPr>
            <w:tcW w:w="1639" w:type="dxa"/>
            <w:vAlign w:val="center"/>
            <w:tcMar>
              <w:top w:w="65" w:type="dxa"/>
              <w:start w:w="68" w:type="dxa"/>
              <w:bottom w:w="65" w:type="dxa"/>
              <w:end w:w="68" w:type="dxa"/>
            </w:tcMar>
            <w:shd w:val="clear" w:color="auto" w:fill="E8F0F8"/>
          </w:tcPr>
          <w:p w14:paraId="196C5423">
            <w:pPr>
              <w:spacing w:before="0" w:after="0" w:line="240" w:lineRule="auto"/>
              <w:jc w:val="center"/>
            </w:pPr>
            <w:r>
              <w:rPr>
                <w:rFonts w:ascii="Times New Roman" w:hAnsi="Times New Roman" w:eastAsia="Times New Roman" w:cs="Times New Roman"/>
                <w:b/>
                <w:color w:val="1E364D"/>
                <w:sz w:val="15"/>
              </w:rPr>
              <w:t>Main clarification themes</w:t>
            </w:r>
          </w:p>
        </w:tc>
        <w:tc>
          <w:tcPr>
            <w:tcW w:w="3278" w:type="dxa"/>
            <w:vAlign w:val="center"/>
            <w:tcMar>
              <w:top w:w="65" w:type="dxa"/>
              <w:start w:w="68" w:type="dxa"/>
              <w:bottom w:w="65" w:type="dxa"/>
              <w:end w:w="68" w:type="dxa"/>
            </w:tcMar>
            <w:shd w:val="clear" w:color="auto" w:fill="E8F0F8"/>
          </w:tcPr>
          <w:p w14:paraId="695C415A">
            <w:pPr>
              <w:spacing w:before="0" w:after="0" w:line="240" w:lineRule="auto"/>
              <w:jc w:val="center"/>
            </w:pPr>
            <w:r>
              <w:rPr>
                <w:rFonts w:ascii="Times New Roman" w:hAnsi="Times New Roman" w:eastAsia="Times New Roman" w:cs="Times New Roman"/>
                <w:b/>
                <w:color w:val="1E364D"/>
                <w:sz w:val="15"/>
              </w:rPr>
              <w:t>Readiness decision</w:t>
            </w:r>
          </w:p>
        </w:tc>
      </w:tr>
      <w:tr w14:paraId="5D71F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639" w:type="dxa"/>
            <w:vAlign w:val="center"/>
            <w:tcMar>
              <w:top w:w="65" w:type="dxa"/>
              <w:start w:w="68" w:type="dxa"/>
              <w:bottom w:w="65" w:type="dxa"/>
              <w:end w:w="68" w:type="dxa"/>
            </w:tcMar>
          </w:tcPr>
          <w:p>
            <w:pPr>
              <w:spacing w:before="0" w:after="0"/>
            </w:pPr>
            <w:r>
              <w:rPr>
                <w:rFonts w:ascii="Times New Roman" w:hAnsi="Times New Roman" w:eastAsia="Times New Roman"/>
                <w:sz w:val="15"/>
              </w:rPr>
              <w:t>A1</w:t>
            </w:r>
          </w:p>
        </w:tc>
        <w:tc>
          <w:tcPr>
            <w:tcW w:w="1639" w:type="dxa"/>
            <w:vAlign w:val="center"/>
            <w:tcMar>
              <w:top w:w="65" w:type="dxa"/>
              <w:start w:w="68" w:type="dxa"/>
              <w:bottom w:w="65" w:type="dxa"/>
              <w:end w:w="68" w:type="dxa"/>
            </w:tcMar>
          </w:tcPr>
          <w:p w14:paraId="183879D1">
            <w:pPr>
              <w:spacing w:before="0" w:after="0" w:line="240" w:lineRule="auto"/>
            </w:pPr>
            <w:r>
              <w:rPr>
                <w:rFonts w:ascii="Times New Roman" w:hAnsi="Times New Roman" w:eastAsia="Times New Roman" w:cs="Times New Roman"/>
                <w:b w:val="0"/>
                <w:sz w:val="15"/>
              </w:rPr>
              <w:t>18</w:t>
            </w:r>
          </w:p>
        </w:tc>
        <w:tc>
          <w:tcPr>
            <w:tcW w:w="1639" w:type="dxa"/>
            <w:vAlign w:val="center"/>
            <w:tcMar>
              <w:top w:w="65" w:type="dxa"/>
              <w:start w:w="68" w:type="dxa"/>
              <w:bottom w:w="65" w:type="dxa"/>
              <w:end w:w="68" w:type="dxa"/>
            </w:tcMar>
          </w:tcPr>
          <w:p w14:paraId="28E37D7D">
            <w:pPr>
              <w:spacing w:before="0" w:after="0" w:line="240" w:lineRule="auto"/>
            </w:pPr>
            <w:r>
              <w:rPr>
                <w:rFonts w:ascii="Times New Roman" w:hAnsi="Times New Roman" w:eastAsia="Times New Roman" w:cs="Times New Roman"/>
                <w:b w:val="0"/>
                <w:sz w:val="15"/>
              </w:rPr>
              <w:t>93.8%</w:t>
            </w:r>
          </w:p>
        </w:tc>
        <w:tc>
          <w:tcPr>
            <w:tcW w:w="1639" w:type="dxa"/>
            <w:vAlign w:val="center"/>
            <w:tcMar>
              <w:top w:w="65" w:type="dxa"/>
              <w:start w:w="68" w:type="dxa"/>
              <w:bottom w:w="65" w:type="dxa"/>
              <w:end w:w="68" w:type="dxa"/>
            </w:tcMar>
          </w:tcPr>
          <w:p w14:paraId="59AEF694">
            <w:pPr>
              <w:spacing w:before="0" w:after="0" w:line="240" w:lineRule="auto"/>
            </w:pPr>
            <w:r>
              <w:rPr>
                <w:rFonts w:ascii="Times New Roman" w:hAnsi="Times New Roman" w:eastAsia="Times New Roman" w:cs="Times New Roman"/>
                <w:b w:val="0"/>
                <w:sz w:val="15"/>
              </w:rPr>
              <w:t>Secondary-label selection; interpretive anchor; HREF as secondary; severity; temporal-order priority; entity/project mixing</w:t>
            </w:r>
          </w:p>
        </w:tc>
        <w:tc>
          <w:tcPr>
            <w:tcW w:w="3278" w:type="dxa"/>
            <w:vAlign w:val="center"/>
            <w:tcMar>
              <w:top w:w="65" w:type="dxa"/>
              <w:start w:w="68" w:type="dxa"/>
              <w:bottom w:w="65" w:type="dxa"/>
              <w:end w:w="68" w:type="dxa"/>
            </w:tcMar>
          </w:tcPr>
          <w:p w14:paraId="421AC4F7">
            <w:pPr>
              <w:spacing w:before="0" w:after="0" w:line="240" w:lineRule="auto"/>
            </w:pPr>
            <w:r>
              <w:rPr>
                <w:rFonts w:ascii="Times New Roman" w:hAnsi="Times New Roman" w:eastAsia="Times New Roman" w:cs="Times New Roman"/>
                <w:b w:val="0"/>
                <w:sz w:val="15"/>
              </w:rPr>
              <w:t>Progressed after targeted clarification; no prespecified numerical threshold; qualitative readiness review.</w:t>
            </w:r>
          </w:p>
        </w:tc>
      </w:tr>
      <w:tr w14:paraId="42647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639" w:type="dxa"/>
            <w:vAlign w:val="center"/>
            <w:tcMar>
              <w:top w:w="65" w:type="dxa"/>
              <w:start w:w="68" w:type="dxa"/>
              <w:bottom w:w="65" w:type="dxa"/>
              <w:end w:w="68" w:type="dxa"/>
            </w:tcMar>
          </w:tcPr>
          <w:p>
            <w:pPr>
              <w:spacing w:before="0" w:after="0"/>
            </w:pPr>
            <w:r>
              <w:rPr>
                <w:rFonts w:ascii="Times New Roman" w:hAnsi="Times New Roman" w:eastAsia="Times New Roman"/>
                <w:sz w:val="15"/>
              </w:rPr>
              <w:t>A2</w:t>
            </w:r>
          </w:p>
        </w:tc>
        <w:tc>
          <w:tcPr>
            <w:tcW w:w="1639" w:type="dxa"/>
            <w:vAlign w:val="center"/>
            <w:tcMar>
              <w:top w:w="65" w:type="dxa"/>
              <w:start w:w="68" w:type="dxa"/>
              <w:bottom w:w="65" w:type="dxa"/>
              <w:end w:w="68" w:type="dxa"/>
            </w:tcMar>
          </w:tcPr>
          <w:p w14:paraId="180A78E0">
            <w:pPr>
              <w:spacing w:before="0" w:after="0" w:line="240" w:lineRule="auto"/>
            </w:pPr>
            <w:r>
              <w:rPr>
                <w:rFonts w:ascii="Times New Roman" w:hAnsi="Times New Roman" w:eastAsia="Times New Roman" w:cs="Times New Roman"/>
                <w:b w:val="0"/>
                <w:sz w:val="15"/>
              </w:rPr>
              <w:t>18</w:t>
            </w:r>
          </w:p>
        </w:tc>
        <w:tc>
          <w:tcPr>
            <w:tcW w:w="1639" w:type="dxa"/>
            <w:vAlign w:val="center"/>
            <w:tcMar>
              <w:top w:w="65" w:type="dxa"/>
              <w:start w:w="68" w:type="dxa"/>
              <w:bottom w:w="65" w:type="dxa"/>
              <w:end w:w="68" w:type="dxa"/>
            </w:tcMar>
          </w:tcPr>
          <w:p w14:paraId="0CAAF976">
            <w:pPr>
              <w:spacing w:before="0" w:after="0" w:line="240" w:lineRule="auto"/>
            </w:pPr>
            <w:r>
              <w:rPr>
                <w:rFonts w:ascii="Times New Roman" w:hAnsi="Times New Roman" w:eastAsia="Times New Roman" w:cs="Times New Roman"/>
                <w:b w:val="0"/>
                <w:sz w:val="15"/>
              </w:rPr>
              <w:t>90.3%</w:t>
            </w:r>
          </w:p>
        </w:tc>
        <w:tc>
          <w:tcPr>
            <w:tcW w:w="1639" w:type="dxa"/>
            <w:vAlign w:val="center"/>
            <w:tcMar>
              <w:top w:w="65" w:type="dxa"/>
              <w:start w:w="68" w:type="dxa"/>
              <w:bottom w:w="65" w:type="dxa"/>
              <w:end w:w="68" w:type="dxa"/>
            </w:tcMar>
          </w:tcPr>
          <w:p w14:paraId="7DBAB804">
            <w:pPr>
              <w:spacing w:before="0" w:after="0" w:line="240" w:lineRule="auto"/>
            </w:pPr>
            <w:r>
              <w:rPr>
                <w:rFonts w:ascii="Times New Roman" w:hAnsi="Times New Roman" w:eastAsia="Times New Roman" w:cs="Times New Roman"/>
                <w:b w:val="0"/>
                <w:sz w:val="15"/>
              </w:rPr>
              <w:t>Secondary labels; severity 2 versus 3; source-grounded HREF; anchors; temporal/entity relations; evidence completion</w:t>
            </w:r>
          </w:p>
        </w:tc>
        <w:tc>
          <w:tcPr>
            <w:tcW w:w="3278" w:type="dxa"/>
            <w:vAlign w:val="center"/>
            <w:tcMar>
              <w:top w:w="65" w:type="dxa"/>
              <w:start w:w="68" w:type="dxa"/>
              <w:bottom w:w="65" w:type="dxa"/>
              <w:end w:w="68" w:type="dxa"/>
            </w:tcMar>
          </w:tcPr>
          <w:p w14:paraId="6A13C9C3">
            <w:pPr>
              <w:spacing w:before="0" w:after="0" w:line="240" w:lineRule="auto"/>
            </w:pPr>
            <w:r>
              <w:rPr>
                <w:rFonts w:ascii="Times New Roman" w:hAnsi="Times New Roman" w:eastAsia="Times New Roman" w:cs="Times New Roman"/>
                <w:b w:val="0"/>
                <w:sz w:val="15"/>
              </w:rPr>
              <w:t>Progressed after targeted clarification; no prespecified numerical threshold; qualitative readiness review.</w:t>
            </w:r>
          </w:p>
        </w:tc>
      </w:tr>
      <w:tr w14:paraId="37358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639" w:type="dxa"/>
            <w:vAlign w:val="center"/>
            <w:tcMar>
              <w:top w:w="65" w:type="dxa"/>
              <w:start w:w="68" w:type="dxa"/>
              <w:bottom w:w="65" w:type="dxa"/>
              <w:end w:w="68" w:type="dxa"/>
            </w:tcMar>
          </w:tcPr>
          <w:p>
            <w:pPr>
              <w:spacing w:before="0" w:after="0"/>
            </w:pPr>
            <w:r>
              <w:rPr>
                <w:rFonts w:ascii="Times New Roman" w:hAnsi="Times New Roman" w:eastAsia="Times New Roman"/>
                <w:sz w:val="15"/>
              </w:rPr>
              <w:t>A3</w:t>
            </w:r>
          </w:p>
        </w:tc>
        <w:tc>
          <w:tcPr>
            <w:tcW w:w="1639" w:type="dxa"/>
            <w:vAlign w:val="center"/>
            <w:tcMar>
              <w:top w:w="65" w:type="dxa"/>
              <w:start w:w="68" w:type="dxa"/>
              <w:bottom w:w="65" w:type="dxa"/>
              <w:end w:w="68" w:type="dxa"/>
            </w:tcMar>
          </w:tcPr>
          <w:p w14:paraId="1B881BD1">
            <w:pPr>
              <w:spacing w:before="0" w:after="0" w:line="240" w:lineRule="auto"/>
            </w:pPr>
            <w:r>
              <w:rPr>
                <w:rFonts w:ascii="Times New Roman" w:hAnsi="Times New Roman" w:eastAsia="Times New Roman" w:cs="Times New Roman"/>
                <w:b w:val="0"/>
                <w:sz w:val="15"/>
              </w:rPr>
              <w:t>18</w:t>
            </w:r>
          </w:p>
        </w:tc>
        <w:tc>
          <w:tcPr>
            <w:tcW w:w="1639" w:type="dxa"/>
            <w:vAlign w:val="center"/>
            <w:tcMar>
              <w:top w:w="65" w:type="dxa"/>
              <w:start w:w="68" w:type="dxa"/>
              <w:bottom w:w="65" w:type="dxa"/>
              <w:end w:w="68" w:type="dxa"/>
            </w:tcMar>
          </w:tcPr>
          <w:p w14:paraId="34C452D4">
            <w:pPr>
              <w:spacing w:before="0" w:after="0" w:line="240" w:lineRule="auto"/>
            </w:pPr>
            <w:r>
              <w:rPr>
                <w:rFonts w:ascii="Times New Roman" w:hAnsi="Times New Roman" w:eastAsia="Times New Roman" w:cs="Times New Roman"/>
                <w:b w:val="0"/>
                <w:sz w:val="15"/>
              </w:rPr>
              <w:t>87.0%</w:t>
            </w:r>
          </w:p>
        </w:tc>
        <w:tc>
          <w:tcPr>
            <w:tcW w:w="1639" w:type="dxa"/>
            <w:vAlign w:val="center"/>
            <w:tcMar>
              <w:top w:w="65" w:type="dxa"/>
              <w:start w:w="68" w:type="dxa"/>
              <w:bottom w:w="65" w:type="dxa"/>
              <w:end w:w="68" w:type="dxa"/>
            </w:tcMar>
          </w:tcPr>
          <w:p w14:paraId="5C178B09">
            <w:pPr>
              <w:spacing w:before="0" w:after="0" w:line="240" w:lineRule="auto"/>
            </w:pPr>
            <w:r>
              <w:rPr>
                <w:rFonts w:ascii="Times New Roman" w:hAnsi="Times New Roman" w:eastAsia="Times New Roman" w:cs="Times New Roman"/>
                <w:b w:val="0"/>
                <w:sz w:val="15"/>
              </w:rPr>
              <w:t>Evidence-note/severity consistency; primary-secondary-boundary-HREF alignment; source availability; overlap and severity-3 decisions; record consistency</w:t>
            </w:r>
          </w:p>
        </w:tc>
        <w:tc>
          <w:tcPr>
            <w:tcW w:w="3278" w:type="dxa"/>
            <w:vAlign w:val="center"/>
            <w:tcMar>
              <w:top w:w="65" w:type="dxa"/>
              <w:start w:w="68" w:type="dxa"/>
              <w:bottom w:w="65" w:type="dxa"/>
              <w:end w:w="68" w:type="dxa"/>
            </w:tcMar>
          </w:tcPr>
          <w:p w14:paraId="2A3E4611">
            <w:pPr>
              <w:spacing w:before="0" w:after="0" w:line="240" w:lineRule="auto"/>
            </w:pPr>
            <w:r>
              <w:rPr>
                <w:rFonts w:ascii="Times New Roman" w:hAnsi="Times New Roman" w:eastAsia="Times New Roman" w:cs="Times New Roman"/>
                <w:b w:val="0"/>
                <w:sz w:val="15"/>
              </w:rPr>
              <w:t>Progressed after targeted clarification; no prespecified numerical threshold; qualitative readiness review.</w:t>
            </w:r>
          </w:p>
        </w:tc>
      </w:tr>
    </w:tbl>
    <w:p>
      <w:pPr>
        <w:keepNext/>
      </w:pPr>
      <w:r>
        <w:t>Table S11. Recurrent disagreement themes identified in the 18-case calibration round.</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1109"/>
        <w:gridCol w:w="1133"/>
        <w:gridCol w:w="7644"/>
      </w:tblGrid>
      <w:tr w14:paraId="26035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blHeader w:val="true"/>
          <w:jc w:val="center"/>
          <w:tblHeader w:val="true"/>
        </w:trPr>
        <w:tc>
          <w:tcPr>
            <w:tcW w:w="1092" w:type="dxa"/>
            <w:vAlign w:val="center"/>
            <w:tcMar>
              <w:top w:w="65" w:type="dxa"/>
              <w:start w:w="68" w:type="dxa"/>
              <w:bottom w:w="65" w:type="dxa"/>
              <w:end w:w="68" w:type="dxa"/>
            </w:tcMar>
            <w:shd w:val="clear" w:color="auto" w:fill="E8F0F8"/>
          </w:tcPr>
          <w:p w14:paraId="6C68388B">
            <w:pPr>
              <w:spacing w:before="0" w:after="0" w:line="240" w:lineRule="auto"/>
              <w:jc w:val="center"/>
            </w:pPr>
            <w:r>
              <w:rPr>
                <w:rFonts w:ascii="Times New Roman" w:hAnsi="Times New Roman" w:eastAsia="Times New Roman" w:cs="Times New Roman"/>
                <w:b/>
                <w:color w:val="1E364D"/>
                <w:sz w:val="16"/>
              </w:rPr>
              <w:t>Annotator</w:t>
            </w:r>
          </w:p>
        </w:tc>
        <w:tc>
          <w:tcPr>
            <w:tcW w:w="1092" w:type="dxa"/>
            <w:vAlign w:val="center"/>
            <w:tcMar>
              <w:top w:w="65" w:type="dxa"/>
              <w:start w:w="68" w:type="dxa"/>
              <w:bottom w:w="65" w:type="dxa"/>
              <w:end w:w="68" w:type="dxa"/>
            </w:tcMar>
            <w:shd w:val="clear" w:color="auto" w:fill="E8F0F8"/>
          </w:tcPr>
          <w:p>
            <w:pPr>
              <w:spacing w:before="0" w:after="0"/>
            </w:pPr>
            <w:r>
              <w:rPr>
                <w:rFonts w:ascii="Times New Roman" w:hAnsi="Times New Roman"/>
                <w:b/>
                <w:color w:val="1E364D"/>
                <w:sz w:val="16"/>
              </w:rPr>
            </w:r>
            <w:r>
              <w:rPr>
                <w:rFonts w:ascii="Times New Roman" w:hAnsi="Times New Roman"/>
                <w:b/>
                <w:color w:val="1E364D"/>
                <w:sz w:val="16"/>
              </w:rPr>
              <w:t>Recorded calibration agreement</w:t>
            </w:r>
          </w:p>
        </w:tc>
        <w:tc>
          <w:tcPr>
            <w:tcW w:w="7644" w:type="dxa"/>
            <w:vAlign w:val="center"/>
            <w:tcMar>
              <w:top w:w="65" w:type="dxa"/>
              <w:start w:w="68" w:type="dxa"/>
              <w:bottom w:w="65" w:type="dxa"/>
              <w:end w:w="68" w:type="dxa"/>
            </w:tcMar>
            <w:shd w:val="clear" w:color="auto" w:fill="E8F0F8"/>
          </w:tcPr>
          <w:p w14:paraId="30FEC825">
            <w:pPr>
              <w:spacing w:before="0" w:after="0" w:line="240" w:lineRule="auto"/>
              <w:jc w:val="center"/>
            </w:pPr>
            <w:r>
              <w:rPr>
                <w:rFonts w:ascii="Times New Roman" w:hAnsi="Times New Roman" w:eastAsia="Times New Roman" w:cs="Times New Roman"/>
                <w:b/>
                <w:color w:val="1E364D"/>
                <w:sz w:val="16"/>
              </w:rPr>
              <w:t>Recurrent calibration disagreement themes</w:t>
            </w:r>
          </w:p>
        </w:tc>
      </w:tr>
      <w:tr w14:paraId="0924C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val="true"/>
        </w:trPr>
        <w:tc>
          <w:tcPr>
            <w:tcW w:w="1092" w:type="dxa"/>
            <w:tcMar>
              <w:top w:w="65" w:type="dxa"/>
              <w:start w:w="68" w:type="dxa"/>
              <w:bottom w:w="65" w:type="dxa"/>
              <w:end w:w="68" w:type="dxa"/>
            </w:tcMar>
            <w:vAlign w:val="center"/>
          </w:tcPr>
          <w:p>
            <w:pPr>
              <w:spacing w:before="0" w:after="0"/>
            </w:pPr>
            <w:r>
              <w:rPr>
                <w:rFonts w:ascii="Times New Roman" w:hAnsi="Times New Roman" w:eastAsia="Times New Roman"/>
                <w:sz w:val="16"/>
              </w:rPr>
              <w:t>A1</w:t>
            </w:r>
          </w:p>
        </w:tc>
        <w:tc>
          <w:tcPr>
            <w:tcW w:w="1092" w:type="dxa"/>
            <w:tcMar>
              <w:top w:w="65" w:type="dxa"/>
              <w:start w:w="68" w:type="dxa"/>
              <w:bottom w:w="65" w:type="dxa"/>
              <w:end w:w="68" w:type="dxa"/>
            </w:tcMar>
            <w:vAlign w:val="center"/>
          </w:tcPr>
          <w:p w14:paraId="0D0FA676">
            <w:pPr>
              <w:spacing w:before="0" w:after="0" w:line="240" w:lineRule="auto"/>
            </w:pPr>
            <w:r>
              <w:rPr>
                <w:rFonts w:ascii="Times New Roman" w:hAnsi="Times New Roman" w:eastAsia="Times New Roman" w:cs="Times New Roman"/>
                <w:b w:val="0"/>
                <w:sz w:val="16"/>
              </w:rPr>
              <w:t>93.8%</w:t>
            </w:r>
          </w:p>
        </w:tc>
        <w:tc>
          <w:tcPr>
            <w:tcW w:w="7644" w:type="dxa"/>
            <w:tcMar>
              <w:top w:w="65" w:type="dxa"/>
              <w:start w:w="68" w:type="dxa"/>
              <w:bottom w:w="65" w:type="dxa"/>
              <w:end w:w="68" w:type="dxa"/>
            </w:tcMar>
            <w:vAlign w:val="center"/>
          </w:tcPr>
          <w:p w14:paraId="6A12E416">
            <w:pPr>
              <w:spacing w:before="0" w:after="0" w:line="240" w:lineRule="auto"/>
            </w:pPr>
            <w:r>
              <w:rPr>
                <w:rFonts w:ascii="Times New Roman" w:hAnsi="Times New Roman" w:eastAsia="Times New Roman" w:cs="Times New Roman"/>
                <w:b w:val="0"/>
                <w:sz w:val="16"/>
              </w:rPr>
              <w:t>Secondary OVR-02; task-objective interpretive anchor; HREF as a secondary label; severity threshold; temporal-order primary/secondary priority; OVR-06/OVR-03 differentiation; specific evidence spans where possible.</w:t>
            </w:r>
          </w:p>
        </w:tc>
      </w:tr>
      <w:tr w14:paraId="4AB7B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val="true"/>
        </w:trPr>
        <w:tc>
          <w:tcPr>
            <w:tcW w:w="1092" w:type="dxa"/>
            <w:tcMar>
              <w:top w:w="65" w:type="dxa"/>
              <w:start w:w="68" w:type="dxa"/>
              <w:bottom w:w="65" w:type="dxa"/>
              <w:end w:w="68" w:type="dxa"/>
            </w:tcMar>
            <w:vAlign w:val="center"/>
          </w:tcPr>
          <w:p>
            <w:pPr>
              <w:spacing w:before="0" w:after="0"/>
            </w:pPr>
            <w:r>
              <w:rPr>
                <w:rFonts w:ascii="Times New Roman" w:hAnsi="Times New Roman" w:eastAsia="Times New Roman"/>
                <w:sz w:val="16"/>
              </w:rPr>
              <w:t>A2</w:t>
            </w:r>
          </w:p>
        </w:tc>
        <w:tc>
          <w:tcPr>
            <w:tcW w:w="1092" w:type="dxa"/>
            <w:tcMar>
              <w:top w:w="65" w:type="dxa"/>
              <w:start w:w="68" w:type="dxa"/>
              <w:bottom w:w="65" w:type="dxa"/>
              <w:end w:w="68" w:type="dxa"/>
            </w:tcMar>
            <w:vAlign w:val="center"/>
          </w:tcPr>
          <w:p w14:paraId="2C3F91ED">
            <w:pPr>
              <w:spacing w:before="0" w:after="0" w:line="240" w:lineRule="auto"/>
            </w:pPr>
            <w:r>
              <w:rPr>
                <w:rFonts w:ascii="Times New Roman" w:hAnsi="Times New Roman" w:eastAsia="Times New Roman" w:cs="Times New Roman"/>
                <w:b w:val="0"/>
                <w:sz w:val="16"/>
              </w:rPr>
              <w:t>90.3%</w:t>
            </w:r>
          </w:p>
        </w:tc>
        <w:tc>
          <w:tcPr>
            <w:tcW w:w="7644" w:type="dxa"/>
            <w:tcMar>
              <w:top w:w="65" w:type="dxa"/>
              <w:start w:w="68" w:type="dxa"/>
              <w:bottom w:w="65" w:type="dxa"/>
              <w:end w:w="68" w:type="dxa"/>
            </w:tcMar>
            <w:vAlign w:val="center"/>
          </w:tcPr>
          <w:p w14:paraId="14A41066">
            <w:pPr>
              <w:spacing w:before="0" w:after="0" w:line="240" w:lineRule="auto"/>
            </w:pPr>
            <w:r>
              <w:rPr>
                <w:rFonts w:ascii="Times New Roman" w:hAnsi="Times New Roman" w:eastAsia="Times New Roman" w:cs="Times New Roman"/>
                <w:b w:val="0"/>
                <w:sz w:val="16"/>
              </w:rPr>
              <w:t>Secondary-label omissions; severity 2 versus 3; source-grounded HREF; interpretive-anchor selection; temporal and entity relations; evidence-span, evidence-note, and timestamp completion.</w:t>
            </w:r>
          </w:p>
        </w:tc>
      </w:tr>
      <w:tr w14:paraId="788F5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val="true"/>
        </w:trPr>
        <w:tc>
          <w:tcPr>
            <w:tcW w:w="1092" w:type="dxa"/>
            <w:tcMar>
              <w:top w:w="65" w:type="dxa"/>
              <w:start w:w="68" w:type="dxa"/>
              <w:bottom w:w="65" w:type="dxa"/>
              <w:end w:w="68" w:type="dxa"/>
            </w:tcMar>
            <w:vAlign w:val="center"/>
          </w:tcPr>
          <w:p>
            <w:pPr>
              <w:spacing w:before="0" w:after="0"/>
            </w:pPr>
            <w:r>
              <w:rPr>
                <w:rFonts w:ascii="Times New Roman" w:hAnsi="Times New Roman" w:eastAsia="Times New Roman"/>
                <w:sz w:val="16"/>
              </w:rPr>
              <w:t>A3</w:t>
            </w:r>
          </w:p>
        </w:tc>
        <w:tc>
          <w:tcPr>
            <w:tcW w:w="1092" w:type="dxa"/>
            <w:tcMar>
              <w:top w:w="65" w:type="dxa"/>
              <w:start w:w="68" w:type="dxa"/>
              <w:bottom w:w="65" w:type="dxa"/>
              <w:end w:w="68" w:type="dxa"/>
            </w:tcMar>
            <w:vAlign w:val="center"/>
          </w:tcPr>
          <w:p w14:paraId="70A14296">
            <w:pPr>
              <w:spacing w:before="0" w:after="0" w:line="240" w:lineRule="auto"/>
            </w:pPr>
            <w:r>
              <w:rPr>
                <w:rFonts w:ascii="Times New Roman" w:hAnsi="Times New Roman" w:eastAsia="Times New Roman" w:cs="Times New Roman"/>
                <w:b w:val="0"/>
                <w:sz w:val="16"/>
              </w:rPr>
              <w:t>87.0%</w:t>
            </w:r>
          </w:p>
        </w:tc>
        <w:tc>
          <w:tcPr>
            <w:tcW w:w="7644" w:type="dxa"/>
            <w:tcMar>
              <w:top w:w="65" w:type="dxa"/>
              <w:start w:w="68" w:type="dxa"/>
              <w:bottom w:w="65" w:type="dxa"/>
              <w:end w:w="68" w:type="dxa"/>
            </w:tcMar>
            <w:vAlign w:val="center"/>
          </w:tcPr>
          <w:p w14:paraId="598E1EDD">
            <w:pPr>
              <w:spacing w:before="0" w:after="0" w:line="240" w:lineRule="auto"/>
            </w:pPr>
            <w:r>
              <w:rPr>
                <w:rFonts w:ascii="Times New Roman" w:hAnsi="Times New Roman" w:eastAsia="Times New Roman" w:cs="Times New Roman"/>
                <w:b w:val="0"/>
                <w:sz w:val="16"/>
              </w:rPr>
              <w:t>Evidence-note and severity consistency; primary-secondary priority; boundary, HREF subtype, and source alignment; overlap decisions; severity-3 application; calibration-record consistency.</w:t>
            </w:r>
          </w:p>
        </w:tc>
      </w:tr>
    </w:tbl>
    <w:p>
      <w:pPr>
        <w:keepNext/>
      </w:pPr>
      <w:r>
        <w:t>Table S12. Independence, blinding, communication, and separation from the main reliability analysis.</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2458"/>
        <w:gridCol w:w="2458"/>
        <w:gridCol w:w="2458"/>
        <w:gridCol w:w="2458"/>
      </w:tblGrid>
      <w:tr w14:paraId="1462B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blHeader w:val="true"/>
          <w:jc w:val="center"/>
          <w:tblHeader w:val="true"/>
        </w:trPr>
        <w:tc>
          <w:tcPr>
            <w:tcW w:w="2458" w:type="dxa"/>
            <w:vAlign w:val="center"/>
            <w:tcMar>
              <w:top w:w="65" w:type="dxa"/>
              <w:start w:w="68" w:type="dxa"/>
              <w:bottom w:w="65" w:type="dxa"/>
              <w:end w:w="68" w:type="dxa"/>
            </w:tcMar>
            <w:shd w:val="clear" w:color="auto" w:fill="E8F0F8"/>
          </w:tcPr>
          <w:p w14:paraId="3C2920F6">
            <w:pPr>
              <w:spacing w:before="0" w:after="0" w:line="240" w:lineRule="auto"/>
              <w:jc w:val="center"/>
            </w:pPr>
            <w:r>
              <w:rPr>
                <w:rFonts w:ascii="Times New Roman" w:hAnsi="Times New Roman" w:eastAsia="Times New Roman" w:cs="Times New Roman"/>
                <w:b/>
                <w:color w:val="1E364D"/>
                <w:sz w:val="16"/>
              </w:rPr>
              <w:t>Stage</w:t>
            </w:r>
          </w:p>
        </w:tc>
        <w:tc>
          <w:tcPr>
            <w:tcW w:w="2458" w:type="dxa"/>
            <w:vAlign w:val="center"/>
            <w:tcMar>
              <w:top w:w="65" w:type="dxa"/>
              <w:start w:w="68" w:type="dxa"/>
              <w:bottom w:w="65" w:type="dxa"/>
              <w:end w:w="68" w:type="dxa"/>
            </w:tcMar>
            <w:shd w:val="clear" w:color="auto" w:fill="E8F0F8"/>
          </w:tcPr>
          <w:p w14:paraId="3E88189E">
            <w:pPr>
              <w:spacing w:before="0" w:after="0" w:line="240" w:lineRule="auto"/>
              <w:jc w:val="center"/>
            </w:pPr>
            <w:r>
              <w:rPr>
                <w:rFonts w:ascii="Times New Roman" w:hAnsi="Times New Roman" w:eastAsia="Times New Roman" w:cs="Times New Roman"/>
                <w:b/>
                <w:color w:val="1E364D"/>
                <w:sz w:val="16"/>
              </w:rPr>
              <w:t>Implemented procedure</w:t>
            </w:r>
          </w:p>
        </w:tc>
        <w:tc>
          <w:tcPr>
            <w:tcW w:w="2458" w:type="dxa"/>
            <w:vAlign w:val="center"/>
            <w:tcMar>
              <w:top w:w="65" w:type="dxa"/>
              <w:start w:w="68" w:type="dxa"/>
              <w:bottom w:w="65" w:type="dxa"/>
              <w:end w:w="68" w:type="dxa"/>
            </w:tcMar>
            <w:shd w:val="clear" w:color="auto" w:fill="E8F0F8"/>
          </w:tcPr>
          <w:p w14:paraId="0453D51B">
            <w:pPr>
              <w:spacing w:before="0" w:after="0" w:line="240" w:lineRule="auto"/>
              <w:jc w:val="center"/>
            </w:pPr>
            <w:r>
              <w:rPr>
                <w:rFonts w:ascii="Times New Roman" w:hAnsi="Times New Roman" w:eastAsia="Times New Roman" w:cs="Times New Roman"/>
                <w:b/>
                <w:color w:val="1E364D"/>
                <w:sz w:val="16"/>
              </w:rPr>
              <w:t>Information boundary</w:t>
            </w:r>
          </w:p>
        </w:tc>
        <w:tc>
          <w:tcPr>
            <w:tcW w:w="2458" w:type="dxa"/>
            <w:vAlign w:val="center"/>
            <w:tcMar>
              <w:top w:w="65" w:type="dxa"/>
              <w:start w:w="68" w:type="dxa"/>
              <w:bottom w:w="65" w:type="dxa"/>
              <w:end w:w="68" w:type="dxa"/>
            </w:tcMar>
            <w:shd w:val="clear" w:color="auto" w:fill="E8F0F8"/>
          </w:tcPr>
          <w:p w14:paraId="2B33DC59">
            <w:pPr>
              <w:spacing w:before="0" w:after="0" w:line="240" w:lineRule="auto"/>
              <w:jc w:val="center"/>
            </w:pPr>
            <w:r>
              <w:rPr>
                <w:rFonts w:ascii="Times New Roman" w:hAnsi="Times New Roman" w:eastAsia="Times New Roman" w:cs="Times New Roman"/>
                <w:b/>
                <w:color w:val="1E364D"/>
                <w:sz w:val="16"/>
              </w:rPr>
              <w:t>Interpretation</w:t>
            </w:r>
          </w:p>
        </w:tc>
      </w:tr>
      <w:tr w14:paraId="1AC87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2458" w:type="dxa"/>
            <w:vAlign w:val="center"/>
            <w:tcMar>
              <w:top w:w="65" w:type="dxa"/>
              <w:start w:w="68" w:type="dxa"/>
              <w:bottom w:w="65" w:type="dxa"/>
              <w:end w:w="68" w:type="dxa"/>
            </w:tcMar>
          </w:tcPr>
          <w:p w14:paraId="0F6EDD34">
            <w:pPr>
              <w:spacing w:before="0" w:after="0" w:line="240" w:lineRule="auto"/>
            </w:pPr>
            <w:r>
              <w:rPr>
                <w:rFonts w:ascii="Times New Roman" w:hAnsi="Times New Roman" w:eastAsia="Times New Roman" w:cs="Times New Roman"/>
                <w:b w:val="0"/>
                <w:sz w:val="16"/>
              </w:rPr>
              <w:t>Calibration feedback</w:t>
            </w:r>
          </w:p>
        </w:tc>
        <w:tc>
          <w:tcPr>
            <w:tcW w:w="2458" w:type="dxa"/>
            <w:vAlign w:val="center"/>
            <w:tcMar>
              <w:top w:w="65" w:type="dxa"/>
              <w:start w:w="68" w:type="dxa"/>
              <w:bottom w:w="65" w:type="dxa"/>
              <w:end w:w="68" w:type="dxa"/>
            </w:tcMar>
          </w:tcPr>
          <w:p w14:paraId="0ECCC90F">
            <w:pPr>
              <w:spacing w:before="0" w:after="0" w:line="240" w:lineRule="auto"/>
            </w:pPr>
            <w:r>
              <w:rPr>
                <w:rFonts w:ascii="Times New Roman" w:hAnsi="Times New Roman" w:eastAsia="Times New Roman" w:cs="Times New Roman"/>
                <w:b w:val="0"/>
                <w:sz w:val="16"/>
              </w:rPr>
              <w:t>Separate official emails from the project lead after independent completion of the 18 calibration cases and before the 720-case main round</w:t>
            </w:r>
          </w:p>
        </w:tc>
        <w:tc>
          <w:tcPr>
            <w:tcW w:w="2458" w:type="dxa"/>
            <w:vAlign w:val="center"/>
            <w:tcMar>
              <w:top w:w="65" w:type="dxa"/>
              <w:start w:w="68" w:type="dxa"/>
              <w:bottom w:w="65" w:type="dxa"/>
              <w:end w:w="68" w:type="dxa"/>
            </w:tcMar>
          </w:tcPr>
          <w:p w14:paraId="29C0FDC4">
            <w:pPr>
              <w:spacing w:before="0" w:after="0" w:line="240" w:lineRule="auto"/>
            </w:pPr>
            <w:r>
              <w:rPr>
                <w:rFonts w:ascii="Times New Roman" w:hAnsi="Times New Roman" w:eastAsia="Times New Roman" w:cs="Times New Roman"/>
                <w:b w:val="0"/>
                <w:sz w:val="16"/>
              </w:rPr>
              <w:t>No peer main-study files, peer ratings, majority outcomes, or final resolutions</w:t>
            </w:r>
          </w:p>
        </w:tc>
        <w:tc>
          <w:tcPr>
            <w:tcW w:w="2458" w:type="dxa"/>
            <w:vAlign w:val="center"/>
            <w:tcMar>
              <w:top w:w="65" w:type="dxa"/>
              <w:start w:w="68" w:type="dxa"/>
              <w:bottom w:w="65" w:type="dxa"/>
              <w:end w:w="68" w:type="dxa"/>
            </w:tcMar>
          </w:tcPr>
          <w:p w14:paraId="19433DDA">
            <w:pPr>
              <w:spacing w:before="0" w:after="0" w:line="240" w:lineRule="auto"/>
            </w:pPr>
            <w:r>
              <w:rPr>
                <w:rFonts w:ascii="Times New Roman" w:hAnsi="Times New Roman" w:eastAsia="Times New Roman" w:cs="Times New Roman"/>
                <w:b w:val="0"/>
                <w:sz w:val="16"/>
              </w:rPr>
              <w:t>Training and readiness evidence; not part of the main reliability dataset.</w:t>
            </w:r>
          </w:p>
        </w:tc>
      </w:tr>
      <w:tr w14:paraId="17E35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2458" w:type="dxa"/>
            <w:vAlign w:val="center"/>
            <w:tcMar>
              <w:top w:w="65" w:type="dxa"/>
              <w:start w:w="68" w:type="dxa"/>
              <w:bottom w:w="65" w:type="dxa"/>
              <w:end w:w="68" w:type="dxa"/>
            </w:tcMar>
          </w:tcPr>
          <w:p w14:paraId="66E2A16A">
            <w:pPr>
              <w:spacing w:before="0" w:after="0" w:line="240" w:lineRule="auto"/>
            </w:pPr>
            <w:r>
              <w:rPr>
                <w:rFonts w:ascii="Times New Roman" w:hAnsi="Times New Roman" w:eastAsia="Times New Roman" w:cs="Times New Roman"/>
                <w:b w:val="0"/>
                <w:sz w:val="16"/>
              </w:rPr>
              <w:t>Main-round files</w:t>
            </w:r>
          </w:p>
        </w:tc>
        <w:tc>
          <w:tcPr>
            <w:tcW w:w="2458" w:type="dxa"/>
            <w:vAlign w:val="center"/>
            <w:tcMar>
              <w:top w:w="65" w:type="dxa"/>
              <w:start w:w="68" w:type="dxa"/>
              <w:bottom w:w="65" w:type="dxa"/>
              <w:end w:w="68" w:type="dxa"/>
            </w:tcMar>
          </w:tcPr>
          <w:p w14:paraId="5F2E48FB">
            <w:pPr>
              <w:spacing w:before="0" w:after="0" w:line="240" w:lineRule="auto"/>
            </w:pPr>
            <w:r>
              <w:rPr>
                <w:rFonts w:ascii="Times New Roman" w:hAnsi="Times New Roman" w:eastAsia="Times New Roman" w:cs="Times New Roman"/>
                <w:b w:val="0"/>
                <w:sz w:val="16"/>
              </w:rPr>
              <w:t>Separate workbooks with different row orders</w:t>
            </w:r>
          </w:p>
        </w:tc>
        <w:tc>
          <w:tcPr>
            <w:tcW w:w="2458" w:type="dxa"/>
            <w:vAlign w:val="center"/>
            <w:tcMar>
              <w:top w:w="65" w:type="dxa"/>
              <w:start w:w="68" w:type="dxa"/>
              <w:bottom w:w="65" w:type="dxa"/>
              <w:end w:w="68" w:type="dxa"/>
            </w:tcMar>
          </w:tcPr>
          <w:p w14:paraId="2086102E">
            <w:pPr>
              <w:spacing w:before="0" w:after="0" w:line="240" w:lineRule="auto"/>
            </w:pPr>
            <w:r>
              <w:rPr>
                <w:rFonts w:ascii="Times New Roman" w:hAnsi="Times New Roman" w:eastAsia="Times New Roman" w:cs="Times New Roman"/>
                <w:b w:val="0"/>
                <w:sz w:val="16"/>
              </w:rPr>
              <w:t>Checkpoint/architecture, target failure, expected outcome, peer labels/notes, majority and resolution hidden</w:t>
            </w:r>
          </w:p>
        </w:tc>
        <w:tc>
          <w:tcPr>
            <w:tcW w:w="2458" w:type="dxa"/>
            <w:vAlign w:val="center"/>
            <w:tcMar>
              <w:top w:w="65" w:type="dxa"/>
              <w:start w:w="68" w:type="dxa"/>
              <w:bottom w:w="65" w:type="dxa"/>
              <w:end w:w="68" w:type="dxa"/>
            </w:tcMar>
          </w:tcPr>
          <w:p w14:paraId="0F14A774">
            <w:pPr>
              <w:spacing w:before="0" w:after="0" w:line="240" w:lineRule="auto"/>
            </w:pPr>
            <w:r>
              <w:rPr>
                <w:rFonts w:ascii="Times New Roman" w:hAnsi="Times New Roman" w:eastAsia="Times New Roman" w:cs="Times New Roman"/>
                <w:b w:val="0"/>
                <w:sz w:val="16"/>
              </w:rPr>
              <w:t>Model and cross-rater label blinding.</w:t>
            </w:r>
          </w:p>
        </w:tc>
      </w:tr>
      <w:tr w14:paraId="6060B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2458" w:type="dxa"/>
            <w:vAlign w:val="center"/>
            <w:tcMar>
              <w:top w:w="65" w:type="dxa"/>
              <w:start w:w="68" w:type="dxa"/>
              <w:bottom w:w="65" w:type="dxa"/>
              <w:end w:w="68" w:type="dxa"/>
            </w:tcMar>
          </w:tcPr>
          <w:p w14:paraId="4204E589">
            <w:pPr>
              <w:spacing w:before="0" w:after="0" w:line="240" w:lineRule="auto"/>
            </w:pPr>
            <w:r>
              <w:rPr>
                <w:rFonts w:ascii="Times New Roman" w:hAnsi="Times New Roman" w:eastAsia="Times New Roman" w:cs="Times New Roman"/>
                <w:b w:val="0"/>
                <w:sz w:val="16"/>
              </w:rPr>
              <w:t>Independent annotation</w:t>
            </w:r>
          </w:p>
        </w:tc>
        <w:tc>
          <w:tcPr>
            <w:tcW w:w="2458" w:type="dxa"/>
            <w:vAlign w:val="center"/>
            <w:tcMar>
              <w:top w:w="65" w:type="dxa"/>
              <w:start w:w="68" w:type="dxa"/>
              <w:bottom w:w="65" w:type="dxa"/>
              <w:end w:w="68" w:type="dxa"/>
            </w:tcMar>
          </w:tcPr>
          <w:p w14:paraId="23AAF74D">
            <w:pPr>
              <w:spacing w:before="0" w:after="0" w:line="240" w:lineRule="auto"/>
            </w:pPr>
            <w:r>
              <w:rPr>
                <w:rFonts w:ascii="Times New Roman" w:hAnsi="Times New Roman" w:eastAsia="Times New Roman" w:cs="Times New Roman"/>
                <w:b w:val="0"/>
                <w:sz w:val="16"/>
              </w:rPr>
              <w:t>Each annotator completed the 720 cases in their own file under v1.2_final_locked</w:t>
            </w:r>
          </w:p>
        </w:tc>
        <w:tc>
          <w:tcPr>
            <w:tcW w:w="2458" w:type="dxa"/>
            <w:vAlign w:val="center"/>
            <w:tcMar>
              <w:top w:w="65" w:type="dxa"/>
              <w:start w:w="68" w:type="dxa"/>
              <w:bottom w:w="65" w:type="dxa"/>
              <w:end w:w="68" w:type="dxa"/>
            </w:tcMar>
          </w:tcPr>
          <w:p w14:paraId="15F75D3E">
            <w:pPr>
              <w:spacing w:before="0" w:after="0" w:line="240" w:lineRule="auto"/>
            </w:pPr>
            <w:r>
              <w:rPr>
                <w:rFonts w:ascii="Times New Roman" w:hAnsi="Times New Roman" w:eastAsia="Times New Roman" w:cs="Times New Roman"/>
                <w:b w:val="0"/>
                <w:sz w:val="16"/>
              </w:rPr>
              <w:t>No project lead counted as a rater</w:t>
            </w:r>
          </w:p>
        </w:tc>
        <w:tc>
          <w:tcPr>
            <w:tcW w:w="2458" w:type="dxa"/>
            <w:vAlign w:val="center"/>
            <w:tcMar>
              <w:top w:w="65" w:type="dxa"/>
              <w:start w:w="68" w:type="dxa"/>
              <w:bottom w:w="65" w:type="dxa"/>
              <w:end w:w="68" w:type="dxa"/>
            </w:tcMar>
          </w:tcPr>
          <w:p w14:paraId="2E7A2F50">
            <w:pPr>
              <w:spacing w:before="0" w:after="0" w:line="240" w:lineRule="auto"/>
            </w:pPr>
            <w:r>
              <w:rPr>
                <w:rFonts w:ascii="Times New Roman" w:hAnsi="Times New Roman" w:eastAsia="Times New Roman" w:cs="Times New Roman"/>
                <w:b w:val="0"/>
                <w:sz w:val="16"/>
              </w:rPr>
              <w:t>Authoritative final locked pre-resolution records.</w:t>
            </w:r>
          </w:p>
        </w:tc>
      </w:tr>
      <w:tr w14:paraId="40759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2458" w:type="dxa"/>
            <w:vAlign w:val="center"/>
            <w:tcMar>
              <w:top w:w="65" w:type="dxa"/>
              <w:start w:w="68" w:type="dxa"/>
              <w:bottom w:w="65" w:type="dxa"/>
              <w:end w:w="68" w:type="dxa"/>
            </w:tcMar>
          </w:tcPr>
          <w:p w14:paraId="56A5EAB9">
            <w:pPr>
              <w:spacing w:before="0" w:after="0" w:line="240" w:lineRule="auto"/>
            </w:pPr>
            <w:r>
              <w:rPr>
                <w:rFonts w:ascii="Times New Roman" w:hAnsi="Times New Roman" w:eastAsia="Times New Roman" w:cs="Times New Roman"/>
                <w:b w:val="0"/>
                <w:sz w:val="16"/>
              </w:rPr>
              <w:t>Calibration decision ownership</w:t>
            </w:r>
          </w:p>
        </w:tc>
        <w:tc>
          <w:tcPr>
            <w:tcW w:w="2458" w:type="dxa"/>
            <w:vAlign w:val="center"/>
            <w:tcMar>
              <w:top w:w="65" w:type="dxa"/>
              <w:start w:w="68" w:type="dxa"/>
              <w:bottom w:w="65" w:type="dxa"/>
              <w:end w:w="68" w:type="dxa"/>
            </w:tcMar>
          </w:tcPr>
          <w:p w14:paraId="4E5CD907">
            <w:pPr>
              <w:spacing w:before="0" w:after="0" w:line="240" w:lineRule="auto"/>
            </w:pPr>
            <w:r>
              <w:rPr>
                <w:rFonts w:ascii="Times New Roman" w:hAnsi="Times New Roman" w:eastAsia="Times New Roman" w:cs="Times New Roman"/>
                <w:b w:val="0"/>
                <w:sz w:val="16"/>
              </w:rPr>
              <w:t>Each annotator could retain the classification best supported by the locked manual; feedback did not require conformity to another annotator's decision.</w:t>
            </w:r>
          </w:p>
        </w:tc>
        <w:tc>
          <w:tcPr>
            <w:tcW w:w="2458" w:type="dxa"/>
            <w:vAlign w:val="center"/>
            <w:tcMar>
              <w:top w:w="65" w:type="dxa"/>
              <w:start w:w="68" w:type="dxa"/>
              <w:bottom w:w="65" w:type="dxa"/>
              <w:end w:w="68" w:type="dxa"/>
            </w:tcMar>
          </w:tcPr>
          <w:p w14:paraId="45D11E30">
            <w:pPr>
              <w:spacing w:before="0" w:after="0" w:line="240" w:lineRule="auto"/>
            </w:pPr>
            <w:r>
              <w:rPr>
                <w:rFonts w:ascii="Times New Roman" w:hAnsi="Times New Roman" w:eastAsia="Times New Roman" w:cs="Times New Roman"/>
                <w:b w:val="0"/>
                <w:sz w:val="16"/>
              </w:rPr>
              <w:t>Only the 18 calibration cases; no peer 720-case values disclosed</w:t>
            </w:r>
          </w:p>
        </w:tc>
        <w:tc>
          <w:tcPr>
            <w:tcW w:w="2458" w:type="dxa"/>
            <w:vAlign w:val="center"/>
            <w:tcMar>
              <w:top w:w="65" w:type="dxa"/>
              <w:start w:w="68" w:type="dxa"/>
              <w:bottom w:w="65" w:type="dxa"/>
              <w:end w:w="68" w:type="dxa"/>
            </w:tcMar>
          </w:tcPr>
          <w:p w14:paraId="69C758B1">
            <w:pPr>
              <w:spacing w:before="0" w:after="0" w:line="240" w:lineRule="auto"/>
            </w:pPr>
            <w:r>
              <w:rPr>
                <w:rFonts w:ascii="Times New Roman" w:hAnsi="Times New Roman" w:eastAsia="Times New Roman" w:cs="Times New Roman"/>
                <w:b w:val="0"/>
                <w:sz w:val="16"/>
              </w:rPr>
              <w:t>Non-coercive calibration clarification before independent main annotation.</w:t>
            </w:r>
          </w:p>
        </w:tc>
      </w:tr>
      <w:tr w14:paraId="5D132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2458" w:type="dxa"/>
            <w:vAlign w:val="center"/>
            <w:tcMar>
              <w:top w:w="65" w:type="dxa"/>
              <w:start w:w="68" w:type="dxa"/>
              <w:bottom w:w="65" w:type="dxa"/>
              <w:end w:w="68" w:type="dxa"/>
            </w:tcMar>
          </w:tcPr>
          <w:p w14:paraId="20CBCEA2">
            <w:pPr>
              <w:spacing w:before="0" w:after="0" w:line="240" w:lineRule="auto"/>
            </w:pPr>
            <w:r>
              <w:rPr>
                <w:rFonts w:ascii="Times New Roman" w:hAnsi="Times New Roman" w:eastAsia="Times New Roman" w:cs="Times New Roman"/>
                <w:b w:val="0"/>
                <w:sz w:val="16"/>
              </w:rPr>
              <w:t>Authoritative workbook verification</w:t>
            </w:r>
          </w:p>
        </w:tc>
        <w:tc>
          <w:tcPr>
            <w:tcW w:w="2458" w:type="dxa"/>
            <w:vAlign w:val="center"/>
            <w:tcMar>
              <w:top w:w="65" w:type="dxa"/>
              <w:start w:w="68" w:type="dxa"/>
              <w:bottom w:w="65" w:type="dxa"/>
              <w:end w:w="68" w:type="dxa"/>
            </w:tcMar>
          </w:tcPr>
          <w:p w14:paraId="0795B883">
            <w:pPr>
              <w:spacing w:before="0" w:after="0" w:line="240" w:lineRule="auto"/>
            </w:pPr>
            <w:r>
              <w:rPr>
                <w:rFonts w:ascii="Times New Roman" w:hAnsi="Times New Roman" w:eastAsia="Times New Roman" w:cs="Times New Roman"/>
                <w:b w:val="0"/>
                <w:sz w:val="16"/>
              </w:rPr>
              <w:t>Current A1-A3 files contain only Annotation, Instructions, Codebook, and AllowedValues sheets.</w:t>
            </w:r>
          </w:p>
        </w:tc>
        <w:tc>
          <w:tcPr>
            <w:tcW w:w="2458" w:type="dxa"/>
            <w:vAlign w:val="center"/>
            <w:tcMar>
              <w:top w:w="65" w:type="dxa"/>
              <w:start w:w="68" w:type="dxa"/>
              <w:bottom w:w="65" w:type="dxa"/>
              <w:end w:w="68" w:type="dxa"/>
            </w:tcMar>
          </w:tcPr>
          <w:p w14:paraId="009FCD8F">
            <w:pPr>
              <w:spacing w:before="0" w:after="0" w:line="240" w:lineRule="auto"/>
            </w:pPr>
            <w:r>
              <w:rPr>
                <w:rFonts w:ascii="Times New Roman" w:hAnsi="Times New Roman" w:eastAsia="Times New Roman" w:cs="Times New Roman"/>
                <w:b w:val="0"/>
                <w:sz w:val="16"/>
              </w:rPr>
              <w:t>No old/new decision ledger is present in the authoritative source set.</w:t>
            </w:r>
          </w:p>
        </w:tc>
        <w:tc>
          <w:tcPr>
            <w:tcW w:w="2458" w:type="dxa"/>
            <w:vAlign w:val="center"/>
            <w:tcMar>
              <w:top w:w="65" w:type="dxa"/>
              <w:start w:w="68" w:type="dxa"/>
              <w:bottom w:w="65" w:type="dxa"/>
              <w:end w:w="68" w:type="dxa"/>
            </w:tcMar>
          </w:tcPr>
          <w:p w14:paraId="33B49635">
            <w:pPr>
              <w:spacing w:before="0" w:after="0" w:line="240" w:lineRule="auto"/>
            </w:pPr>
            <w:r>
              <w:rPr>
                <w:rFonts w:ascii="Times New Roman" w:hAnsi="Times New Roman" w:eastAsia="Times New Roman" w:cs="Times New Roman"/>
                <w:b w:val="0"/>
                <w:sz w:val="16"/>
              </w:rPr>
              <w:t>Final locked main-round fields are the sole source for agreement analysis.</w:t>
            </w:r>
          </w:p>
        </w:tc>
      </w:tr>
      <w:tr w14:paraId="623EF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2458" w:type="dxa"/>
            <w:vAlign w:val="center"/>
            <w:tcMar>
              <w:top w:w="65" w:type="dxa"/>
              <w:start w:w="68" w:type="dxa"/>
              <w:bottom w:w="65" w:type="dxa"/>
              <w:end w:w="68" w:type="dxa"/>
            </w:tcMar>
          </w:tcPr>
          <w:p w14:paraId="22D42239">
            <w:pPr>
              <w:spacing w:before="0" w:after="0" w:line="240" w:lineRule="auto"/>
            </w:pPr>
            <w:r>
              <w:rPr>
                <w:rFonts w:ascii="Times New Roman" w:hAnsi="Times New Roman" w:eastAsia="Times New Roman" w:cs="Times New Roman"/>
                <w:b w:val="0"/>
                <w:sz w:val="16"/>
              </w:rPr>
              <w:t>Reliability freeze</w:t>
            </w:r>
          </w:p>
        </w:tc>
        <w:tc>
          <w:tcPr>
            <w:tcW w:w="2458" w:type="dxa"/>
            <w:vAlign w:val="center"/>
            <w:tcMar>
              <w:top w:w="65" w:type="dxa"/>
              <w:start w:w="68" w:type="dxa"/>
              <w:bottom w:w="65" w:type="dxa"/>
              <w:end w:w="68" w:type="dxa"/>
            </w:tcMar>
          </w:tcPr>
          <w:p w14:paraId="5DE0D5EB">
            <w:pPr>
              <w:spacing w:before="0" w:after="0" w:line="240" w:lineRule="auto"/>
            </w:pPr>
            <w:r>
              <w:rPr>
                <w:rFonts w:ascii="Times New Roman" w:hAnsi="Times New Roman" w:eastAsia="Times New Roman" w:cs="Times New Roman"/>
                <w:b w:val="0"/>
                <w:sz w:val="16"/>
              </w:rPr>
              <w:t>The three 720-case workbooks were frozen before cross-rater resolution.</w:t>
            </w:r>
          </w:p>
        </w:tc>
        <w:tc>
          <w:tcPr>
            <w:tcW w:w="2458" w:type="dxa"/>
            <w:vAlign w:val="center"/>
            <w:tcMar>
              <w:top w:w="65" w:type="dxa"/>
              <w:start w:w="68" w:type="dxa"/>
              <w:bottom w:w="65" w:type="dxa"/>
              <w:end w:w="68" w:type="dxa"/>
            </w:tcMar>
          </w:tcPr>
          <w:p w14:paraId="64CD6EBD">
            <w:pPr>
              <w:spacing w:before="0" w:after="0" w:line="240" w:lineRule="auto"/>
            </w:pPr>
            <w:r>
              <w:rPr>
                <w:rFonts w:ascii="Times New Roman" w:hAnsi="Times New Roman" w:eastAsia="Times New Roman" w:cs="Times New Roman"/>
                <w:b w:val="0"/>
                <w:sz w:val="16"/>
              </w:rPr>
              <w:t>No majority/median, AI proposal, text-review result, or project-lead adjudication entered the coefficients.</w:t>
            </w:r>
          </w:p>
        </w:tc>
        <w:tc>
          <w:tcPr>
            <w:tcW w:w="2458" w:type="dxa"/>
            <w:vAlign w:val="center"/>
            <w:tcMar>
              <w:top w:w="65" w:type="dxa"/>
              <w:start w:w="68" w:type="dxa"/>
              <w:bottom w:w="65" w:type="dxa"/>
              <w:end w:w="68" w:type="dxa"/>
            </w:tcMar>
          </w:tcPr>
          <w:p w14:paraId="1BCF7EDC">
            <w:pPr>
              <w:spacing w:before="0" w:after="0" w:line="240" w:lineRule="auto"/>
            </w:pPr>
            <w:r>
              <w:rPr>
                <w:rFonts w:ascii="Times New Roman" w:hAnsi="Times New Roman" w:eastAsia="Times New Roman" w:cs="Times New Roman"/>
                <w:b w:val="0"/>
                <w:sz w:val="16"/>
              </w:rPr>
              <w:t>Authoritative final locked pre-resolution agreement under the shared calibration workflow.</w:t>
            </w:r>
          </w:p>
        </w:tc>
      </w:tr>
      <w:tr>
        <w:trPr>
          <w:cantSplit/>
        </w:trPr>
        <w:tc>
          <w:tcPr>
            <w:tcW w:type="dxa" w:w="2458"/>
            <w:vAlign w:val="center"/>
            <w:tcMar>
              <w:top w:w="65" w:type="dxa"/>
              <w:start w:w="68" w:type="dxa"/>
              <w:bottom w:w="65" w:type="dxa"/>
              <w:end w:w="68" w:type="dxa"/>
            </w:tcMar>
          </w:tcPr>
          <w:p>
            <w:pPr>
              <w:spacing w:before="0" w:after="0"/>
            </w:pPr>
            <w:r>
              <w:rPr>
                <w:rFonts w:ascii="Times New Roman" w:hAnsi="Times New Roman"/>
                <w:sz w:val="16"/>
              </w:rPr>
            </w:r>
            <w:r>
              <w:rPr>
                <w:rFonts w:ascii="Times New Roman" w:hAnsi="Times New Roman"/>
                <w:b w:val="0"/>
                <w:sz w:val="16"/>
              </w:rPr>
              <w:t>Senior adjudication (A4)</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r>
            <w:r>
              <w:rPr>
                <w:rFonts w:ascii="Times New Roman" w:hAnsi="Times New Roman"/>
                <w:b w:val="0"/>
                <w:sz w:val="16"/>
              </w:rPr>
              <w:t>A4 receives the locked manual plus each queued case and the submitted A1–A3 annotations; no direct contact with A1–A3</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r>
            <w:r>
              <w:rPr>
                <w:rFonts w:ascii="Times New Roman" w:hAnsi="Times New Roman"/>
                <w:b w:val="0"/>
                <w:sz w:val="16"/>
              </w:rPr>
              <w:t>No checkpoint/architecture, computational result, or expected study outcome; personal identities of A1–A3 not supplied</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r>
            <w:r>
              <w:rPr>
                <w:rFonts w:ascii="Times New Roman" w:hAnsi="Times New Roman"/>
                <w:b w:val="0"/>
                <w:sz w:val="16"/>
              </w:rPr>
              <w:t>Reference construction after viewing prior human decisions; not a fourth independent IAA rating.</w:t>
            </w:r>
          </w:p>
        </w:tc>
      </w:tr>
      <w:tr>
        <w:trPr>
          <w:cantSplit/>
        </w:trPr>
        <w:tc>
          <w:tcPr>
            <w:tcW w:type="dxa" w:w="2458"/>
            <w:vAlign w:val="center"/>
            <w:tcMar>
              <w:top w:w="65" w:type="dxa"/>
              <w:start w:w="68" w:type="dxa"/>
              <w:bottom w:w="65" w:type="dxa"/>
              <w:end w:w="68" w:type="dxa"/>
            </w:tcMar>
          </w:tcPr>
          <w:p>
            <w:pPr>
              <w:spacing w:before="0" w:after="0"/>
            </w:pPr>
            <w:r>
              <w:rPr>
                <w:rFonts w:ascii="Times New Roman" w:hAnsi="Times New Roman"/>
                <w:sz w:val="16"/>
              </w:rPr>
            </w:r>
            <w:r>
              <w:rPr>
                <w:rFonts w:ascii="Times New Roman" w:hAnsi="Times New Roman"/>
                <w:b w:val="0"/>
                <w:sz w:val="16"/>
              </w:rPr>
              <w:t>Targeted manual-consistency re-review</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r>
            <w:r>
              <w:rPr>
                <w:rFonts w:ascii="Times New Roman" w:hAnsi="Times New Roman"/>
                <w:b w:val="0"/>
                <w:sz w:val="16"/>
              </w:rPr>
              <w:t>After project-lead comparison of A4 closures with the same locked manual, 29 cases are returned to A4 for fresh re-review</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r>
            <w:r>
              <w:rPr>
                <w:rFonts w:ascii="Times New Roman" w:hAnsi="Times New Roman"/>
                <w:b w:val="0"/>
                <w:sz w:val="16"/>
              </w:rPr>
              <w:t>Same adjudicator; no new annotator sample and no A1–A3 discussion</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r>
            <w:r>
              <w:rPr>
                <w:rFonts w:ascii="Times New Roman" w:hAnsi="Times New Roman"/>
                <w:b w:val="0"/>
                <w:sz w:val="16"/>
              </w:rPr>
              <w:t>Within-adjudicator QC only; 27 revised, 2 confirmed; not inter-adjudicator reliability.</w:t>
            </w:r>
          </w:p>
        </w:tc>
      </w:tr>
    </w:tbl>
    <w:p>
      <w:pPr>
        <w:widowControl/>
      </w:pPr>
      <w:r>
        <w:t>Three linguistics specialists completed approximately three days of training with the locked Annotation Manual v1.2_final_locked, worked examples, and the three-axis decision procedure. They then independently annotated the same 18 separate project-lead-created calibration cases, excluded from the 720-case corpus. The archived training record preserves field-agreement summaries of 93.8%, 90.3%, and 87.0% for A1–A3 and documents clarification themes; no prespecified numerical pass threshold or post-feedback retest was defined.</w:t>
      </w:r>
    </w:p>
    <w:p>
      <w:pPr/>
      <w:r>
        <w:t>Protocol adherence and documentary limit (H04/H13). Annotation Manual v1.2_final_locked specifies an independent 18-case calibration followed by a planned group discussion of disagreements. The surviving implementation account substantiates separate official-email feedback from the project lead; it does not resolve whether the planned group discussion also took place. Until independently dated evidence is supplied, the implementation is described as e-mail-based clarification and any group meeting is treated as unverified, not silently inferred. The project lead authored the 18-case calibration key; agreement percentages lack recoverable field-level numerators/denominators and therefore cannot be audited as independent competency scores. Neither a prespecified pass threshold nor a post-feedback retest is documented, and neither is claimed here.</w:t>
      </w:r>
    </w:p>
    <w:p>
      <w:pPr>
        <w:widowControl/>
      </w:pPr>
      <w:r>
        <w:t>During the main round, annotators worked in separate files with different row orders and without checkpoint identity, peer decisions, majority outcomes, final resolutions, or expected computational results. After the study, all three confirmed in writing that they had completed the annotations personally and had not used an LLM/generative-AI assistant or automated classifier to determine, suggest, verify, or modify labels or severity. These confirmations are documentary provenance; the locked workbooks remain the sole source of reliability estimates. A4 served only as senior adjudicator after the independent annotation stage and is not treated as a fourth rater.</w:t>
      </w:r>
    </w:p>
    <w:p w14:paraId="209C959B">
      <w:pPr>
        <w:pStyle w:val="3"/>
        <w:keepNext/>
        <w:keepLines/>
      </w:pPr>
      <w:r>
        <w:rPr>
          <w:color w:val="000000"/>
        </w:rPr>
        <w:t>S2.5 Human-in-the-loop decision logic and reusable assets</w:t>
      </w:r>
    </w:p>
    <w:p w14:paraId="6FC5AC0D">
      <w:pPr>
        <w:widowControl/>
      </w:pPr>
      <w:r>
        <w:t>The verification package formalises the workflow as a machine-readable three-axis decision graph and pseudocode. The procedure identifies visible anchors, distinguishes no failure from a meaning-level or hallucination-reference failure, generates candidate mechanisms, selects one primary mechanism under the initiating/dominant-mechanism precedence rule, assigns grounding status independently, records a materially independent secondary mechanism when present, and rates severity from functional impact. The accompanying synthetic examples and contrastive pairs document the decision process; they neither automate classification nor constitute semantic validation or study data.</w:t>
      </w:r>
    </w:p>
    <w:p w14:paraId="6BAEE71C">
      <w:pPr>
        <w:pStyle w:val="3"/>
        <w:keepNext/>
        <w:keepLines/>
      </w:pPr>
      <w:r>
        <w:rPr>
          <w:color w:val="000000"/>
        </w:rPr>
        <w:t>S2.6 Post-study Linguistic Construct Clarification Addendum and contrastive diagnostics</w:t>
      </w:r>
    </w:p>
    <w:p w14:paraId="37F3B844">
      <w:pPr>
        <w:widowControl/>
      </w:pPr>
      <w:r>
        <w:t>The following clarifications were developed after the locked reliability analysis to document adjacent-category and boundary issues identified during semantic review. They were not instructions available to the annotators and do not alter the locked A1–A3 ratings. The final downstream reference layer was later checked again after senior adjudication and targeted re-review. Table S14 therefore records the four deterministic HREF-overlap primary/secondary normalisations required by the published boundary rule, together with the earlier CASE_0437 documentation-only note correction. These are provenance/consistency actions, not additional annotator ratings or external validation.</w:t>
      </w:r>
    </w:p>
    <w:p>
      <w:pPr/>
      <w:r>
        <w:t>Historical instruction-following qualification (CS06). Section 12 of the administered v1.2_final_locked manual explicitly lists “wrong format” and “missing requested operation” as potential errors to watch for. The later statement that format-only weakness without changed communicative meaning should not be considered sufficient for SCF-03 is a post-study interpretive proposal, not proven historical annotator practice. Whether formatting-only items were separately counted or adjudicated cannot be reconstructed from the published aggregate tables; no historical row has been re-coded on this basis. The synthetic examples below likewise have no annotation/reliability sample status.</w:t>
      </w:r>
    </w:p>
    <w:p w14:paraId="420918FD">
      <w:pPr>
        <w:pStyle w:val="16"/>
        <w:keepNext/>
        <w:keepLines/>
        <w:spacing w:before="120" w:after="60"/>
        <w:jc w:val="left"/>
      </w:pPr>
      <w:r>
        <w:t>Table S13. Constructed post-study contrasts, diagnostic hypotheses and plausible neighbouring explanations (not validated minimal pairs).</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2458"/>
        <w:gridCol w:w="2458"/>
        <w:gridCol w:w="2458"/>
        <w:gridCol w:w="2458"/>
      </w:tblGrid>
      <w:tr w14:paraId="34DE8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jc w:val="center"/>
          <w:cantSplit w:val="true"/>
          <w:tblHeader w:val="true"/>
        </w:trPr>
        <w:tc>
          <w:tcPr>
            <w:tcW w:w="2458" w:type="dxa"/>
            <w:tcMar>
              <w:top w:w="65" w:type="dxa"/>
              <w:left w:w="70" w:type="dxa"/>
              <w:bottom w:w="65" w:type="dxa"/>
              <w:right w:w="70" w:type="dxa"/>
              <w:start w:w="68" w:type="dxa"/>
              <w:end w:w="68" w:type="dxa"/>
            </w:tcMar>
            <w:vAlign w:val="center"/>
            <w:shd w:val="clear" w:color="auto" w:fill="E8F0F8"/>
          </w:tcPr>
          <w:p w14:paraId="6D9346AC">
            <w:pPr>
              <w:spacing w:before="0" w:after="0" w:line="240" w:lineRule="auto"/>
              <w:jc w:val="left"/>
            </w:pPr>
            <w:r>
              <w:rPr>
                <w:rFonts w:ascii="Times New Roman" w:hAnsi="Times New Roman" w:eastAsia="Times New Roman" w:cs="Times New Roman"/>
                <w:b/>
                <w:color w:val="1E364D"/>
                <w:sz w:val="17"/>
              </w:rPr>
              <w:t>Shared prompt / context</w:t>
            </w:r>
          </w:p>
        </w:tc>
        <w:tc>
          <w:tcPr>
            <w:tcW w:w="2458" w:type="dxa"/>
            <w:tcMar>
              <w:top w:w="65" w:type="dxa"/>
              <w:left w:w="70" w:type="dxa"/>
              <w:bottom w:w="65" w:type="dxa"/>
              <w:right w:w="70" w:type="dxa"/>
              <w:start w:w="68" w:type="dxa"/>
              <w:end w:w="68" w:type="dxa"/>
            </w:tcMar>
            <w:vAlign w:val="center"/>
            <w:shd w:val="clear" w:color="auto" w:fill="E8F0F8"/>
          </w:tcPr>
          <w:p w14:paraId="59173259">
            <w:pPr>
              <w:spacing w:before="0" w:after="0" w:line="240" w:lineRule="auto"/>
              <w:jc w:val="left"/>
            </w:pPr>
            <w:r>
              <w:rPr>
                <w:rFonts w:ascii="Times New Roman" w:hAnsi="Times New Roman" w:eastAsia="Times New Roman" w:cs="Times New Roman"/>
                <w:b/>
                <w:color w:val="1E364D"/>
                <w:sz w:val="17"/>
              </w:rPr>
              <w:t>Contrastive output pattern</w:t>
            </w:r>
          </w:p>
        </w:tc>
        <w:tc>
          <w:tcPr>
            <w:tcW w:w="2458" w:type="dxa"/>
            <w:tcMar>
              <w:top w:w="65" w:type="dxa"/>
              <w:left w:w="70" w:type="dxa"/>
              <w:bottom w:w="65" w:type="dxa"/>
              <w:right w:w="70" w:type="dxa"/>
              <w:start w:w="68" w:type="dxa"/>
              <w:end w:w="68" w:type="dxa"/>
            </w:tcMar>
            <w:vAlign w:val="center"/>
            <w:shd w:val="clear" w:color="auto" w:fill="E8F0F8"/>
          </w:tcPr>
          <w:p w14:paraId="7E926555">
            <w:pPr>
              <w:spacing w:before="0" w:after="0" w:line="240" w:lineRule="auto"/>
              <w:jc w:val="left"/>
            </w:pPr>
            <w:r>
              <w:rPr>
                <w:rFonts w:ascii="Times New Roman" w:hAnsi="Times New Roman" w:eastAsia="Times New Roman" w:cs="Times New Roman"/>
                <w:b/>
                <w:color w:val="1E364D"/>
                <w:sz w:val="17"/>
              </w:rPr>
              <w:t>Code</w:t>
            </w:r>
          </w:p>
        </w:tc>
        <w:tc>
          <w:tcPr>
            <w:tcW w:w="2458" w:type="dxa"/>
            <w:tcMar>
              <w:top w:w="65" w:type="dxa"/>
              <w:left w:w="70" w:type="dxa"/>
              <w:bottom w:w="65" w:type="dxa"/>
              <w:right w:w="70" w:type="dxa"/>
              <w:start w:w="68" w:type="dxa"/>
              <w:end w:w="68" w:type="dxa"/>
            </w:tcMar>
            <w:vAlign w:val="center"/>
            <w:shd w:val="clear" w:color="auto" w:fill="E8F0F8"/>
          </w:tcPr>
          <w:p w14:paraId="0FE98D84">
            <w:pPr>
              <w:spacing w:before="0" w:after="0" w:line="240" w:lineRule="auto"/>
              <w:jc w:val="left"/>
            </w:pPr>
            <w:r>
              <w:rPr>
                <w:rFonts w:ascii="Times New Roman" w:hAnsi="Times New Roman" w:eastAsia="Times New Roman" w:cs="Times New Roman"/>
                <w:b/>
                <w:color w:val="1E364D"/>
                <w:sz w:val="17"/>
              </w:rPr>
              <w:t>Decisive reason</w:t>
            </w:r>
          </w:p>
        </w:tc>
      </w:tr>
      <w:tr w14:paraId="0FD52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2458" w:type="dxa"/>
            <w:tcMar>
              <w:top w:w="65" w:type="dxa"/>
              <w:left w:w="70" w:type="dxa"/>
              <w:bottom w:w="65" w:type="dxa"/>
              <w:right w:w="70" w:type="dxa"/>
              <w:start w:w="68" w:type="dxa"/>
              <w:end w:w="68" w:type="dxa"/>
            </w:tcMar>
            <w:vAlign w:val="center"/>
          </w:tcPr>
          <w:p w14:paraId="4255A1BE">
            <w:pPr>
              <w:spacing w:before="0" w:after="0" w:line="240" w:lineRule="auto"/>
              <w:jc w:val="left"/>
            </w:pPr>
            <w:r>
              <w:rPr>
                <w:rFonts w:ascii="Times New Roman" w:hAnsi="Times New Roman" w:eastAsia="Times New Roman" w:cs="Times New Roman"/>
                <w:b w:val="0"/>
                <w:sz w:val="17"/>
              </w:rPr>
              <w:t>“Explain photosynthesis in two sentences.”</w:t>
            </w:r>
          </w:p>
        </w:tc>
        <w:tc>
          <w:tcPr>
            <w:tcW w:w="2458" w:type="dxa"/>
            <w:tcMar>
              <w:top w:w="65" w:type="dxa"/>
              <w:left w:w="70" w:type="dxa"/>
              <w:bottom w:w="65" w:type="dxa"/>
              <w:right w:w="70" w:type="dxa"/>
              <w:start w:w="68" w:type="dxa"/>
              <w:end w:w="68" w:type="dxa"/>
            </w:tcMar>
            <w:vAlign w:val="center"/>
          </w:tcPr>
          <w:p w14:paraId="5FF899F6">
            <w:pPr>
              <w:spacing w:before="0" w:after="0" w:line="240" w:lineRule="auto"/>
              <w:jc w:val="left"/>
            </w:pPr>
            <w:r>
              <w:rPr>
                <w:rFonts w:ascii="Times New Roman" w:hAnsi="Times New Roman" w:eastAsia="Times New Roman" w:cs="Times New Roman"/>
                <w:b w:val="0"/>
                <w:sz w:val="17"/>
              </w:rPr>
              <w:t>Begins with photosynthesis, then shifts to garden furniture.</w:t>
            </w:r>
          </w:p>
        </w:tc>
        <w:tc>
          <w:tcPr>
            <w:tcW w:w="2458" w:type="dxa"/>
            <w:tcMar>
              <w:top w:w="65" w:type="dxa"/>
              <w:left w:w="70" w:type="dxa"/>
              <w:bottom w:w="65" w:type="dxa"/>
              <w:right w:w="70" w:type="dxa"/>
              <w:start w:w="68" w:type="dxa"/>
              <w:end w:w="68" w:type="dxa"/>
            </w:tcMar>
            <w:vAlign w:val="center"/>
          </w:tcPr>
          <w:p w14:paraId="545A0BA3">
            <w:pPr>
              <w:spacing w:before="0" w:after="0" w:line="240" w:lineRule="auto"/>
              <w:jc w:val="left"/>
            </w:pPr>
            <w:r>
              <w:rPr>
                <w:rFonts w:ascii="Times New Roman" w:hAnsi="Times New Roman" w:eastAsia="Times New Roman" w:cs="Times New Roman"/>
                <w:b w:val="0"/>
                <w:sz w:val="17"/>
              </w:rPr>
              <w:t>SCF-01</w:t>
            </w:r>
          </w:p>
        </w:tc>
        <w:tc>
          <w:tcPr>
            <w:tcW w:w="2458" w:type="dxa"/>
            <w:tcMar>
              <w:top w:w="65" w:type="dxa"/>
              <w:left w:w="70" w:type="dxa"/>
              <w:bottom w:w="65" w:type="dxa"/>
              <w:right w:w="70" w:type="dxa"/>
              <w:start w:w="68" w:type="dxa"/>
              <w:end w:w="68" w:type="dxa"/>
            </w:tcMar>
            <w:vAlign w:val="center"/>
          </w:tcPr>
          <w:p w14:paraId="718CF450">
            <w:pPr>
              <w:spacing w:before="0" w:after="0" w:line="240" w:lineRule="auto"/>
              <w:jc w:val="left"/>
            </w:pPr>
            <w:r>
              <w:rPr>
                <w:rFonts w:ascii="Times New Roman" w:hAnsi="Times New Roman" w:eastAsia="Times New Roman" w:cs="Times New Roman"/>
                <w:b w:val="0"/>
                <w:sz w:val="17"/>
              </w:rPr>
              <w:t>Initial alignment is established before the topic/QUD changes.</w:t>
            </w:r>
          </w:p>
        </w:tc>
      </w:tr>
      <w:tr w14:paraId="1D5D8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2458" w:type="dxa"/>
            <w:tcMar>
              <w:top w:w="65" w:type="dxa"/>
              <w:left w:w="70" w:type="dxa"/>
              <w:bottom w:w="65" w:type="dxa"/>
              <w:right w:w="70" w:type="dxa"/>
              <w:start w:w="68" w:type="dxa"/>
              <w:end w:w="68" w:type="dxa"/>
            </w:tcMar>
            <w:vAlign w:val="center"/>
          </w:tcPr>
          <w:p w14:paraId="7B10C645">
            <w:pPr>
              <w:spacing w:before="0" w:after="0" w:line="240" w:lineRule="auto"/>
              <w:jc w:val="left"/>
            </w:pPr>
            <w:r>
              <w:rPr>
                <w:rFonts w:ascii="Times New Roman" w:hAnsi="Times New Roman" w:eastAsia="Times New Roman" w:cs="Times New Roman"/>
                <w:b w:val="0"/>
                <w:sz w:val="17"/>
              </w:rPr>
              <w:t>Same prompt</w:t>
            </w:r>
          </w:p>
        </w:tc>
        <w:tc>
          <w:tcPr>
            <w:tcW w:w="2458" w:type="dxa"/>
            <w:tcMar>
              <w:top w:w="65" w:type="dxa"/>
              <w:left w:w="70" w:type="dxa"/>
              <w:bottom w:w="65" w:type="dxa"/>
              <w:right w:w="70" w:type="dxa"/>
              <w:start w:w="68" w:type="dxa"/>
              <w:end w:w="68" w:type="dxa"/>
            </w:tcMar>
            <w:vAlign w:val="center"/>
          </w:tcPr>
          <w:p w14:paraId="791C6209">
            <w:pPr>
              <w:spacing w:before="0" w:after="0" w:line="240" w:lineRule="auto"/>
              <w:jc w:val="left"/>
            </w:pPr>
            <w:r>
              <w:rPr>
                <w:rFonts w:ascii="Times New Roman" w:hAnsi="Times New Roman" w:eastAsia="Times New Roman" w:cs="Times New Roman"/>
                <w:b w:val="0"/>
                <w:sz w:val="17"/>
              </w:rPr>
              <w:t>Discusses why science education is important without explaining photosynthesis.</w:t>
            </w:r>
          </w:p>
        </w:tc>
        <w:tc>
          <w:tcPr>
            <w:tcW w:w="2458" w:type="dxa"/>
            <w:tcMar>
              <w:top w:w="65" w:type="dxa"/>
              <w:left w:w="70" w:type="dxa"/>
              <w:bottom w:w="65" w:type="dxa"/>
              <w:right w:w="70" w:type="dxa"/>
              <w:start w:w="68" w:type="dxa"/>
              <w:end w:w="68" w:type="dxa"/>
            </w:tcMar>
            <w:vAlign w:val="center"/>
          </w:tcPr>
          <w:p w14:paraId="59FA8E1A">
            <w:pPr>
              <w:spacing w:before="0" w:after="0" w:line="240" w:lineRule="auto"/>
              <w:jc w:val="left"/>
            </w:pPr>
            <w:r>
              <w:rPr>
                <w:rFonts w:ascii="Times New Roman" w:hAnsi="Times New Roman" w:eastAsia="Times New Roman" w:cs="Times New Roman"/>
                <w:b w:val="0"/>
                <w:sz w:val="17"/>
              </w:rPr>
              <w:t>SCF-03</w:t>
            </w:r>
          </w:p>
        </w:tc>
        <w:tc>
          <w:tcPr>
            <w:tcW w:w="2458" w:type="dxa"/>
            <w:tcMar>
              <w:top w:w="65" w:type="dxa"/>
              <w:left w:w="70" w:type="dxa"/>
              <w:bottom w:w="65" w:type="dxa"/>
              <w:right w:w="70" w:type="dxa"/>
              <w:start w:w="68" w:type="dxa"/>
              <w:end w:w="68" w:type="dxa"/>
            </w:tcMar>
            <w:vAlign w:val="center"/>
          </w:tcPr>
          <w:p w14:paraId="4A4ECA67">
            <w:pPr>
              <w:spacing w:before="0" w:after="0" w:line="240" w:lineRule="auto"/>
              <w:jc w:val="left"/>
            </w:pPr>
            <w:r>
              <w:rPr>
                <w:rFonts w:ascii="Times New Roman" w:hAnsi="Times New Roman" w:eastAsia="Times New Roman" w:cs="Times New Roman"/>
                <w:b w:val="0"/>
                <w:sz w:val="17"/>
              </w:rPr>
              <w:t>The response is off-task from the outset and performs a different discourse move.</w:t>
            </w:r>
          </w:p>
        </w:tc>
      </w:tr>
      <w:tr w14:paraId="3764A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2458" w:type="dxa"/>
            <w:tcMar>
              <w:top w:w="65" w:type="dxa"/>
              <w:left w:w="70" w:type="dxa"/>
              <w:bottom w:w="65" w:type="dxa"/>
              <w:right w:w="70" w:type="dxa"/>
              <w:start w:w="68" w:type="dxa"/>
              <w:end w:w="68" w:type="dxa"/>
            </w:tcMar>
            <w:vAlign w:val="center"/>
          </w:tcPr>
          <w:p w14:paraId="04ECA019">
            <w:pPr>
              <w:spacing w:before="0" w:after="0" w:line="240" w:lineRule="auto"/>
              <w:jc w:val="left"/>
            </w:pPr>
            <w:r>
              <w:rPr>
                <w:rFonts w:ascii="Times New Roman" w:hAnsi="Times New Roman" w:eastAsia="Times New Roman" w:cs="Times New Roman"/>
                <w:b w:val="0"/>
                <w:sz w:val="17"/>
              </w:rPr>
              <w:t>Same prompt</w:t>
            </w:r>
          </w:p>
        </w:tc>
        <w:tc>
          <w:tcPr>
            <w:tcW w:w="2458" w:type="dxa"/>
            <w:tcMar>
              <w:top w:w="65" w:type="dxa"/>
              <w:left w:w="70" w:type="dxa"/>
              <w:bottom w:w="65" w:type="dxa"/>
              <w:right w:w="70" w:type="dxa"/>
              <w:start w:w="68" w:type="dxa"/>
              <w:end w:w="68" w:type="dxa"/>
            </w:tcMar>
            <w:vAlign w:val="center"/>
          </w:tcPr>
          <w:p>
            <w:pPr>
              <w:jc w:val="left"/>
            </w:pPr>
            <w:r>
              <w:rPr>
                <w:sz w:val="17"/>
              </w:rPr>
              <w:t>"Photosynthesis converts light energy into chemical energy. The output next lists the light input and glucose product without specifying that the process links them. Finally it says: “This sequence explains the products,” although no explanatory or result relation is attached."</w:t>
            </w:r>
          </w:p>
        </w:tc>
        <w:tc>
          <w:tcPr>
            <w:tcW w:w="2458" w:type="dxa"/>
            <w:tcMar>
              <w:top w:w="65" w:type="dxa"/>
              <w:left w:w="70" w:type="dxa"/>
              <w:bottom w:w="65" w:type="dxa"/>
              <w:right w:w="70" w:type="dxa"/>
              <w:start w:w="68" w:type="dxa"/>
              <w:end w:w="68" w:type="dxa"/>
            </w:tcMar>
            <w:vAlign w:val="center"/>
          </w:tcPr>
          <w:p w14:paraId="0BC0637F">
            <w:pPr>
              <w:spacing w:before="0" w:after="0" w:line="240" w:lineRule="auto"/>
              <w:jc w:val="left"/>
            </w:pPr>
            <w:r>
              <w:rPr>
                <w:rFonts w:ascii="Times New Roman" w:hAnsi="Times New Roman" w:eastAsia="Times New Roman" w:cs="Times New Roman"/>
                <w:b w:val="0"/>
                <w:sz w:val="17"/>
              </w:rPr>
              <w:t>SCF-04</w:t>
            </w:r>
          </w:p>
        </w:tc>
        <w:tc>
          <w:tcPr>
            <w:tcW w:w="2458" w:type="dxa"/>
            <w:tcMar>
              <w:top w:w="65" w:type="dxa"/>
              <w:left w:w="70" w:type="dxa"/>
              <w:bottom w:w="65" w:type="dxa"/>
              <w:right w:w="70" w:type="dxa"/>
              <w:start w:w="68" w:type="dxa"/>
              <w:end w:w="68" w:type="dxa"/>
            </w:tcMar>
            <w:vAlign w:val="center"/>
          </w:tcPr>
          <w:p>
            <w:pPr>
              <w:jc w:val="left"/>
            </w:pPr>
            <w:r>
              <w:rPr>
                <w:sz w:val="17"/>
              </w:rPr>
              <w:t>Intended SCF-04 illustration: the necessary Explanation/Result attachment is absent in this *constructed* output despite relevant propositions. A different linear order alone would not suffice; SCF-03 is a possible alternative if the requested explanation never occurs.</w:t>
            </w:r>
          </w:p>
        </w:tc>
      </w:tr>
      <w:tr w14:paraId="0D003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2458" w:type="dxa"/>
            <w:tcMar>
              <w:top w:w="65" w:type="dxa"/>
              <w:left w:w="70" w:type="dxa"/>
              <w:bottom w:w="65" w:type="dxa"/>
              <w:right w:w="70" w:type="dxa"/>
              <w:start w:w="68" w:type="dxa"/>
              <w:end w:w="68" w:type="dxa"/>
            </w:tcMar>
            <w:vAlign w:val="center"/>
          </w:tcPr>
          <w:p>
            <w:pPr>
              <w:jc w:val="left"/>
            </w:pPr>
            <w:r>
              <w:rPr>
                <w:sz w:val="17"/>
              </w:rPr>
              <w:t>Anchor: Nadia must sign the final report; Salma only reviews it. Requested output must identify explicitly who signs.</w:t>
            </w:r>
          </w:p>
        </w:tc>
        <w:tc>
          <w:tcPr>
            <w:tcW w:w="2458" w:type="dxa"/>
            <w:tcMar>
              <w:top w:w="65" w:type="dxa"/>
              <w:left w:w="70" w:type="dxa"/>
              <w:bottom w:w="65" w:type="dxa"/>
              <w:right w:w="70" w:type="dxa"/>
              <w:start w:w="68" w:type="dxa"/>
              <w:end w:w="68" w:type="dxa"/>
            </w:tcMar>
            <w:vAlign w:val="center"/>
          </w:tcPr>
          <w:p>
            <w:pPr>
              <w:jc w:val="left"/>
            </w:pPr>
            <w:r>
              <w:rPr>
                <w:sz w:val="17"/>
              </w:rPr>
              <w:t>"Nadia and Salma reviewed the final report. She signed it." No explicit subject identifies which participant signed, although the task requires a determinate signatory.</w:t>
            </w:r>
          </w:p>
        </w:tc>
        <w:tc>
          <w:tcPr>
            <w:tcW w:w="2458" w:type="dxa"/>
            <w:tcMar>
              <w:top w:w="65" w:type="dxa"/>
              <w:left w:w="70" w:type="dxa"/>
              <w:bottom w:w="65" w:type="dxa"/>
              <w:right w:w="70" w:type="dxa"/>
              <w:start w:w="68" w:type="dxa"/>
              <w:end w:w="68" w:type="dxa"/>
            </w:tcMar>
            <w:vAlign w:val="center"/>
          </w:tcPr>
          <w:p w14:paraId="2D8372A5">
            <w:pPr>
              <w:spacing w:before="0" w:after="0" w:line="240" w:lineRule="auto"/>
              <w:jc w:val="left"/>
            </w:pPr>
            <w:r>
              <w:rPr>
                <w:rFonts w:ascii="Times New Roman" w:hAnsi="Times New Roman" w:eastAsia="Times New Roman" w:cs="Times New Roman"/>
                <w:b w:val="0"/>
                <w:sz w:val="17"/>
              </w:rPr>
              <w:t>SCF-06</w:t>
            </w:r>
          </w:p>
        </w:tc>
        <w:tc>
          <w:tcPr>
            <w:tcW w:w="2458" w:type="dxa"/>
            <w:tcMar>
              <w:top w:w="65" w:type="dxa"/>
              <w:left w:w="70" w:type="dxa"/>
              <w:bottom w:w="65" w:type="dxa"/>
              <w:right w:w="70" w:type="dxa"/>
              <w:start w:w="68" w:type="dxa"/>
              <w:end w:w="68" w:type="dxa"/>
            </w:tcMar>
            <w:vAlign w:val="center"/>
          </w:tcPr>
          <w:p>
            <w:pPr>
              <w:jc w:val="left"/>
            </w:pPr>
            <w:r>
              <w:rPr>
                <w:sz w:val="17"/>
              </w:rPr>
              <w:t>Possible SCF-06 where the task-critical “she” remains underdetermined in the produced response; if the source resolves it unambiguously, the case instead approaches recoverable ellipsis or context inconsistency. Ordinary ambiguity alone is not proof of error.</w:t>
            </w:r>
          </w:p>
        </w:tc>
      </w:tr>
      <w:tr w14:paraId="22646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2458" w:type="dxa"/>
            <w:tcMar>
              <w:top w:w="65" w:type="dxa"/>
              <w:left w:w="70" w:type="dxa"/>
              <w:bottom w:w="65" w:type="dxa"/>
              <w:right w:w="70" w:type="dxa"/>
              <w:start w:w="68" w:type="dxa"/>
              <w:end w:w="68" w:type="dxa"/>
            </w:tcMar>
            <w:vAlign w:val="center"/>
          </w:tcPr>
          <w:p>
            <w:pPr>
              <w:jc w:val="left"/>
            </w:pPr>
            <w:r>
              <w:rPr>
                <w:sz w:val="17"/>
              </w:rPr>
              <w:t>Same source: Nadia must sign the final report; Salma only reviews it.</w:t>
            </w:r>
          </w:p>
        </w:tc>
        <w:tc>
          <w:tcPr>
            <w:tcW w:w="2458" w:type="dxa"/>
            <w:tcMar>
              <w:top w:w="65" w:type="dxa"/>
              <w:left w:w="70" w:type="dxa"/>
              <w:bottom w:w="65" w:type="dxa"/>
              <w:right w:w="70" w:type="dxa"/>
              <w:start w:w="68" w:type="dxa"/>
              <w:end w:w="68" w:type="dxa"/>
            </w:tcMar>
            <w:vAlign w:val="center"/>
          </w:tcPr>
          <w:p>
            <w:pPr>
              <w:jc w:val="left"/>
            </w:pPr>
            <w:r>
              <w:rPr>
                <w:sz w:val="17"/>
              </w:rPr>
              <w:t>"Salma signed the final report; Nadia only reviewed it." Both named referents are explicit, but their authorised roles are reversed.</w:t>
            </w:r>
          </w:p>
        </w:tc>
        <w:tc>
          <w:tcPr>
            <w:tcW w:w="2458" w:type="dxa"/>
            <w:tcMar>
              <w:top w:w="65" w:type="dxa"/>
              <w:left w:w="70" w:type="dxa"/>
              <w:bottom w:w="65" w:type="dxa"/>
              <w:right w:w="70" w:type="dxa"/>
              <w:start w:w="68" w:type="dxa"/>
              <w:end w:w="68" w:type="dxa"/>
            </w:tcMar>
            <w:vAlign w:val="center"/>
          </w:tcPr>
          <w:p w14:paraId="3DBB6F9E">
            <w:pPr>
              <w:spacing w:before="0" w:after="0" w:line="240" w:lineRule="auto"/>
              <w:jc w:val="left"/>
            </w:pPr>
            <w:r>
              <w:rPr>
                <w:rFonts w:ascii="Times New Roman" w:hAnsi="Times New Roman" w:eastAsia="Times New Roman" w:cs="Times New Roman"/>
                <w:b w:val="0"/>
                <w:sz w:val="17"/>
              </w:rPr>
              <w:t>OVR-03</w:t>
            </w:r>
          </w:p>
        </w:tc>
        <w:tc>
          <w:tcPr>
            <w:tcW w:w="2458" w:type="dxa"/>
            <w:tcMar>
              <w:top w:w="65" w:type="dxa"/>
              <w:left w:w="70" w:type="dxa"/>
              <w:bottom w:w="65" w:type="dxa"/>
              <w:right w:w="70" w:type="dxa"/>
              <w:start w:w="68" w:type="dxa"/>
              <w:end w:w="68" w:type="dxa"/>
            </w:tcMar>
            <w:vAlign w:val="center"/>
          </w:tcPr>
          <w:p>
            <w:pPr>
              <w:jc w:val="left"/>
            </w:pPr>
            <w:r>
              <w:rPr>
                <w:sz w:val="17"/>
              </w:rPr>
              <w:t>OVR-03: the entity mapping is fully determinate and conflicts with the visible role allocation. It is not failed pronominal resolution (SCF-06).</w:t>
            </w:r>
          </w:p>
        </w:tc>
      </w:tr>
      <w:tr w14:paraId="4F6D9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2458" w:type="dxa"/>
            <w:tcMar>
              <w:top w:w="65" w:type="dxa"/>
              <w:left w:w="70" w:type="dxa"/>
              <w:bottom w:w="65" w:type="dxa"/>
              <w:right w:w="70" w:type="dxa"/>
              <w:start w:w="68" w:type="dxa"/>
              <w:end w:w="68" w:type="dxa"/>
            </w:tcMar>
            <w:vAlign w:val="center"/>
          </w:tcPr>
          <w:p>
            <w:pPr>
              <w:jc w:val="left"/>
            </w:pPr>
            <w:r>
              <w:rPr>
                <w:sz w:val="17"/>
              </w:rPr>
              <w:t>Task: Explain the results of a pilot clinical trial. In this report, “pilot” is explicitly defined as a small preliminary clinical study, with no aviation context.</w:t>
            </w:r>
          </w:p>
        </w:tc>
        <w:tc>
          <w:tcPr>
            <w:tcW w:w="2458" w:type="dxa"/>
            <w:tcMar>
              <w:top w:w="65" w:type="dxa"/>
              <w:left w:w="70" w:type="dxa"/>
              <w:bottom w:w="65" w:type="dxa"/>
              <w:right w:w="70" w:type="dxa"/>
              <w:start w:w="68" w:type="dxa"/>
              <w:end w:w="68" w:type="dxa"/>
            </w:tcMar>
            <w:vAlign w:val="center"/>
          </w:tcPr>
          <w:p>
            <w:pPr>
              <w:jc w:val="left"/>
            </w:pPr>
            <w:r>
              <w:rPr>
                <w:sz w:val="17"/>
              </w:rPr>
              <w:t>"The pilot study enrolled 30 participants. The pilot then landed the aircraft after a short flight." The response abruptly treats the same stipulated study referent as an aircraft operator without announcing a change of topic or sense.</w:t>
            </w:r>
          </w:p>
        </w:tc>
        <w:tc>
          <w:tcPr>
            <w:tcW w:w="2458" w:type="dxa"/>
            <w:tcMar>
              <w:top w:w="65" w:type="dxa"/>
              <w:left w:w="70" w:type="dxa"/>
              <w:bottom w:w="65" w:type="dxa"/>
              <w:right w:w="70" w:type="dxa"/>
              <w:start w:w="68" w:type="dxa"/>
              <w:end w:w="68" w:type="dxa"/>
            </w:tcMar>
            <w:vAlign w:val="center"/>
          </w:tcPr>
          <w:p w14:paraId="5A4B0355">
            <w:pPr>
              <w:spacing w:before="0" w:after="0" w:line="240" w:lineRule="auto"/>
              <w:jc w:val="left"/>
            </w:pPr>
            <w:r>
              <w:rPr>
                <w:rFonts w:ascii="Times New Roman" w:hAnsi="Times New Roman" w:eastAsia="Times New Roman" w:cs="Times New Roman"/>
                <w:b w:val="0"/>
                <w:sz w:val="17"/>
              </w:rPr>
              <w:t>SCF-07</w:t>
            </w:r>
          </w:p>
        </w:tc>
        <w:tc>
          <w:tcPr>
            <w:tcW w:w="2458" w:type="dxa"/>
            <w:tcMar>
              <w:top w:w="65" w:type="dxa"/>
              <w:left w:w="70" w:type="dxa"/>
              <w:bottom w:w="65" w:type="dxa"/>
              <w:right w:w="70" w:type="dxa"/>
              <w:start w:w="68" w:type="dxa"/>
              <w:end w:w="68" w:type="dxa"/>
            </w:tcMar>
            <w:vAlign w:val="center"/>
          </w:tcPr>
          <w:p>
            <w:pPr>
              <w:jc w:val="left"/>
            </w:pPr>
            <w:r>
              <w:rPr>
                <w:sz w:val="17"/>
              </w:rPr>
              <w:t>SCF-07 interpretive candidate: unlicensed shift of the term’s stipulated sense; permissible overt polysemy would not be an error. Off-task/topic drift (SCF-01/03) is a credible alternative; this constructed example is not a validation case.</w:t>
            </w:r>
          </w:p>
        </w:tc>
      </w:tr>
      <w:tr w14:paraId="44177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2458" w:type="dxa"/>
            <w:tcMar>
              <w:top w:w="65" w:type="dxa"/>
              <w:left w:w="70" w:type="dxa"/>
              <w:bottom w:w="65" w:type="dxa"/>
              <w:right w:w="70" w:type="dxa"/>
              <w:start w:w="68" w:type="dxa"/>
              <w:end w:w="68" w:type="dxa"/>
            </w:tcMar>
            <w:vAlign w:val="center"/>
          </w:tcPr>
          <w:p>
            <w:pPr>
              <w:jc w:val="left"/>
            </w:pPr>
            <w:r>
              <w:rPr>
                <w:sz w:val="17"/>
              </w:rPr>
              <w:t>Task: Explain the causal transition in this response and recommend an action; no external claim about whether metal contracts or expands is supplied.</w:t>
            </w:r>
          </w:p>
        </w:tc>
        <w:tc>
          <w:tcPr>
            <w:tcW w:w="2458" w:type="dxa"/>
            <w:tcMar>
              <w:top w:w="65" w:type="dxa"/>
              <w:left w:w="70" w:type="dxa"/>
              <w:bottom w:w="65" w:type="dxa"/>
              <w:right w:w="70" w:type="dxa"/>
              <w:start w:w="68" w:type="dxa"/>
              <w:end w:w="68" w:type="dxa"/>
            </w:tcMar>
            <w:vAlign w:val="center"/>
          </w:tcPr>
          <w:p>
            <w:pPr>
              <w:jc w:val="left"/>
            </w:pPr>
            <w:r>
              <w:rPr>
                <w:sz w:val="17"/>
              </w:rPr>
              <w:t>"The lid became easier to turn because the seal had loosened. The seal loosened because the label on the jar was blue. Therefore the loosened seal made the lid easier to turn."</w:t>
            </w:r>
          </w:p>
        </w:tc>
        <w:tc>
          <w:tcPr>
            <w:tcW w:w="2458" w:type="dxa"/>
            <w:tcMar>
              <w:top w:w="65" w:type="dxa"/>
              <w:left w:w="70" w:type="dxa"/>
              <w:bottom w:w="65" w:type="dxa"/>
              <w:right w:w="70" w:type="dxa"/>
              <w:start w:w="68" w:type="dxa"/>
              <w:end w:w="68" w:type="dxa"/>
            </w:tcMar>
            <w:vAlign w:val="center"/>
          </w:tcPr>
          <w:p w14:paraId="26F089BC">
            <w:pPr>
              <w:spacing w:before="0" w:after="0" w:line="240" w:lineRule="auto"/>
              <w:jc w:val="left"/>
            </w:pPr>
            <w:r>
              <w:rPr>
                <w:rFonts w:ascii="Times New Roman" w:hAnsi="Times New Roman" w:eastAsia="Times New Roman" w:cs="Times New Roman"/>
                <w:b w:val="0"/>
                <w:sz w:val="17"/>
              </w:rPr>
              <w:t>SCF-02</w:t>
            </w:r>
          </w:p>
        </w:tc>
        <w:tc>
          <w:tcPr>
            <w:tcW w:w="2458" w:type="dxa"/>
            <w:tcMar>
              <w:top w:w="65" w:type="dxa"/>
              <w:left w:w="70" w:type="dxa"/>
              <w:bottom w:w="65" w:type="dxa"/>
              <w:right w:w="70" w:type="dxa"/>
              <w:start w:w="68" w:type="dxa"/>
              <w:end w:w="68" w:type="dxa"/>
            </w:tcMar>
            <w:vAlign w:val="center"/>
          </w:tcPr>
          <w:p>
            <w:pPr>
              <w:jc w:val="left"/>
            </w:pPr>
            <w:r>
              <w:rPr>
                <w:sz w:val="17"/>
              </w:rPr>
              <w:t>SCF-02 interpretive example: the asserted seal-loosening cause (label colour) supplies no causal warrant within the stated explanation, despite a coherent later action. Unlike the previous illustration, no visible warming/expansion premise is contradicted. OVR-05 may compete if treated as a general unsupported inference; the distinction is not experimentally validated here.</w:t>
            </w:r>
          </w:p>
        </w:tc>
      </w:tr>
      <w:tr w14:paraId="7AAD3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2458" w:type="dxa"/>
            <w:tcMar>
              <w:top w:w="65" w:type="dxa"/>
              <w:left w:w="70" w:type="dxa"/>
              <w:bottom w:w="65" w:type="dxa"/>
              <w:right w:w="70" w:type="dxa"/>
              <w:start w:w="68" w:type="dxa"/>
              <w:end w:w="68" w:type="dxa"/>
            </w:tcMar>
            <w:vAlign w:val="center"/>
          </w:tcPr>
          <w:p>
            <w:pPr>
              <w:jc w:val="left"/>
            </w:pPr>
            <w:r>
              <w:rPr>
                <w:sz w:val="17"/>
              </w:rPr>
              <w:t>Given premise: warming expands the lid, and expansion makes it easier to remove. Explain and choose warming or cooling.</w:t>
            </w:r>
          </w:p>
        </w:tc>
        <w:tc>
          <w:tcPr>
            <w:tcW w:w="2458" w:type="dxa"/>
            <w:tcMar>
              <w:top w:w="65" w:type="dxa"/>
              <w:left w:w="70" w:type="dxa"/>
              <w:bottom w:w="65" w:type="dxa"/>
              <w:right w:w="70" w:type="dxa"/>
              <w:start w:w="68" w:type="dxa"/>
              <w:end w:w="68" w:type="dxa"/>
            </w:tcMar>
            <w:vAlign w:val="center"/>
          </w:tcPr>
          <w:p>
            <w:pPr>
              <w:jc w:val="left"/>
            </w:pPr>
            <w:r>
              <w:rPr>
                <w:sz w:val="17"/>
              </w:rPr>
              <w:t>"Warming expands the lid. Expansion makes the lid easier to remove. Therefore cooling, not warming, should be used."</w:t>
            </w:r>
          </w:p>
        </w:tc>
        <w:tc>
          <w:tcPr>
            <w:tcW w:w="2458" w:type="dxa"/>
            <w:tcMar>
              <w:top w:w="65" w:type="dxa"/>
              <w:left w:w="70" w:type="dxa"/>
              <w:bottom w:w="65" w:type="dxa"/>
              <w:right w:w="70" w:type="dxa"/>
              <w:start w:w="68" w:type="dxa"/>
              <w:end w:w="68" w:type="dxa"/>
            </w:tcMar>
            <w:vAlign w:val="center"/>
          </w:tcPr>
          <w:p w14:paraId="20CD6501">
            <w:pPr>
              <w:spacing w:before="0" w:after="0" w:line="240" w:lineRule="auto"/>
              <w:jc w:val="left"/>
            </w:pPr>
            <w:r>
              <w:rPr>
                <w:rFonts w:ascii="Times New Roman" w:hAnsi="Times New Roman" w:eastAsia="Times New Roman" w:cs="Times New Roman"/>
                <w:b w:val="0"/>
                <w:sz w:val="17"/>
              </w:rPr>
              <w:t>OVR-05</w:t>
            </w:r>
          </w:p>
        </w:tc>
        <w:tc>
          <w:tcPr>
            <w:tcW w:w="2458" w:type="dxa"/>
            <w:tcMar>
              <w:top w:w="65" w:type="dxa"/>
              <w:left w:w="70" w:type="dxa"/>
              <w:bottom w:w="65" w:type="dxa"/>
              <w:right w:w="70" w:type="dxa"/>
              <w:start w:w="68" w:type="dxa"/>
              <w:end w:w="68" w:type="dxa"/>
            </w:tcMar>
            <w:vAlign w:val="center"/>
          </w:tcPr>
          <w:p>
            <w:pPr>
              <w:jc w:val="left"/>
            </w:pPr>
            <w:r>
              <w:rPr>
                <w:sz w:val="17"/>
              </w:rPr>
              <w:t>OVR-05: the response’s stated causal premises support warming but its answer selects cooling. Distinct from the missing/unsupported causal link illustrated for SCF-02.</w:t>
            </w:r>
          </w:p>
        </w:tc>
      </w:tr>
      <w:tr w14:paraId="14A1D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2458" w:type="dxa"/>
            <w:tcMar>
              <w:top w:w="65" w:type="dxa"/>
              <w:left w:w="70" w:type="dxa"/>
              <w:bottom w:w="65" w:type="dxa"/>
              <w:right w:w="70" w:type="dxa"/>
              <w:start w:w="68" w:type="dxa"/>
              <w:end w:w="68" w:type="dxa"/>
            </w:tcMar>
            <w:vAlign w:val="center"/>
          </w:tcPr>
          <w:p w14:paraId="48D5FC87">
            <w:pPr>
              <w:spacing w:before="0" w:after="0" w:line="240" w:lineRule="auto"/>
              <w:jc w:val="left"/>
            </w:pPr>
            <w:r>
              <w:rPr>
                <w:rFonts w:ascii="Times New Roman" w:hAnsi="Times New Roman" w:eastAsia="Times New Roman" w:cs="Times New Roman"/>
                <w:b w:val="0"/>
                <w:sz w:val="17"/>
              </w:rPr>
              <w:t>Source: the pilot reduced waiting time; costs rose slightly; the team retained it because time savings outweighed the cost increase. Write one coherent paragraph explaining the decision.</w:t>
            </w:r>
          </w:p>
        </w:tc>
        <w:tc>
          <w:tcPr>
            <w:tcW w:w="2458" w:type="dxa"/>
            <w:tcMar>
              <w:top w:w="65" w:type="dxa"/>
              <w:left w:w="70" w:type="dxa"/>
              <w:bottom w:w="65" w:type="dxa"/>
              <w:right w:w="70" w:type="dxa"/>
              <w:start w:w="68" w:type="dxa"/>
              <w:end w:w="68" w:type="dxa"/>
            </w:tcMar>
            <w:vAlign w:val="center"/>
          </w:tcPr>
          <w:p>
            <w:pPr>
              <w:jc w:val="left"/>
            </w:pPr>
            <w:r>
              <w:rPr>
                <w:sz w:val="17"/>
              </w:rPr>
              <w:t>"The team retained the clinic pilot. Its extra cost was modest. This is why waiting times fell during the pilot. The pilot reduced queues in the clinic."</w:t>
            </w:r>
          </w:p>
        </w:tc>
        <w:tc>
          <w:tcPr>
            <w:tcW w:w="2458" w:type="dxa"/>
            <w:tcMar>
              <w:top w:w="65" w:type="dxa"/>
              <w:left w:w="70" w:type="dxa"/>
              <w:bottom w:w="65" w:type="dxa"/>
              <w:right w:w="70" w:type="dxa"/>
              <w:start w:w="68" w:type="dxa"/>
              <w:end w:w="68" w:type="dxa"/>
            </w:tcMar>
            <w:vAlign w:val="center"/>
          </w:tcPr>
          <w:p w14:paraId="27CB9322">
            <w:pPr>
              <w:spacing w:before="0" w:after="0" w:line="240" w:lineRule="auto"/>
              <w:jc w:val="left"/>
            </w:pPr>
            <w:r>
              <w:rPr>
                <w:rFonts w:ascii="Times New Roman" w:hAnsi="Times New Roman" w:eastAsia="Times New Roman" w:cs="Times New Roman"/>
                <w:b w:val="0"/>
                <w:sz w:val="17"/>
              </w:rPr>
              <w:t>SCF-04</w:t>
            </w:r>
          </w:p>
        </w:tc>
        <w:tc>
          <w:tcPr>
            <w:tcW w:w="2458" w:type="dxa"/>
            <w:tcMar>
              <w:top w:w="65" w:type="dxa"/>
              <w:left w:w="70" w:type="dxa"/>
              <w:bottom w:w="65" w:type="dxa"/>
              <w:right w:w="70" w:type="dxa"/>
              <w:start w:w="68" w:type="dxa"/>
              <w:end w:w="68" w:type="dxa"/>
            </w:tcMar>
            <w:vAlign w:val="center"/>
          </w:tcPr>
          <w:p>
            <w:pPr>
              <w:jc w:val="left"/>
            </w:pPr>
            <w:r>
              <w:rPr>
                <w:sz w:val="17"/>
              </w:rPr>
              <w:t>SCF-04 illustrative rhetorical-attachment error: an Explanation relation is connected to the wrong preceding proposition. This is not merely an answer-first or atypically ordered paragraph; source inconsistency may also be considered if the reader interprets the causal claim as factual.</w:t>
            </w:r>
          </w:p>
        </w:tc>
      </w:tr>
      <w:tr w14:paraId="4C323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2458" w:type="dxa"/>
            <w:tcMar>
              <w:top w:w="65" w:type="dxa"/>
              <w:left w:w="70" w:type="dxa"/>
              <w:bottom w:w="65" w:type="dxa"/>
              <w:right w:w="70" w:type="dxa"/>
              <w:start w:w="68" w:type="dxa"/>
              <w:end w:w="68" w:type="dxa"/>
            </w:tcMar>
            <w:vAlign w:val="center"/>
          </w:tcPr>
          <w:p w14:paraId="30DE68CE">
            <w:pPr>
              <w:spacing w:before="0" w:after="0" w:line="240" w:lineRule="auto"/>
              <w:jc w:val="left"/>
            </w:pPr>
            <w:r>
              <w:rPr>
                <w:rFonts w:ascii="Times New Roman" w:hAnsi="Times New Roman" w:eastAsia="Times New Roman" w:cs="Times New Roman"/>
                <w:b w:val="0"/>
                <w:sz w:val="17"/>
              </w:rPr>
              <w:t>Same source and prompt</w:t>
            </w:r>
          </w:p>
        </w:tc>
        <w:tc>
          <w:tcPr>
            <w:tcW w:w="2458" w:type="dxa"/>
            <w:tcMar>
              <w:top w:w="65" w:type="dxa"/>
              <w:left w:w="70" w:type="dxa"/>
              <w:bottom w:w="65" w:type="dxa"/>
              <w:right w:w="70" w:type="dxa"/>
              <w:start w:w="68" w:type="dxa"/>
              <w:end w:w="68" w:type="dxa"/>
            </w:tcMar>
            <w:vAlign w:val="center"/>
          </w:tcPr>
          <w:p>
            <w:pPr>
              <w:jc w:val="left"/>
            </w:pPr>
            <w:r>
              <w:rPr>
                <w:sz w:val="17"/>
              </w:rPr>
              <w:t>"The pilot reduced clinic waiting times. Its operating expense rose slightly. Queue figures compare the pilot period with the previous month. A separate budget figure compares expenses with last year’s stationery budget. The team retained the pilot. These two comparisons together explain that decision."</w:t>
            </w:r>
          </w:p>
        </w:tc>
        <w:tc>
          <w:tcPr>
            <w:tcW w:w="2458" w:type="dxa"/>
            <w:tcMar>
              <w:top w:w="65" w:type="dxa"/>
              <w:left w:w="70" w:type="dxa"/>
              <w:bottom w:w="65" w:type="dxa"/>
              <w:right w:w="70" w:type="dxa"/>
              <w:start w:w="68" w:type="dxa"/>
              <w:end w:w="68" w:type="dxa"/>
            </w:tcMar>
            <w:vAlign w:val="center"/>
          </w:tcPr>
          <w:p>
            <w:pPr>
              <w:jc w:val="left"/>
            </w:pPr>
            <w:r>
              <w:rPr>
                <w:sz w:val="17"/>
              </w:rPr>
              <w:t>SCF-05 (tentative; SCF-04 alternative)</w:t>
            </w:r>
          </w:p>
        </w:tc>
        <w:tc>
          <w:tcPr>
            <w:tcW w:w="2458" w:type="dxa"/>
            <w:tcMar>
              <w:top w:w="65" w:type="dxa"/>
              <w:left w:w="70" w:type="dxa"/>
              <w:bottom w:w="65" w:type="dxa"/>
              <w:right w:w="70" w:type="dxa"/>
              <w:start w:w="68" w:type="dxa"/>
              <w:end w:w="68" w:type="dxa"/>
            </w:tcMar>
            <w:vAlign w:val="center"/>
          </w:tcPr>
          <w:p>
            <w:pPr>
              <w:jc w:val="left"/>
            </w:pPr>
            <w:r>
              <w:rPr>
                <w:sz w:val="17"/>
              </w:rPr>
              <w:t>Constructed candidate of global integration failure: local subtopics are coherent and no pair of propositions contradicts each other (so OVR-01 is not demonstrated), yet the requested unified situation/decision model is not built. An absent rhetorical bridge could instead make this SCF-04, and inadequate answer-goal coverage could make it SCF-03; the illustration is deliberately NOT a clean validated minimal pair.</w:t>
            </w:r>
          </w:p>
        </w:tc>
      </w:tr>
    </w:tbl>
    <w:p>
      <w:pPr/>
      <w:r>
        <w:t>Interpretive qualification for Table S13 (CS02–CS04/CS09/CS12/CS15). Every quoted output in S13 is a newly constructed post-study illustration, not text from an annotated 720-case record, a calibration item, or a controlled, theory-validated minimal pair. Examples show a visible task/source anchor, an output and a proposed diagnosis together with a competing diagnosis when appropriate. In particular, S13 row 10 is intentionally a tentative SCF-05 / SCF-04 boundary rather than a falsely clean distinction; row 7 diagnoses response-internal causal warrant, not an external source premise contradiction; row 9 requires a demonstrably mistaken rhetorical attachment rather than unusual ordering. These examples are not evidence of per-code inter-rater reliability, and no A1–A3 or GOLD labels were changed.</w:t>
      </w:r>
    </w:p>
    <w:p w14:paraId="6C7379A3">
      <w:pPr>
        <w:pStyle w:val="16"/>
        <w:keepNext/>
        <w:keepLines/>
        <w:spacing w:before="120" w:after="60"/>
        <w:jc w:val="left"/>
      </w:pPr>
      <w:r>
        <w:t>Table S14. FINAL GOLD v1.0 construct-consistency and documentation log.</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1966"/>
        <w:gridCol w:w="1966"/>
        <w:gridCol w:w="1966"/>
        <w:gridCol w:w="1966"/>
        <w:gridCol w:w="1966"/>
      </w:tblGrid>
      <w:tr w14:paraId="22879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jc w:val="center"/>
          <w:cantSplit w:val="true"/>
          <w:tblHeader w:val="true"/>
        </w:trPr>
        <w:tc>
          <w:tcPr>
            <w:tcW w:w="1966"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5"/>
              </w:rPr>
              <w:t>Case</w:t>
            </w:r>
          </w:p>
        </w:tc>
        <w:tc>
          <w:tcPr>
            <w:tcW w:w="1966"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5"/>
              </w:rPr>
              <w:t>Audit finding</w:t>
            </w:r>
          </w:p>
        </w:tc>
        <w:tc>
          <w:tcPr>
            <w:tcW w:w="1966"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5"/>
              </w:rPr>
              <w:t>Correction</w:t>
            </w:r>
          </w:p>
        </w:tc>
        <w:tc>
          <w:tcPr>
            <w:tcW w:w="1966"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5"/>
              </w:rPr>
              <w:t>Statistical effect</w:t>
            </w:r>
          </w:p>
        </w:tc>
        <w:tc>
          <w:tcPr>
            <w:tcW w:w="1966"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5"/>
              </w:rPr>
              <w:t>Interpretive status</w:t>
            </w:r>
          </w:p>
        </w:tc>
      </w:tr>
      <w:tr w14:paraId="41310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96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CASE_0035</w:t>
            </w:r>
          </w:p>
        </w:tc>
        <w:tc>
          <w:tcPr>
            <w:tcW w:w="196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HREF primary + SCF-03 secondary with overlap conflicts with the published overlap rule.</w:t>
            </w:r>
          </w:p>
        </w:tc>
        <w:tc>
          <w:tcPr>
            <w:tcW w:w="196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SCF-03 primary; HREF secondary; overlap/severity unchanged.</w:t>
            </w:r>
          </w:p>
        </w:tc>
        <w:tc>
          <w:tcPr>
            <w:tcW w:w="196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Core SCF +1; HREF −1 relative to pre-normalisation family coding; no failure/boundary/severity change.</w:t>
            </w:r>
          </w:p>
        </w:tc>
        <w:tc>
          <w:tcPr>
            <w:tcW w:w="196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Deterministic rule normalisation after human adjudication; not a new rating.</w:t>
            </w:r>
          </w:p>
        </w:tc>
      </w:tr>
      <w:tr w14:paraId="42CF6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96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CASE_0476</w:t>
            </w:r>
          </w:p>
        </w:tc>
        <w:tc>
          <w:tcPr>
            <w:tcW w:w="196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HREF primary + OVR-03 secondary with overlap conflicts with the published overlap rule.</w:t>
            </w:r>
          </w:p>
        </w:tc>
        <w:tc>
          <w:tcPr>
            <w:tcW w:w="196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OVR-03 primary; HREF secondary; overlap/severity/HREF subtype unchanged.</w:t>
            </w:r>
          </w:p>
        </w:tc>
        <w:tc>
          <w:tcPr>
            <w:tcW w:w="196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OVR +1; HREF −1 relative to pre-normalisation family coding; no failure/boundary/severity change.</w:t>
            </w:r>
          </w:p>
        </w:tc>
        <w:tc>
          <w:tcPr>
            <w:tcW w:w="196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Deterministic rule normalisation after targeted human re-review; not a new rating.</w:t>
            </w:r>
          </w:p>
        </w:tc>
      </w:tr>
      <w:tr>
        <w:trPr>
          <w:cantSplit w:val="true"/>
        </w:trPr>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t>CASE_0567</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t>HREF primary + SCF-02 secondary with overlap conflicts with the published overlap rule.</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t>SCF-02 primary; HREF secondary; overlap/severity/HREF subtype unchanged.</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t>Core SCF +1; HREF −1 relative to pre-normalisation family coding; no failure/boundary/severity change.</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t>Deterministic rule normalisation after targeted human re-review; not a new rating.</w:t>
            </w:r>
          </w:p>
        </w:tc>
      </w:tr>
      <w:tr>
        <w:trPr>
          <w:cantSplit w:val="true"/>
        </w:trPr>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t>CASE_0611</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t>HREF primary + SCF-03 secondary with overlap conflicts with the published overlap rule.</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t>SCF-03 primary; HREF secondary; overlap/severity unchanged.</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t>Core SCF +1; HREF −1 relative to pre-normalisation family coding; no failure/boundary/severity change.</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t>Deterministic rule normalisation after human adjudication; not a new rating.</w:t>
            </w:r>
          </w:p>
        </w:tc>
      </w:tr>
      <w:tr>
        <w:trPr>
          <w:cantSplit w:val="true"/>
        </w:trPr>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t>CASE_0437</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t>Evidence note wording said overlap while the coded field was semantic_only.</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t>Note wording aligned to semantic_only; coded fields unchanged.</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t>No numerical effect.</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t>Documentation-only correction retained from earlier provisional provenance.</w:t>
            </w:r>
          </w:p>
        </w:tc>
      </w:tr>
    </w:tbl>
    <w:p w14:paraId="0EC41F95">
      <w:pPr>
        <w:widowControl/>
      </w:pPr>
      <w:r>
        <w:t>After the four deterministic primary/secondary normalisations, all 720 FINAL GOLD v1.0 primary-label × boundary combinations satisfy the published rules. These normalisations do not alter the A1–A3 ratings or any pre-resolution reliability coefficient. HREF subtype counts in the current frozen reference layer should be derived from FINAL GOLD v1.0 rather than from the superseded provisional publication layer.</w:t>
      </w:r>
    </w:p>
    <w:p w14:paraId="4819F882">
      <w:pPr>
        <w:pStyle w:val="2"/>
        <w:keepNext/>
        <w:keepLines/>
        <w:pageBreakBefore w:val="0"/>
        <w:spacing w:before="200" w:after="80"/>
      </w:pPr>
      <w:r>
        <w:rPr>
          <w:color w:val="000000"/>
        </w:rPr>
        <w:t>S3. Checkpoint Registry, Generation Settings, and Provenance</w:t>
      </w:r>
    </w:p>
    <w:p w14:paraId="3536A3DC">
      <w:pPr>
        <w:pStyle w:val="3"/>
        <w:keepNext/>
        <w:keepLines/>
        <w:pageBreakBefore w:val="0"/>
        <w:spacing w:before="140" w:after="80"/>
      </w:pPr>
      <w:r>
        <w:rPr>
          <w:rFonts w:ascii="Times New Roman" w:hAnsi="Times New Roman" w:eastAsia="Times New Roman"/>
          <w:color w:val="000000"/>
        </w:rPr>
        <w:t>S3.1 Reconstructed provenance boundary</w:t>
      </w:r>
    </w:p>
    <w:p w14:paraId="77C3AA73">
      <w:pPr>
        <w:widowControl/>
        <w:spacing w:after="100" w:line="276" w:lineRule="auto"/>
        <w:jc w:val="both"/>
      </w:pPr>
      <w:r>
        <w:t>The generated-output rows and row-level metadata are the primary evidence. The archive preserves the exact visible full_model_input string for every case. Source-bearing inputs use a retained “Source/context:” plus “Task:” structure, whereas source-free inputs contain the prompt text alone. The archive also contains completeness checks, notebooks, and dated notes. It does not preserve a complete console log, per-case timings, all revision hashes, the original feasibility-screening ledger, or the exact model-specific tokenised strings for five checkpoints.</w:t>
      </w:r>
    </w:p>
    <w:p w14:paraId="34BE36B4">
      <w:pPr>
        <w:widowControl/>
        <w:spacing w:after="100" w:line="276" w:lineRule="auto"/>
        <w:jc w:val="both"/>
      </w:pPr>
      <w:r>
        <w:t>The log reports exact checkpoint identities, observed row counts, the retained M05 wrapper and sampling profile, and retrospectively reconstructed deterministic profiles for the other checkpoints. For M01, M02, M03, M04, and M06, applied chat-template transformations, special tokens, Qwen3 thinking-mode state, EOS/PAD identifiers, truncation side, stopping rules, and immutable revisions were not retained. Table S15 therefore distinguishes direct evidence from reconstruction and unavailable details.</w:t>
      </w:r>
    </w:p>
    <w:p w14:paraId="68E527E7">
      <w:pPr>
        <w:pStyle w:val="16"/>
        <w:keepNext/>
        <w:keepLines/>
        <w:spacing w:before="120" w:after="60"/>
        <w:jc w:val="left"/>
      </w:pPr>
      <w:r>
        <w:t>Table S15. Retrospective consolidated generation log (reconstructed after the run).</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1687"/>
        <w:gridCol w:w="1687"/>
        <w:gridCol w:w="1687"/>
        <w:gridCol w:w="1687"/>
        <w:gridCol w:w="1687"/>
        <w:gridCol w:w="1687"/>
      </w:tblGrid>
      <w:tr w14:paraId="17EA38F6">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tblHeader w:val="true"/>
          <w:jc w:val="center"/>
          <w:tblHeader w:val="true"/>
        </w:trPr>
        <w:tc>
          <w:tcPr>
            <w:tcW w:w="648" w:type="dxa"/>
            <w:tcMar>
              <w:top w:w="65" w:type="dxa"/>
              <w:left w:w="70" w:type="dxa"/>
              <w:bottom w:w="65" w:type="dxa"/>
              <w:right w:w="70" w:type="dxa"/>
              <w:start w:w="68" w:type="dxa"/>
              <w:end w:w="68" w:type="dxa"/>
            </w:tcMar>
            <w:vAlign w:val="center"/>
            <w:shd w:val="clear" w:color="auto" w:fill="E8F0F8"/>
          </w:tcPr>
          <w:p w14:paraId="4E3B71F6">
            <w:pPr>
              <w:spacing w:before="0" w:after="0" w:line="240" w:lineRule="auto"/>
              <w:jc w:val="center"/>
            </w:pPr>
            <w:r>
              <w:rPr>
                <w:rFonts w:ascii="Times New Roman" w:hAnsi="Times New Roman" w:eastAsia="Times New Roman" w:cs="Times New Roman"/>
                <w:b/>
                <w:color w:val="1E364D"/>
                <w:sz w:val="15"/>
              </w:rPr>
              <w:t>Model</w:t>
            </w:r>
          </w:p>
        </w:tc>
        <w:tc>
          <w:tcPr>
            <w:tcW w:w="2160" w:type="dxa"/>
            <w:tcMar>
              <w:top w:w="65" w:type="dxa"/>
              <w:left w:w="70" w:type="dxa"/>
              <w:bottom w:w="65" w:type="dxa"/>
              <w:right w:w="70" w:type="dxa"/>
              <w:start w:w="68" w:type="dxa"/>
              <w:end w:w="68" w:type="dxa"/>
            </w:tcMar>
            <w:vAlign w:val="center"/>
            <w:shd w:val="clear" w:color="auto" w:fill="E8F0F8"/>
          </w:tcPr>
          <w:p w14:paraId="314B512F">
            <w:pPr>
              <w:spacing w:before="0" w:after="0" w:line="240" w:lineRule="auto"/>
              <w:jc w:val="center"/>
            </w:pPr>
            <w:r>
              <w:rPr>
                <w:rFonts w:ascii="Times New Roman" w:hAnsi="Times New Roman" w:eastAsia="Times New Roman" w:cs="Times New Roman"/>
                <w:b/>
                <w:color w:val="1E364D"/>
                <w:sz w:val="15"/>
              </w:rPr>
              <w:t>Checkpoint</w:t>
            </w:r>
          </w:p>
        </w:tc>
        <w:tc>
          <w:tcPr>
            <w:tcW w:w="1656" w:type="dxa"/>
            <w:tcMar>
              <w:top w:w="65" w:type="dxa"/>
              <w:left w:w="70" w:type="dxa"/>
              <w:bottom w:w="65" w:type="dxa"/>
              <w:right w:w="70" w:type="dxa"/>
              <w:start w:w="68" w:type="dxa"/>
              <w:end w:w="68" w:type="dxa"/>
            </w:tcMar>
            <w:vAlign w:val="center"/>
            <w:shd w:val="clear" w:color="auto" w:fill="E8F0F8"/>
          </w:tcPr>
          <w:p w14:paraId="672649ED">
            <w:pPr>
              <w:spacing w:before="0" w:after="0" w:line="240" w:lineRule="auto"/>
              <w:jc w:val="center"/>
            </w:pPr>
            <w:r>
              <w:rPr>
                <w:rFonts w:ascii="Times New Roman" w:hAnsi="Times New Roman" w:eastAsia="Times New Roman" w:cs="Times New Roman"/>
                <w:b/>
                <w:color w:val="1E364D"/>
                <w:sz w:val="15"/>
              </w:rPr>
              <w:t>Observed status</w:t>
            </w:r>
          </w:p>
        </w:tc>
        <w:tc>
          <w:tcPr>
            <w:tcW w:w="2376" w:type="dxa"/>
            <w:tcMar>
              <w:top w:w="65" w:type="dxa"/>
              <w:left w:w="70" w:type="dxa"/>
              <w:bottom w:w="65" w:type="dxa"/>
              <w:right w:w="70" w:type="dxa"/>
              <w:start w:w="68" w:type="dxa"/>
              <w:end w:w="68" w:type="dxa"/>
            </w:tcMar>
            <w:vAlign w:val="center"/>
            <w:shd w:val="clear" w:color="auto" w:fill="E8F0F8"/>
          </w:tcPr>
          <w:p w14:paraId="188F51CC">
            <w:pPr>
              <w:spacing w:before="0" w:after="0" w:line="240" w:lineRule="auto"/>
              <w:jc w:val="center"/>
            </w:pPr>
            <w:r>
              <w:rPr>
                <w:rFonts w:ascii="Times New Roman" w:hAnsi="Times New Roman" w:eastAsia="Times New Roman" w:cs="Times New Roman"/>
                <w:b/>
                <w:color w:val="1E364D"/>
                <w:sz w:val="15"/>
              </w:rPr>
              <w:t>Saved decoding profile</w:t>
            </w:r>
          </w:p>
        </w:tc>
        <w:tc>
          <w:tcPr>
            <w:tcW w:w="2376" w:type="dxa"/>
            <w:tcMar>
              <w:top w:w="65" w:type="dxa"/>
              <w:left w:w="70" w:type="dxa"/>
              <w:bottom w:w="65" w:type="dxa"/>
              <w:right w:w="70" w:type="dxa"/>
              <w:start w:w="68" w:type="dxa"/>
              <w:end w:w="68" w:type="dxa"/>
            </w:tcMar>
            <w:vAlign w:val="center"/>
            <w:shd w:val="clear" w:color="auto" w:fill="E8F0F8"/>
          </w:tcPr>
          <w:p w14:paraId="1663277C">
            <w:pPr>
              <w:spacing w:before="0" w:after="0" w:line="240" w:lineRule="auto"/>
              <w:jc w:val="center"/>
            </w:pPr>
            <w:r>
              <w:rPr>
                <w:rFonts w:ascii="Times New Roman" w:hAnsi="Times New Roman" w:eastAsia="Times New Roman" w:cs="Times New Roman"/>
                <w:b/>
                <w:color w:val="1E364D"/>
                <w:sz w:val="15"/>
              </w:rPr>
              <w:t>Retrospective evidence</w:t>
            </w:r>
          </w:p>
        </w:tc>
        <w:tc>
          <w:tcPr>
            <w:tcW w:w="2088" w:type="dxa"/>
            <w:tcMar>
              <w:top w:w="65" w:type="dxa"/>
              <w:left w:w="70" w:type="dxa"/>
              <w:bottom w:w="65" w:type="dxa"/>
              <w:right w:w="70" w:type="dxa"/>
              <w:start w:w="68" w:type="dxa"/>
              <w:end w:w="68" w:type="dxa"/>
            </w:tcMar>
            <w:vAlign w:val="center"/>
            <w:shd w:val="clear" w:color="auto" w:fill="E8F0F8"/>
          </w:tcPr>
          <w:p w14:paraId="7EEEFE24">
            <w:pPr>
              <w:spacing w:before="0" w:after="0" w:line="240" w:lineRule="auto"/>
              <w:jc w:val="center"/>
            </w:pPr>
            <w:r>
              <w:rPr>
                <w:rFonts w:ascii="Times New Roman" w:hAnsi="Times New Roman" w:eastAsia="Times New Roman" w:cs="Times New Roman"/>
                <w:b/>
                <w:color w:val="1E364D"/>
                <w:sz w:val="15"/>
              </w:rPr>
              <w:t>Provenance elements not retained</w:t>
            </w:r>
          </w:p>
        </w:tc>
      </w:tr>
      <w:tr w14:paraId="60B6C476">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648" w:type="dxa"/>
            <w:tcMar>
              <w:top w:w="65" w:type="dxa"/>
              <w:left w:w="70" w:type="dxa"/>
              <w:bottom w:w="65" w:type="dxa"/>
              <w:right w:w="70" w:type="dxa"/>
              <w:start w:w="68" w:type="dxa"/>
              <w:end w:w="68" w:type="dxa"/>
            </w:tcMar>
            <w:vAlign w:val="center"/>
          </w:tcPr>
          <w:p w14:paraId="3ABA9252">
            <w:pPr>
              <w:spacing w:before="0" w:after="0" w:line="240" w:lineRule="auto"/>
              <w:jc w:val="left"/>
            </w:pPr>
            <w:r>
              <w:rPr>
                <w:rFonts w:ascii="Times New Roman" w:hAnsi="Times New Roman" w:eastAsia="Times New Roman" w:cs="Times New Roman"/>
                <w:b w:val="0"/>
                <w:color w:val="000000"/>
                <w:sz w:val="15"/>
              </w:rPr>
              <w:t>M01</w:t>
            </w:r>
          </w:p>
        </w:tc>
        <w:tc>
          <w:tcPr>
            <w:tcW w:w="2160" w:type="dxa"/>
            <w:tcMar>
              <w:top w:w="65" w:type="dxa"/>
              <w:left w:w="70" w:type="dxa"/>
              <w:bottom w:w="65" w:type="dxa"/>
              <w:right w:w="70" w:type="dxa"/>
              <w:start w:w="68" w:type="dxa"/>
              <w:end w:w="68" w:type="dxa"/>
            </w:tcMar>
            <w:vAlign w:val="center"/>
          </w:tcPr>
          <w:p w14:paraId="109F967E">
            <w:pPr>
              <w:spacing w:before="0" w:after="0" w:line="240" w:lineRule="auto"/>
              <w:jc w:val="left"/>
            </w:pPr>
            <w:r>
              <w:rPr>
                <w:rFonts w:ascii="Times New Roman" w:hAnsi="Times New Roman" w:eastAsia="Times New Roman" w:cs="Times New Roman"/>
                <w:b w:val="0"/>
                <w:color w:val="000000"/>
                <w:sz w:val="15"/>
              </w:rPr>
              <w:t>Qwen/Qwen3-0.6B</w:t>
            </w:r>
          </w:p>
        </w:tc>
        <w:tc>
          <w:tcPr>
            <w:tcW w:w="1656" w:type="dxa"/>
            <w:tcMar>
              <w:top w:w="65" w:type="dxa"/>
              <w:left w:w="70" w:type="dxa"/>
              <w:bottom w:w="65" w:type="dxa"/>
              <w:right w:w="70" w:type="dxa"/>
              <w:start w:w="68" w:type="dxa"/>
              <w:end w:w="68" w:type="dxa"/>
            </w:tcMar>
            <w:vAlign w:val="center"/>
          </w:tcPr>
          <w:p w14:paraId="641C6412">
            <w:pPr>
              <w:spacing w:before="0" w:after="0" w:line="240" w:lineRule="auto"/>
            </w:pPr>
            <w:r>
              <w:rPr>
                <w:rFonts w:ascii="Times New Roman" w:hAnsi="Times New Roman" w:eastAsia="Times New Roman" w:cs="Times New Roman"/>
                <w:b w:val="0"/>
                <w:sz w:val="15"/>
              </w:rPr>
              <w:t>120/120 interface-success rows</w:t>
            </w:r>
          </w:p>
        </w:tc>
        <w:tc>
          <w:tcPr>
            <w:tcW w:w="2376" w:type="dxa"/>
            <w:tcMar>
              <w:top w:w="65" w:type="dxa"/>
              <w:left w:w="70" w:type="dxa"/>
              <w:bottom w:w="65" w:type="dxa"/>
              <w:right w:w="70" w:type="dxa"/>
              <w:start w:w="68" w:type="dxa"/>
              <w:end w:w="68" w:type="dxa"/>
            </w:tcMar>
            <w:vAlign w:val="center"/>
          </w:tcPr>
          <w:p w14:paraId="70EBB33A">
            <w:pPr>
              <w:spacing w:after="0" w:line="240" w:lineRule="auto" w:before="0"/>
            </w:pPr>
            <w:r>
              <w:rPr>
                <w:rFonts w:ascii="Times New Roman" w:hAnsi="Times New Roman" w:eastAsia="Times New Roman" w:cs="Times New Roman"/>
                <w:b w:val="0"/>
                <w:sz w:val="15"/>
              </w:rPr>
              <w:t>Retrospectively reconstructed: max_new_tokens 300; deterministic; seed 42</w:t>
            </w:r>
          </w:p>
        </w:tc>
        <w:tc>
          <w:tcPr>
            <w:tcW w:w="2376" w:type="dxa"/>
            <w:tcMar>
              <w:top w:w="65" w:type="dxa"/>
              <w:left w:w="70" w:type="dxa"/>
              <w:bottom w:w="65" w:type="dxa"/>
              <w:right w:w="70" w:type="dxa"/>
              <w:start w:w="68" w:type="dxa"/>
              <w:end w:w="68" w:type="dxa"/>
            </w:tcMar>
            <w:vAlign w:val="center"/>
          </w:tcPr>
          <w:p w14:paraId="5C6EA406">
            <w:pPr>
              <w:spacing w:after="0" w:line="240" w:lineRule="auto" w:before="0"/>
            </w:pPr>
            <w:r>
              <w:rPr>
                <w:rFonts w:ascii="Times New Roman" w:hAnsi="Times New Roman" w:eastAsia="Times New Roman" w:cs="Times New Roman"/>
                <w:b w:val="0"/>
                <w:sz w:val="15"/>
              </w:rPr>
              <w:t>Visible full inputs, outputs, completeness evidence, and retained technical notes.</w:t>
            </w:r>
          </w:p>
        </w:tc>
        <w:tc>
          <w:tcPr>
            <w:tcW w:w="2088" w:type="dxa"/>
            <w:tcMar>
              <w:top w:w="65" w:type="dxa"/>
              <w:left w:w="70" w:type="dxa"/>
              <w:bottom w:w="65" w:type="dxa"/>
              <w:right w:w="70" w:type="dxa"/>
              <w:start w:w="68" w:type="dxa"/>
              <w:end w:w="68" w:type="dxa"/>
            </w:tcMar>
            <w:vAlign w:val="center"/>
          </w:tcPr>
          <w:p w14:paraId="6E0BA790">
            <w:pPr>
              <w:spacing w:after="0" w:line="240" w:lineRule="auto" w:before="0"/>
            </w:pPr>
            <w:r>
              <w:rPr>
                <w:rFonts w:ascii="Times New Roman" w:hAnsi="Times New Roman" w:eastAsia="Times New Roman" w:cs="Times New Roman"/>
                <w:b w:val="0"/>
                <w:sz w:val="15"/>
              </w:rPr>
              <w:t>Exact revision, model-specific template/token string, Qwen3 thinking state where applicable, EOS/PAD/truncation/stopping details, timing, and full console history.</w:t>
            </w:r>
          </w:p>
        </w:tc>
      </w:tr>
      <w:tr w14:paraId="7D19BB67">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648" w:type="dxa"/>
            <w:tcMar>
              <w:top w:w="65" w:type="dxa"/>
              <w:left w:w="70" w:type="dxa"/>
              <w:bottom w:w="65" w:type="dxa"/>
              <w:right w:w="70" w:type="dxa"/>
              <w:start w:w="68" w:type="dxa"/>
              <w:end w:w="68" w:type="dxa"/>
            </w:tcMar>
            <w:vAlign w:val="center"/>
          </w:tcPr>
          <w:p w14:paraId="50E236F6">
            <w:pPr>
              <w:spacing w:before="0" w:after="0" w:line="240" w:lineRule="auto"/>
              <w:jc w:val="left"/>
            </w:pPr>
            <w:r>
              <w:rPr>
                <w:rFonts w:ascii="Times New Roman" w:hAnsi="Times New Roman" w:eastAsia="Times New Roman" w:cs="Times New Roman"/>
                <w:b w:val="0"/>
                <w:color w:val="000000"/>
                <w:sz w:val="15"/>
              </w:rPr>
              <w:t>M02</w:t>
            </w:r>
          </w:p>
        </w:tc>
        <w:tc>
          <w:tcPr>
            <w:tcW w:w="2160" w:type="dxa"/>
            <w:tcMar>
              <w:top w:w="65" w:type="dxa"/>
              <w:left w:w="70" w:type="dxa"/>
              <w:bottom w:w="65" w:type="dxa"/>
              <w:right w:w="70" w:type="dxa"/>
              <w:start w:w="68" w:type="dxa"/>
              <w:end w:w="68" w:type="dxa"/>
            </w:tcMar>
            <w:vAlign w:val="center"/>
          </w:tcPr>
          <w:p w14:paraId="7C1323A1">
            <w:pPr>
              <w:spacing w:before="0" w:after="0" w:line="240" w:lineRule="auto"/>
              <w:jc w:val="left"/>
            </w:pPr>
            <w:r>
              <w:rPr>
                <w:rFonts w:ascii="Times New Roman" w:hAnsi="Times New Roman" w:eastAsia="Times New Roman" w:cs="Times New Roman"/>
                <w:b w:val="0"/>
                <w:color w:val="000000"/>
                <w:sz w:val="15"/>
              </w:rPr>
              <w:t>google/flan-t5-base</w:t>
            </w:r>
          </w:p>
        </w:tc>
        <w:tc>
          <w:tcPr>
            <w:tcW w:w="1656" w:type="dxa"/>
            <w:tcMar>
              <w:top w:w="65" w:type="dxa"/>
              <w:left w:w="70" w:type="dxa"/>
              <w:bottom w:w="65" w:type="dxa"/>
              <w:right w:w="70" w:type="dxa"/>
              <w:start w:w="68" w:type="dxa"/>
              <w:end w:w="68" w:type="dxa"/>
            </w:tcMar>
            <w:vAlign w:val="center"/>
          </w:tcPr>
          <w:p w14:paraId="0F960D13">
            <w:pPr>
              <w:spacing w:before="0" w:after="0" w:line="240" w:lineRule="auto"/>
            </w:pPr>
            <w:r>
              <w:rPr>
                <w:rFonts w:ascii="Times New Roman" w:hAnsi="Times New Roman" w:eastAsia="Times New Roman" w:cs="Times New Roman"/>
                <w:b w:val="0"/>
                <w:sz w:val="15"/>
              </w:rPr>
              <w:t>120/120 interface-success rows</w:t>
            </w:r>
          </w:p>
        </w:tc>
        <w:tc>
          <w:tcPr>
            <w:tcW w:w="2376" w:type="dxa"/>
            <w:tcMar>
              <w:top w:w="65" w:type="dxa"/>
              <w:left w:w="70" w:type="dxa"/>
              <w:bottom w:w="65" w:type="dxa"/>
              <w:right w:w="70" w:type="dxa"/>
              <w:start w:w="68" w:type="dxa"/>
              <w:end w:w="68" w:type="dxa"/>
            </w:tcMar>
            <w:vAlign w:val="center"/>
          </w:tcPr>
          <w:p w14:paraId="0073FE55">
            <w:pPr>
              <w:spacing w:after="0" w:line="240" w:lineRule="auto" w:before="0"/>
            </w:pPr>
            <w:r>
              <w:rPr>
                <w:rFonts w:ascii="Times New Roman" w:hAnsi="Times New Roman" w:eastAsia="Times New Roman" w:cs="Times New Roman"/>
                <w:b w:val="0"/>
                <w:sz w:val="15"/>
              </w:rPr>
              <w:t>Retrospectively reconstructed: max_new_tokens 300; deterministic; seed 42</w:t>
            </w:r>
          </w:p>
        </w:tc>
        <w:tc>
          <w:tcPr>
            <w:tcW w:w="2376" w:type="dxa"/>
            <w:tcMar>
              <w:top w:w="65" w:type="dxa"/>
              <w:left w:w="70" w:type="dxa"/>
              <w:bottom w:w="65" w:type="dxa"/>
              <w:right w:w="70" w:type="dxa"/>
              <w:start w:w="68" w:type="dxa"/>
              <w:end w:w="68" w:type="dxa"/>
            </w:tcMar>
            <w:vAlign w:val="center"/>
          </w:tcPr>
          <w:p w14:paraId="0442DB55">
            <w:pPr>
              <w:spacing w:after="0" w:line="240" w:lineRule="auto" w:before="0"/>
            </w:pPr>
            <w:r>
              <w:rPr>
                <w:rFonts w:ascii="Times New Roman" w:hAnsi="Times New Roman" w:eastAsia="Times New Roman" w:cs="Times New Roman"/>
                <w:b w:val="0"/>
                <w:sz w:val="15"/>
              </w:rPr>
              <w:t>Visible full inputs, outputs, completeness evidence, and retained technical notes.</w:t>
            </w:r>
          </w:p>
        </w:tc>
        <w:tc>
          <w:tcPr>
            <w:tcW w:w="2088" w:type="dxa"/>
            <w:tcMar>
              <w:top w:w="65" w:type="dxa"/>
              <w:left w:w="70" w:type="dxa"/>
              <w:bottom w:w="65" w:type="dxa"/>
              <w:right w:w="70" w:type="dxa"/>
              <w:start w:w="68" w:type="dxa"/>
              <w:end w:w="68" w:type="dxa"/>
            </w:tcMar>
            <w:vAlign w:val="center"/>
          </w:tcPr>
          <w:p w14:paraId="316E11F6">
            <w:pPr>
              <w:spacing w:after="0" w:line="240" w:lineRule="auto" w:before="0"/>
            </w:pPr>
            <w:r>
              <w:rPr>
                <w:rFonts w:ascii="Times New Roman" w:hAnsi="Times New Roman" w:eastAsia="Times New Roman" w:cs="Times New Roman"/>
                <w:b w:val="0"/>
                <w:sz w:val="15"/>
              </w:rPr>
              <w:t>Exact revision, model-specific template/token string, Qwen3 thinking state where applicable, EOS/PAD/truncation/stopping details, timing, and full console history.</w:t>
            </w:r>
          </w:p>
        </w:tc>
      </w:tr>
      <w:tr w14:paraId="3A1F9B1B">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648" w:type="dxa"/>
            <w:tcMar>
              <w:top w:w="65" w:type="dxa"/>
              <w:left w:w="70" w:type="dxa"/>
              <w:bottom w:w="65" w:type="dxa"/>
              <w:right w:w="70" w:type="dxa"/>
              <w:start w:w="68" w:type="dxa"/>
              <w:end w:w="68" w:type="dxa"/>
            </w:tcMar>
            <w:vAlign w:val="center"/>
          </w:tcPr>
          <w:p w14:paraId="09161F0A">
            <w:pPr>
              <w:spacing w:before="0" w:after="0" w:line="240" w:lineRule="auto"/>
              <w:jc w:val="left"/>
            </w:pPr>
            <w:r>
              <w:rPr>
                <w:rFonts w:ascii="Times New Roman" w:hAnsi="Times New Roman" w:eastAsia="Times New Roman" w:cs="Times New Roman"/>
                <w:b w:val="0"/>
                <w:color w:val="000000"/>
                <w:sz w:val="15"/>
              </w:rPr>
              <w:t>M03</w:t>
            </w:r>
          </w:p>
        </w:tc>
        <w:tc>
          <w:tcPr>
            <w:tcW w:w="2160" w:type="dxa"/>
            <w:tcMar>
              <w:top w:w="65" w:type="dxa"/>
              <w:left w:w="70" w:type="dxa"/>
              <w:bottom w:w="65" w:type="dxa"/>
              <w:right w:w="70" w:type="dxa"/>
              <w:start w:w="68" w:type="dxa"/>
              <w:end w:w="68" w:type="dxa"/>
            </w:tcMar>
            <w:vAlign w:val="center"/>
          </w:tcPr>
          <w:p w14:paraId="22C88CE7">
            <w:pPr>
              <w:spacing w:before="0" w:after="0" w:line="240" w:lineRule="auto"/>
              <w:jc w:val="left"/>
            </w:pPr>
            <w:r>
              <w:rPr>
                <w:rFonts w:ascii="Times New Roman" w:hAnsi="Times New Roman" w:eastAsia="Times New Roman" w:cs="Times New Roman"/>
                <w:b w:val="0"/>
                <w:color w:val="000000"/>
                <w:sz w:val="15"/>
              </w:rPr>
              <w:t>allenai/OLMo-2-0425-1B-Instruct</w:t>
            </w:r>
          </w:p>
        </w:tc>
        <w:tc>
          <w:tcPr>
            <w:tcW w:w="1656" w:type="dxa"/>
            <w:tcMar>
              <w:top w:w="65" w:type="dxa"/>
              <w:left w:w="70" w:type="dxa"/>
              <w:bottom w:w="65" w:type="dxa"/>
              <w:right w:w="70" w:type="dxa"/>
              <w:start w:w="68" w:type="dxa"/>
              <w:end w:w="68" w:type="dxa"/>
            </w:tcMar>
            <w:vAlign w:val="center"/>
          </w:tcPr>
          <w:p w14:paraId="5CDCEDC3">
            <w:pPr>
              <w:spacing w:before="0" w:after="0" w:line="240" w:lineRule="auto"/>
            </w:pPr>
            <w:r>
              <w:rPr>
                <w:rFonts w:ascii="Times New Roman" w:hAnsi="Times New Roman" w:eastAsia="Times New Roman" w:cs="Times New Roman"/>
                <w:b w:val="0"/>
                <w:sz w:val="15"/>
              </w:rPr>
              <w:t>120/120 interface-success rows</w:t>
            </w:r>
          </w:p>
        </w:tc>
        <w:tc>
          <w:tcPr>
            <w:tcW w:w="2376" w:type="dxa"/>
            <w:tcMar>
              <w:top w:w="65" w:type="dxa"/>
              <w:left w:w="70" w:type="dxa"/>
              <w:bottom w:w="65" w:type="dxa"/>
              <w:right w:w="70" w:type="dxa"/>
              <w:start w:w="68" w:type="dxa"/>
              <w:end w:w="68" w:type="dxa"/>
            </w:tcMar>
            <w:vAlign w:val="center"/>
          </w:tcPr>
          <w:p w14:paraId="72C9EB7E">
            <w:pPr>
              <w:spacing w:after="0" w:line="240" w:lineRule="auto" w:before="0"/>
            </w:pPr>
            <w:r>
              <w:rPr>
                <w:rFonts w:ascii="Times New Roman" w:hAnsi="Times New Roman" w:eastAsia="Times New Roman" w:cs="Times New Roman"/>
                <w:b w:val="0"/>
                <w:sz w:val="15"/>
              </w:rPr>
              <w:t>Retrospectively reconstructed: max_new_tokens 300; deterministic; seed 42</w:t>
            </w:r>
          </w:p>
        </w:tc>
        <w:tc>
          <w:tcPr>
            <w:tcW w:w="2376" w:type="dxa"/>
            <w:tcMar>
              <w:top w:w="65" w:type="dxa"/>
              <w:left w:w="70" w:type="dxa"/>
              <w:bottom w:w="65" w:type="dxa"/>
              <w:right w:w="70" w:type="dxa"/>
              <w:start w:w="68" w:type="dxa"/>
              <w:end w:w="68" w:type="dxa"/>
            </w:tcMar>
            <w:vAlign w:val="center"/>
          </w:tcPr>
          <w:p w14:paraId="28106337">
            <w:pPr>
              <w:spacing w:after="0" w:line="240" w:lineRule="auto" w:before="0"/>
            </w:pPr>
            <w:r>
              <w:rPr>
                <w:rFonts w:ascii="Times New Roman" w:hAnsi="Times New Roman" w:eastAsia="Times New Roman" w:cs="Times New Roman"/>
                <w:b w:val="0"/>
                <w:sz w:val="15"/>
              </w:rPr>
              <w:t>Visible full inputs, outputs, completeness evidence, and retained technical notes.</w:t>
            </w:r>
          </w:p>
        </w:tc>
        <w:tc>
          <w:tcPr>
            <w:tcW w:w="2088" w:type="dxa"/>
            <w:tcMar>
              <w:top w:w="65" w:type="dxa"/>
              <w:left w:w="70" w:type="dxa"/>
              <w:bottom w:w="65" w:type="dxa"/>
              <w:right w:w="70" w:type="dxa"/>
              <w:start w:w="68" w:type="dxa"/>
              <w:end w:w="68" w:type="dxa"/>
            </w:tcMar>
            <w:vAlign w:val="center"/>
          </w:tcPr>
          <w:p w14:paraId="54AA71D4">
            <w:pPr>
              <w:spacing w:after="0" w:line="240" w:lineRule="auto" w:before="0"/>
            </w:pPr>
            <w:r>
              <w:rPr>
                <w:rFonts w:ascii="Times New Roman" w:hAnsi="Times New Roman" w:eastAsia="Times New Roman" w:cs="Times New Roman"/>
                <w:b w:val="0"/>
                <w:sz w:val="15"/>
              </w:rPr>
              <w:t>Exact revision, model-specific template/token string, Qwen3 thinking state where applicable, EOS/PAD/truncation/stopping details, timing, and full console history.</w:t>
            </w:r>
          </w:p>
        </w:tc>
      </w:tr>
      <w:tr w14:paraId="711F2F5B">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648" w:type="dxa"/>
            <w:tcMar>
              <w:top w:w="65" w:type="dxa"/>
              <w:left w:w="70" w:type="dxa"/>
              <w:bottom w:w="65" w:type="dxa"/>
              <w:right w:w="70" w:type="dxa"/>
              <w:start w:w="68" w:type="dxa"/>
              <w:end w:w="68" w:type="dxa"/>
            </w:tcMar>
            <w:vAlign w:val="center"/>
          </w:tcPr>
          <w:p w14:paraId="05018146">
            <w:pPr>
              <w:spacing w:before="0" w:after="0" w:line="240" w:lineRule="auto"/>
              <w:jc w:val="left"/>
            </w:pPr>
            <w:r>
              <w:rPr>
                <w:rFonts w:ascii="Times New Roman" w:hAnsi="Times New Roman" w:eastAsia="Times New Roman" w:cs="Times New Roman"/>
                <w:b w:val="0"/>
                <w:color w:val="000000"/>
                <w:sz w:val="15"/>
              </w:rPr>
              <w:t>M04</w:t>
            </w:r>
          </w:p>
        </w:tc>
        <w:tc>
          <w:tcPr>
            <w:tcW w:w="2160" w:type="dxa"/>
            <w:tcMar>
              <w:top w:w="65" w:type="dxa"/>
              <w:left w:w="70" w:type="dxa"/>
              <w:bottom w:w="65" w:type="dxa"/>
              <w:right w:w="70" w:type="dxa"/>
              <w:start w:w="68" w:type="dxa"/>
              <w:end w:w="68" w:type="dxa"/>
            </w:tcMar>
            <w:vAlign w:val="center"/>
          </w:tcPr>
          <w:p w14:paraId="079B9E11">
            <w:pPr>
              <w:spacing w:before="0" w:after="0" w:line="240" w:lineRule="auto"/>
              <w:jc w:val="left"/>
            </w:pPr>
            <w:r>
              <w:rPr>
                <w:rFonts w:ascii="Times New Roman" w:hAnsi="Times New Roman" w:eastAsia="Times New Roman" w:cs="Times New Roman"/>
                <w:b w:val="0"/>
                <w:color w:val="000000"/>
                <w:sz w:val="15"/>
              </w:rPr>
              <w:t>state-spaces/mamba-370m-hf</w:t>
            </w:r>
          </w:p>
        </w:tc>
        <w:tc>
          <w:tcPr>
            <w:tcW w:w="1656" w:type="dxa"/>
            <w:tcMar>
              <w:top w:w="65" w:type="dxa"/>
              <w:left w:w="70" w:type="dxa"/>
              <w:bottom w:w="65" w:type="dxa"/>
              <w:right w:w="70" w:type="dxa"/>
              <w:start w:w="68" w:type="dxa"/>
              <w:end w:w="68" w:type="dxa"/>
            </w:tcMar>
            <w:vAlign w:val="center"/>
          </w:tcPr>
          <w:p w14:paraId="65F3A954">
            <w:pPr>
              <w:spacing w:before="0" w:after="0" w:line="240" w:lineRule="auto"/>
            </w:pPr>
            <w:r>
              <w:rPr>
                <w:rFonts w:ascii="Times New Roman" w:hAnsi="Times New Roman" w:eastAsia="Times New Roman" w:cs="Times New Roman"/>
                <w:b w:val="0"/>
                <w:sz w:val="15"/>
              </w:rPr>
              <w:t>120/120 interface-success rows</w:t>
            </w:r>
          </w:p>
        </w:tc>
        <w:tc>
          <w:tcPr>
            <w:tcW w:w="2376" w:type="dxa"/>
            <w:tcMar>
              <w:top w:w="65" w:type="dxa"/>
              <w:left w:w="70" w:type="dxa"/>
              <w:bottom w:w="65" w:type="dxa"/>
              <w:right w:w="70" w:type="dxa"/>
              <w:start w:w="68" w:type="dxa"/>
              <w:end w:w="68" w:type="dxa"/>
            </w:tcMar>
            <w:vAlign w:val="center"/>
          </w:tcPr>
          <w:p w14:paraId="52261548">
            <w:pPr>
              <w:spacing w:after="0" w:line="240" w:lineRule="auto" w:before="0"/>
            </w:pPr>
            <w:r>
              <w:rPr>
                <w:rFonts w:ascii="Times New Roman" w:hAnsi="Times New Roman" w:eastAsia="Times New Roman" w:cs="Times New Roman"/>
                <w:b w:val="0"/>
                <w:sz w:val="15"/>
              </w:rPr>
              <w:t>Retrospectively reconstructed: max_new_tokens 300; deterministic; seed 42</w:t>
            </w:r>
          </w:p>
        </w:tc>
        <w:tc>
          <w:tcPr>
            <w:tcW w:w="2376" w:type="dxa"/>
            <w:tcMar>
              <w:top w:w="65" w:type="dxa"/>
              <w:left w:w="70" w:type="dxa"/>
              <w:bottom w:w="65" w:type="dxa"/>
              <w:right w:w="70" w:type="dxa"/>
              <w:start w:w="68" w:type="dxa"/>
              <w:end w:w="68" w:type="dxa"/>
            </w:tcMar>
            <w:vAlign w:val="center"/>
          </w:tcPr>
          <w:p w14:paraId="3F1F5FE9">
            <w:pPr>
              <w:spacing w:after="0" w:line="240" w:lineRule="auto" w:before="0"/>
            </w:pPr>
            <w:r>
              <w:rPr>
                <w:rFonts w:ascii="Times New Roman" w:hAnsi="Times New Roman" w:eastAsia="Times New Roman" w:cs="Times New Roman"/>
                <w:b w:val="0"/>
                <w:sz w:val="15"/>
              </w:rPr>
              <w:t>Visible full inputs, outputs, completeness evidence, and retained technical notes.</w:t>
            </w:r>
          </w:p>
        </w:tc>
        <w:tc>
          <w:tcPr>
            <w:tcW w:w="2088" w:type="dxa"/>
            <w:tcMar>
              <w:top w:w="65" w:type="dxa"/>
              <w:left w:w="70" w:type="dxa"/>
              <w:bottom w:w="65" w:type="dxa"/>
              <w:right w:w="70" w:type="dxa"/>
              <w:start w:w="68" w:type="dxa"/>
              <w:end w:w="68" w:type="dxa"/>
            </w:tcMar>
            <w:vAlign w:val="center"/>
          </w:tcPr>
          <w:p w14:paraId="6CD8B3EC">
            <w:pPr>
              <w:spacing w:after="0" w:line="240" w:lineRule="auto" w:before="0"/>
            </w:pPr>
            <w:r>
              <w:rPr>
                <w:rFonts w:ascii="Times New Roman" w:hAnsi="Times New Roman" w:eastAsia="Times New Roman" w:cs="Times New Roman"/>
                <w:b w:val="0"/>
                <w:sz w:val="15"/>
              </w:rPr>
              <w:t>Exact revision, model-specific template/token string, Qwen3 thinking state where applicable, EOS/PAD/truncation/stopping details, timing, and full console history.</w:t>
            </w:r>
          </w:p>
        </w:tc>
      </w:tr>
      <w:tr w14:paraId="3445F7EC">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648" w:type="dxa"/>
            <w:tcMar>
              <w:top w:w="65" w:type="dxa"/>
              <w:left w:w="70" w:type="dxa"/>
              <w:bottom w:w="65" w:type="dxa"/>
              <w:right w:w="70" w:type="dxa"/>
              <w:start w:w="68" w:type="dxa"/>
              <w:end w:w="68" w:type="dxa"/>
            </w:tcMar>
            <w:vAlign w:val="center"/>
          </w:tcPr>
          <w:p w14:paraId="4B82DDBD">
            <w:pPr>
              <w:spacing w:before="0" w:after="0" w:line="240" w:lineRule="auto"/>
              <w:jc w:val="left"/>
            </w:pPr>
            <w:r>
              <w:rPr>
                <w:rFonts w:ascii="Times New Roman" w:hAnsi="Times New Roman" w:eastAsia="Times New Roman" w:cs="Times New Roman"/>
                <w:b w:val="0"/>
                <w:color w:val="000000"/>
                <w:sz w:val="15"/>
              </w:rPr>
              <w:t>M05</w:t>
            </w:r>
          </w:p>
        </w:tc>
        <w:tc>
          <w:tcPr>
            <w:tcW w:w="2160" w:type="dxa"/>
            <w:tcMar>
              <w:top w:w="65" w:type="dxa"/>
              <w:left w:w="70" w:type="dxa"/>
              <w:bottom w:w="65" w:type="dxa"/>
              <w:right w:w="70" w:type="dxa"/>
              <w:start w:w="68" w:type="dxa"/>
              <w:end w:w="68" w:type="dxa"/>
            </w:tcMar>
            <w:vAlign w:val="center"/>
          </w:tcPr>
          <w:p w14:paraId="45B5B7E7">
            <w:pPr>
              <w:spacing w:before="0" w:after="0" w:line="240" w:lineRule="auto"/>
              <w:jc w:val="left"/>
            </w:pPr>
            <w:r>
              <w:rPr>
                <w:rFonts w:ascii="Times New Roman" w:hAnsi="Times New Roman" w:eastAsia="Times New Roman" w:cs="Times New Roman"/>
                <w:b w:val="0"/>
                <w:color w:val="000000"/>
                <w:sz w:val="15"/>
              </w:rPr>
              <w:t>RWKV/rwkv-4-world-430m</w:t>
            </w:r>
          </w:p>
        </w:tc>
        <w:tc>
          <w:tcPr>
            <w:tcW w:w="1656" w:type="dxa"/>
            <w:tcMar>
              <w:top w:w="65" w:type="dxa"/>
              <w:left w:w="70" w:type="dxa"/>
              <w:bottom w:w="65" w:type="dxa"/>
              <w:right w:w="70" w:type="dxa"/>
              <w:start w:w="68" w:type="dxa"/>
              <w:end w:w="68" w:type="dxa"/>
            </w:tcMar>
            <w:vAlign w:val="center"/>
          </w:tcPr>
          <w:p w14:paraId="0B81E303">
            <w:pPr>
              <w:spacing w:before="0" w:after="0" w:line="240" w:lineRule="auto"/>
            </w:pPr>
            <w:r>
              <w:rPr>
                <w:rFonts w:ascii="Times New Roman" w:hAnsi="Times New Roman" w:eastAsia="Times New Roman" w:cs="Times New Roman"/>
                <w:b w:val="0"/>
                <w:sz w:val="15"/>
              </w:rPr>
              <w:t>120/120 interface-success rows</w:t>
            </w:r>
          </w:p>
        </w:tc>
        <w:tc>
          <w:tcPr>
            <w:tcW w:w="2376" w:type="dxa"/>
            <w:tcMar>
              <w:top w:w="65" w:type="dxa"/>
              <w:left w:w="70" w:type="dxa"/>
              <w:bottom w:w="65" w:type="dxa"/>
              <w:right w:w="70" w:type="dxa"/>
              <w:start w:w="68" w:type="dxa"/>
              <w:end w:w="68" w:type="dxa"/>
            </w:tcMar>
            <w:vAlign w:val="center"/>
          </w:tcPr>
          <w:p w14:paraId="3457AFE3">
            <w:pPr>
              <w:spacing w:before="0" w:after="0" w:line="240" w:lineRule="auto"/>
              <w:jc w:val="left"/>
            </w:pPr>
            <w:r>
              <w:rPr>
                <w:rFonts w:ascii="Times New Roman" w:hAnsi="Times New Roman" w:eastAsia="Times New Roman" w:cs="Times New Roman"/>
                <w:b w:val="0"/>
                <w:color w:val="000000"/>
                <w:sz w:val="15"/>
              </w:rPr>
              <w:t>do_sample true; temperature .7; top_p .9; top_k 50; min_new_tokens 24; max_new_tokens 300; seed 42</w:t>
            </w:r>
          </w:p>
        </w:tc>
        <w:tc>
          <w:tcPr>
            <w:tcW w:w="2376" w:type="dxa"/>
            <w:tcMar>
              <w:top w:w="65" w:type="dxa"/>
              <w:left w:w="70" w:type="dxa"/>
              <w:bottom w:w="65" w:type="dxa"/>
              <w:right w:w="70" w:type="dxa"/>
              <w:start w:w="68" w:type="dxa"/>
              <w:end w:w="68" w:type="dxa"/>
            </w:tcMar>
            <w:vAlign w:val="center"/>
          </w:tcPr>
          <w:p w14:paraId="0F02D11E">
            <w:pPr>
              <w:spacing w:before="0" w:after="0" w:line="240" w:lineRule="auto"/>
            </w:pPr>
            <w:r>
              <w:rPr>
                <w:rFonts w:ascii="Times New Roman" w:hAnsi="Times New Roman" w:eastAsia="Times New Roman" w:cs="Times New Roman"/>
                <w:b w:val="0"/>
                <w:sz w:val="15"/>
              </w:rPr>
              <w:t>Retained row-level settings, 120 interface-success outputs, completeness checks, and compatibility notes.</w:t>
            </w:r>
          </w:p>
        </w:tc>
        <w:tc>
          <w:tcPr>
            <w:tcW w:w="2088" w:type="dxa"/>
            <w:tcMar>
              <w:top w:w="65" w:type="dxa"/>
              <w:left w:w="70" w:type="dxa"/>
              <w:bottom w:w="65" w:type="dxa"/>
              <w:right w:w="70" w:type="dxa"/>
              <w:start w:w="68" w:type="dxa"/>
              <w:end w:w="68" w:type="dxa"/>
            </w:tcMar>
            <w:vAlign w:val="center"/>
          </w:tcPr>
          <w:p w14:paraId="25B37990">
            <w:pPr>
              <w:spacing w:before="0" w:after="0" w:line="240" w:lineRule="auto"/>
              <w:jc w:val="left"/>
            </w:pPr>
            <w:r>
              <w:rPr>
                <w:rFonts w:ascii="Times New Roman" w:hAnsi="Times New Roman" w:eastAsia="Times New Roman" w:cs="Times New Roman"/>
                <w:b w:val="0"/>
                <w:color w:val="000000"/>
                <w:sz w:val="15"/>
              </w:rPr>
              <w:t>Exact original T4/CPU timing, per-case runtime, and complete original console messages.</w:t>
            </w:r>
          </w:p>
        </w:tc>
      </w:tr>
      <w:tr w14:paraId="11D1799B">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648" w:type="dxa"/>
            <w:tcMar>
              <w:top w:w="65" w:type="dxa"/>
              <w:left w:w="70" w:type="dxa"/>
              <w:bottom w:w="65" w:type="dxa"/>
              <w:right w:w="70" w:type="dxa"/>
              <w:start w:w="68" w:type="dxa"/>
              <w:end w:w="68" w:type="dxa"/>
            </w:tcMar>
            <w:vAlign w:val="center"/>
          </w:tcPr>
          <w:p w14:paraId="1522E771">
            <w:pPr>
              <w:spacing w:before="0" w:after="0" w:line="240" w:lineRule="auto"/>
              <w:jc w:val="left"/>
            </w:pPr>
            <w:r>
              <w:rPr>
                <w:rFonts w:ascii="Times New Roman" w:hAnsi="Times New Roman" w:eastAsia="Times New Roman" w:cs="Times New Roman"/>
                <w:b w:val="0"/>
                <w:color w:val="000000"/>
                <w:sz w:val="15"/>
              </w:rPr>
              <w:t>M06</w:t>
            </w:r>
          </w:p>
        </w:tc>
        <w:tc>
          <w:tcPr>
            <w:tcW w:w="2160" w:type="dxa"/>
            <w:tcMar>
              <w:top w:w="65" w:type="dxa"/>
              <w:left w:w="70" w:type="dxa"/>
              <w:bottom w:w="65" w:type="dxa"/>
              <w:right w:w="70" w:type="dxa"/>
              <w:start w:w="68" w:type="dxa"/>
              <w:end w:w="68" w:type="dxa"/>
            </w:tcMar>
            <w:vAlign w:val="center"/>
          </w:tcPr>
          <w:p w14:paraId="1375168B">
            <w:pPr>
              <w:spacing w:before="0" w:after="0" w:line="240" w:lineRule="auto"/>
              <w:jc w:val="left"/>
            </w:pPr>
            <w:r>
              <w:rPr>
                <w:rFonts w:ascii="Times New Roman" w:hAnsi="Times New Roman" w:eastAsia="Times New Roman" w:cs="Times New Roman"/>
                <w:b w:val="0"/>
                <w:color w:val="000000"/>
                <w:sz w:val="15"/>
              </w:rPr>
              <w:t>tiiuae/Falcon-H1-0.5B-Instruct</w:t>
            </w:r>
          </w:p>
        </w:tc>
        <w:tc>
          <w:tcPr>
            <w:tcW w:w="1656" w:type="dxa"/>
            <w:tcMar>
              <w:top w:w="65" w:type="dxa"/>
              <w:left w:w="70" w:type="dxa"/>
              <w:bottom w:w="65" w:type="dxa"/>
              <w:right w:w="70" w:type="dxa"/>
              <w:start w:w="68" w:type="dxa"/>
              <w:end w:w="68" w:type="dxa"/>
            </w:tcMar>
            <w:vAlign w:val="center"/>
          </w:tcPr>
          <w:p w14:paraId="28418CFC">
            <w:pPr>
              <w:spacing w:before="0" w:after="0" w:line="240" w:lineRule="auto"/>
            </w:pPr>
            <w:r>
              <w:rPr>
                <w:rFonts w:ascii="Times New Roman" w:hAnsi="Times New Roman" w:eastAsia="Times New Roman" w:cs="Times New Roman"/>
                <w:b w:val="0"/>
                <w:sz w:val="15"/>
              </w:rPr>
              <w:t>120/120 interface-success rows</w:t>
            </w:r>
          </w:p>
        </w:tc>
        <w:tc>
          <w:tcPr>
            <w:tcW w:w="2376" w:type="dxa"/>
            <w:tcMar>
              <w:top w:w="65" w:type="dxa"/>
              <w:left w:w="70" w:type="dxa"/>
              <w:bottom w:w="65" w:type="dxa"/>
              <w:right w:w="70" w:type="dxa"/>
              <w:start w:w="68" w:type="dxa"/>
              <w:end w:w="68" w:type="dxa"/>
            </w:tcMar>
            <w:vAlign w:val="center"/>
          </w:tcPr>
          <w:p w14:paraId="157F5CDA">
            <w:pPr>
              <w:spacing w:after="0" w:line="240" w:lineRule="auto" w:before="0"/>
            </w:pPr>
            <w:r>
              <w:rPr>
                <w:rFonts w:ascii="Times New Roman" w:hAnsi="Times New Roman" w:eastAsia="Times New Roman" w:cs="Times New Roman"/>
                <w:b w:val="0"/>
                <w:sz w:val="15"/>
              </w:rPr>
              <w:t>Retrospectively reconstructed: max_new_tokens 300; deterministic; seed 42</w:t>
            </w:r>
          </w:p>
        </w:tc>
        <w:tc>
          <w:tcPr>
            <w:tcW w:w="2376" w:type="dxa"/>
            <w:tcMar>
              <w:top w:w="65" w:type="dxa"/>
              <w:left w:w="70" w:type="dxa"/>
              <w:bottom w:w="65" w:type="dxa"/>
              <w:right w:w="70" w:type="dxa"/>
              <w:start w:w="68" w:type="dxa"/>
              <w:end w:w="68" w:type="dxa"/>
            </w:tcMar>
            <w:vAlign w:val="center"/>
          </w:tcPr>
          <w:p w14:paraId="29F3FA4D">
            <w:pPr>
              <w:spacing w:after="0" w:line="240" w:lineRule="auto" w:before="0"/>
            </w:pPr>
            <w:r>
              <w:rPr>
                <w:rFonts w:ascii="Times New Roman" w:hAnsi="Times New Roman" w:eastAsia="Times New Roman" w:cs="Times New Roman"/>
                <w:b w:val="0"/>
                <w:sz w:val="15"/>
              </w:rPr>
              <w:t>Visible full inputs, outputs, completeness evidence, and retained technical notes.</w:t>
            </w:r>
          </w:p>
        </w:tc>
        <w:tc>
          <w:tcPr>
            <w:tcW w:w="2088" w:type="dxa"/>
            <w:tcMar>
              <w:top w:w="65" w:type="dxa"/>
              <w:left w:w="70" w:type="dxa"/>
              <w:bottom w:w="65" w:type="dxa"/>
              <w:right w:w="70" w:type="dxa"/>
              <w:start w:w="68" w:type="dxa"/>
              <w:end w:w="68" w:type="dxa"/>
            </w:tcMar>
            <w:vAlign w:val="center"/>
          </w:tcPr>
          <w:p w14:paraId="75203E3E">
            <w:pPr>
              <w:spacing w:after="0" w:line="240" w:lineRule="auto" w:before="0"/>
            </w:pPr>
            <w:r>
              <w:rPr>
                <w:rFonts w:ascii="Times New Roman" w:hAnsi="Times New Roman" w:eastAsia="Times New Roman" w:cs="Times New Roman"/>
                <w:b w:val="0"/>
                <w:sz w:val="15"/>
              </w:rPr>
              <w:t>Exact revision, model-specific template/token string, Qwen3 thinking state where applicable, EOS/PAD/truncation/stopping details, timing, and full console history.</w:t>
            </w:r>
          </w:p>
        </w:tc>
      </w:tr>
    </w:tbl>
    <w:p w14:paraId="46BAAC2A">
      <w:pPr>
        <w:widowControl/>
        <w:spacing w:after="100" w:line="276" w:lineRule="auto"/>
        <w:jc w:val="both"/>
      </w:pPr>
      <w:r>
        <w:rPr>
          <w:rFonts w:ascii="Times New Roman" w:hAnsi="Times New Roman"/>
        </w:rPr>
        <w:t>M05 compatibility note. The surviving evidence supports 120 interface-success M05 outputs and the saved sampling configuration. This is sufficient to document analytic completeness and the decoding profile used in the archived dataset. It is not sufficient to reconstruct exact original runtime behavior or establish matched decoding comparability.</w:t>
      </w:r>
    </w:p>
    <w:p w14:paraId="0AA3789B">
      <w:pPr>
        <w:widowControl/>
      </w:pPr>
      <w:r>
        <w:rPr>
          <w:rFonts w:ascii="Times New Roman" w:hAnsi="Times New Roman"/>
        </w:rPr>
        <w:t>Interface-success definition. In Tables S8–S9, a retained/interface-success row means that the archived dataset contains a non-empty output and no retained load- or generation-error message. This status supports analytic completeness only and does not certify instruction suitability, semantic health, language compliance, or format compliance.</w:t>
      </w:r>
    </w:p>
    <w:p w14:paraId="27F3A0EC">
      <w:pPr>
        <w:pStyle w:val="3"/>
        <w:keepNext/>
        <w:keepLines/>
        <w:pageBreakBefore w:val="0"/>
        <w:spacing w:before="140" w:after="80"/>
      </w:pPr>
      <w:r>
        <w:rPr>
          <w:rFonts w:ascii="Times New Roman" w:hAnsi="Times New Roman" w:eastAsia="Times New Roman"/>
          <w:color w:val="000000"/>
        </w:rPr>
        <w:t>S3.2 Model registry</w:t>
      </w:r>
    </w:p>
    <w:p w14:paraId="3E8F3404">
      <w:pPr>
        <w:widowControl/>
      </w:pPr>
      <w:r>
        <w:rPr>
          <w:rFonts w:ascii="Times New Roman" w:hAnsi="Times New Roman"/>
        </w:rPr>
        <w:t>Note. Current public model cards were used only for descriptive context. Run-matched public-release dates, immutable repository revisions, and model-card versions were not retained and are not used to support comparative inference.</w:t>
      </w:r>
    </w:p>
    <w:p w14:paraId="1285E670">
      <w:pPr>
        <w:pStyle w:val="16"/>
        <w:keepNext/>
        <w:keepLines/>
        <w:spacing w:before="120" w:after="60"/>
        <w:jc w:val="left"/>
      </w:pPr>
      <w:r>
        <w:t>Table S16. Model suitability, public metadata, retained run evidence, and comparability boundary.</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1966"/>
        <w:gridCol w:w="1966"/>
        <w:gridCol w:w="1966"/>
        <w:gridCol w:w="1966"/>
        <w:gridCol w:w="1966"/>
      </w:tblGrid>
      <w:tr w14:paraId="2EB0C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blHeader w:val="true"/>
          <w:jc w:val="center"/>
          <w:tblHeader w:val="true"/>
        </w:trPr>
        <w:tc>
          <w:tcPr>
            <w:tcW w:w="1966" w:type="dxa"/>
            <w:vAlign w:val="center"/>
            <w:tcMar>
              <w:top w:w="65" w:type="dxa"/>
              <w:start w:w="68" w:type="dxa"/>
              <w:bottom w:w="65" w:type="dxa"/>
              <w:end w:w="68" w:type="dxa"/>
            </w:tcMar>
            <w:shd w:val="clear" w:color="auto" w:fill="E8F0F8"/>
          </w:tcPr>
          <w:p w14:paraId="3BC3F6C0">
            <w:pPr>
              <w:spacing w:after="0" w:line="240" w:lineRule="auto" w:before="0"/>
              <w:jc w:val="center"/>
            </w:pPr>
            <w:r>
              <w:rPr>
                <w:rFonts w:ascii="Times New Roman" w:hAnsi="Times New Roman" w:eastAsia="Times New Roman" w:cs="Times New Roman"/>
                <w:b/>
                <w:color w:val="1E364D"/>
                <w:sz w:val="15"/>
              </w:rPr>
              <w:t>ID / checkpoint</w:t>
            </w:r>
          </w:p>
        </w:tc>
        <w:tc>
          <w:tcPr>
            <w:tcW w:w="1966" w:type="dxa"/>
            <w:vAlign w:val="center"/>
            <w:tcMar>
              <w:top w:w="65" w:type="dxa"/>
              <w:start w:w="68" w:type="dxa"/>
              <w:bottom w:w="65" w:type="dxa"/>
              <w:end w:w="68" w:type="dxa"/>
            </w:tcMar>
            <w:shd w:val="clear" w:color="auto" w:fill="E8F0F8"/>
          </w:tcPr>
          <w:p w14:paraId="0F54F225">
            <w:pPr>
              <w:spacing w:after="0" w:line="240" w:lineRule="auto" w:before="0"/>
              <w:jc w:val="center"/>
            </w:pPr>
            <w:r>
              <w:rPr>
                <w:rFonts w:ascii="Times New Roman" w:hAnsi="Times New Roman" w:eastAsia="Times New Roman" w:cs="Times New Roman"/>
                <w:b/>
                <w:color w:val="1E364D"/>
                <w:sz w:val="15"/>
              </w:rPr>
              <w:t>Scale and tuning</w:t>
            </w:r>
          </w:p>
        </w:tc>
        <w:tc>
          <w:tcPr>
            <w:tcW w:w="1966" w:type="dxa"/>
            <w:vAlign w:val="center"/>
            <w:tcMar>
              <w:top w:w="65" w:type="dxa"/>
              <w:start w:w="68" w:type="dxa"/>
              <w:bottom w:w="65" w:type="dxa"/>
              <w:end w:w="68" w:type="dxa"/>
            </w:tcMar>
            <w:shd w:val="clear" w:color="auto" w:fill="E8F0F8"/>
          </w:tcPr>
          <w:p w14:paraId="2A7BF94F">
            <w:pPr>
              <w:spacing w:after="0" w:line="240" w:lineRule="auto" w:before="0"/>
              <w:jc w:val="center"/>
            </w:pPr>
            <w:r>
              <w:rPr>
                <w:rFonts w:ascii="Times New Roman" w:hAnsi="Times New Roman" w:eastAsia="Times New Roman" w:cs="Times New Roman"/>
                <w:b/>
                <w:color w:val="1E364D"/>
                <w:sz w:val="15"/>
              </w:rPr>
              <w:t>Current public interface metadata</w:t>
            </w:r>
          </w:p>
        </w:tc>
        <w:tc>
          <w:tcPr>
            <w:tcW w:w="1966" w:type="dxa"/>
            <w:vAlign w:val="center"/>
            <w:tcMar>
              <w:top w:w="65" w:type="dxa"/>
              <w:start w:w="68" w:type="dxa"/>
              <w:bottom w:w="65" w:type="dxa"/>
              <w:end w:w="68" w:type="dxa"/>
            </w:tcMar>
            <w:shd w:val="clear" w:color="auto" w:fill="E8F0F8"/>
          </w:tcPr>
          <w:p w14:paraId="711B770C">
            <w:pPr>
              <w:spacing w:after="0" w:line="240" w:lineRule="auto" w:before="0"/>
              <w:jc w:val="center"/>
            </w:pPr>
            <w:r>
              <w:rPr>
                <w:rFonts w:ascii="Times New Roman" w:hAnsi="Times New Roman" w:eastAsia="Times New Roman" w:cs="Times New Roman"/>
                <w:b/>
                <w:color w:val="1E364D"/>
                <w:sz w:val="15"/>
              </w:rPr>
              <w:t>Retained run evidence</w:t>
            </w:r>
          </w:p>
        </w:tc>
        <w:tc>
          <w:tcPr>
            <w:tcW w:w="1966" w:type="dxa"/>
            <w:vAlign w:val="center"/>
            <w:tcMar>
              <w:top w:w="65" w:type="dxa"/>
              <w:start w:w="68" w:type="dxa"/>
              <w:bottom w:w="65" w:type="dxa"/>
              <w:end w:w="68" w:type="dxa"/>
            </w:tcMar>
            <w:shd w:val="clear" w:color="auto" w:fill="E8F0F8"/>
          </w:tcPr>
          <w:p w14:paraId="40DE3F28">
            <w:pPr>
              <w:spacing w:after="0" w:line="240" w:lineRule="auto" w:before="0"/>
              <w:jc w:val="center"/>
            </w:pPr>
            <w:r>
              <w:rPr>
                <w:rFonts w:ascii="Times New Roman" w:hAnsi="Times New Roman" w:eastAsia="Times New Roman" w:cs="Times New Roman"/>
                <w:b/>
                <w:color w:val="1E364D"/>
                <w:sz w:val="15"/>
              </w:rPr>
              <w:t>Interpretation boundary</w:t>
            </w:r>
          </w:p>
        </w:tc>
      </w:tr>
      <w:tr w14:paraId="7C9D8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966" w:type="dxa"/>
            <w:vAlign w:val="center"/>
            <w:tcMar>
              <w:top w:w="65" w:type="dxa"/>
              <w:start w:w="68" w:type="dxa"/>
              <w:bottom w:w="65" w:type="dxa"/>
              <w:end w:w="68" w:type="dxa"/>
            </w:tcMar>
          </w:tcPr>
          <w:p w14:paraId="546D9CD9">
            <w:pPr>
              <w:spacing w:after="0" w:line="240" w:lineRule="auto" w:before="0"/>
            </w:pPr>
            <w:r>
              <w:rPr>
                <w:rFonts w:ascii="Times New Roman" w:hAnsi="Times New Roman" w:eastAsia="Times New Roman" w:cs="Times New Roman"/>
                <w:b w:val="0"/>
                <w:sz w:val="15"/>
              </w:rPr>
              <w:t>M01</w:t>
            </w:r>
            <w:r>
              <w:rPr>
                <w:rFonts w:ascii="Times New Roman" w:hAnsi="Times New Roman" w:eastAsia="Times New Roman" w:cs="Times New Roman"/>
                <w:b w:val="0"/>
                <w:sz w:val="15"/>
              </w:rPr>
              <w:br/>
            </w:r>
            <w:r>
              <w:rPr>
                <w:rFonts w:ascii="Times New Roman" w:hAnsi="Times New Roman" w:eastAsia="Times New Roman" w:cs="Times New Roman"/>
                <w:b w:val="0"/>
                <w:sz w:val="15"/>
              </w:rPr>
              <w:t>Qwen/Qwen3-0.6B</w:t>
            </w:r>
          </w:p>
        </w:tc>
        <w:tc>
          <w:tcPr>
            <w:tcW w:w="1966" w:type="dxa"/>
            <w:vAlign w:val="center"/>
            <w:tcMar>
              <w:top w:w="65" w:type="dxa"/>
              <w:start w:w="68" w:type="dxa"/>
              <w:bottom w:w="65" w:type="dxa"/>
              <w:end w:w="68" w:type="dxa"/>
            </w:tcMar>
          </w:tcPr>
          <w:p w14:paraId="58B80708">
            <w:pPr>
              <w:spacing w:after="0" w:line="240" w:lineRule="auto" w:before="0"/>
            </w:pPr>
            <w:r>
              <w:rPr>
                <w:rFonts w:ascii="Times New Roman" w:hAnsi="Times New Roman" w:eastAsia="Times New Roman" w:cs="Times New Roman"/>
                <w:b w:val="0"/>
                <w:sz w:val="15"/>
              </w:rPr>
              <w:t>0.6B; pretrained and post-trained causal LM</w:t>
            </w:r>
          </w:p>
        </w:tc>
        <w:tc>
          <w:tcPr>
            <w:tcW w:w="1966" w:type="dxa"/>
            <w:vAlign w:val="center"/>
            <w:tcMar>
              <w:top w:w="65" w:type="dxa"/>
              <w:start w:w="68" w:type="dxa"/>
              <w:bottom w:w="65" w:type="dxa"/>
              <w:end w:w="68" w:type="dxa"/>
            </w:tcMar>
          </w:tcPr>
          <w:p w14:paraId="07790E2A">
            <w:pPr>
              <w:spacing w:after="0" w:line="240" w:lineRule="auto" w:before="0"/>
            </w:pPr>
            <w:r>
              <w:rPr>
                <w:rFonts w:ascii="Times New Roman" w:hAnsi="Times New Roman" w:eastAsia="Times New Roman" w:cs="Times New Roman"/>
                <w:b w:val="0"/>
                <w:sz w:val="15"/>
              </w:rPr>
              <w:t>Chat-template model; 32,768-token public context; 100+ languages; Apache-2.0; thinking/non-thinking modes</w:t>
            </w:r>
          </w:p>
        </w:tc>
        <w:tc>
          <w:tcPr>
            <w:tcW w:w="1966" w:type="dxa"/>
            <w:vAlign w:val="center"/>
            <w:tcMar>
              <w:top w:w="65" w:type="dxa"/>
              <w:start w:w="68" w:type="dxa"/>
              <w:bottom w:w="65" w:type="dxa"/>
              <w:end w:w="68" w:type="dxa"/>
            </w:tcMar>
          </w:tcPr>
          <w:p w14:paraId="3396CD51">
            <w:pPr>
              <w:spacing w:after="0" w:line="240" w:lineRule="auto" w:before="0"/>
            </w:pPr>
            <w:r>
              <w:rPr>
                <w:rFonts w:ascii="Times New Roman" w:hAnsi="Times New Roman" w:eastAsia="Times New Roman" w:cs="Times New Roman"/>
                <w:b w:val="0"/>
                <w:sz w:val="15"/>
              </w:rPr>
              <w:t>Visible full input and 120 outputs retained; deterministic profile reconstructed; chat transform and thinking state not retained</w:t>
            </w:r>
          </w:p>
        </w:tc>
        <w:tc>
          <w:tcPr>
            <w:tcW w:w="1966" w:type="dxa"/>
            <w:vAlign w:val="center"/>
            <w:tcMar>
              <w:top w:w="65" w:type="dxa"/>
              <w:start w:w="68" w:type="dxa"/>
              <w:bottom w:w="65" w:type="dxa"/>
              <w:end w:w="68" w:type="dxa"/>
            </w:tcMar>
          </w:tcPr>
          <w:p w14:paraId="40DDC5B2">
            <w:pPr>
              <w:spacing w:after="0" w:line="240" w:lineRule="auto" w:before="0"/>
            </w:pPr>
            <w:r>
              <w:rPr>
                <w:rFonts w:ascii="Times New Roman" w:hAnsi="Times New Roman" w:eastAsia="Times New Roman" w:cs="Times New Roman"/>
                <w:b w:val="0"/>
                <w:sz w:val="15"/>
              </w:rPr>
              <w:t>Purposive multilingual chat-capable stratum; exact run revision/interface unavailable</w:t>
            </w:r>
          </w:p>
        </w:tc>
      </w:tr>
      <w:tr w14:paraId="32208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966" w:type="dxa"/>
            <w:vAlign w:val="center"/>
            <w:tcMar>
              <w:top w:w="65" w:type="dxa"/>
              <w:start w:w="68" w:type="dxa"/>
              <w:bottom w:w="65" w:type="dxa"/>
              <w:end w:w="68" w:type="dxa"/>
            </w:tcMar>
          </w:tcPr>
          <w:p w14:paraId="0D722028">
            <w:pPr>
              <w:spacing w:after="0" w:line="240" w:lineRule="auto" w:before="0"/>
            </w:pPr>
            <w:r>
              <w:rPr>
                <w:rFonts w:ascii="Times New Roman" w:hAnsi="Times New Roman" w:eastAsia="Times New Roman" w:cs="Times New Roman"/>
                <w:b w:val="0"/>
                <w:sz w:val="15"/>
              </w:rPr>
              <w:t>M02</w:t>
            </w:r>
            <w:r>
              <w:rPr>
                <w:rFonts w:ascii="Times New Roman" w:hAnsi="Times New Roman" w:eastAsia="Times New Roman" w:cs="Times New Roman"/>
                <w:b w:val="0"/>
                <w:sz w:val="15"/>
              </w:rPr>
              <w:br/>
            </w:r>
            <w:r>
              <w:rPr>
                <w:rFonts w:ascii="Times New Roman" w:hAnsi="Times New Roman" w:eastAsia="Times New Roman" w:cs="Times New Roman"/>
                <w:b w:val="0"/>
                <w:sz w:val="15"/>
              </w:rPr>
              <w:t>google/flan-t5-base</w:t>
            </w:r>
          </w:p>
        </w:tc>
        <w:tc>
          <w:tcPr>
            <w:tcW w:w="1966" w:type="dxa"/>
            <w:vAlign w:val="center"/>
            <w:tcMar>
              <w:top w:w="65" w:type="dxa"/>
              <w:start w:w="68" w:type="dxa"/>
              <w:bottom w:w="65" w:type="dxa"/>
              <w:end w:w="68" w:type="dxa"/>
            </w:tcMar>
          </w:tcPr>
          <w:p w14:paraId="0E7D7D18">
            <w:pPr>
              <w:spacing w:after="0" w:line="240" w:lineRule="auto" w:before="0"/>
            </w:pPr>
            <w:r>
              <w:rPr>
                <w:rFonts w:ascii="Times New Roman" w:hAnsi="Times New Roman" w:eastAsia="Times New Roman" w:cs="Times New Roman"/>
                <w:b w:val="0"/>
                <w:sz w:val="15"/>
              </w:rPr>
              <w:t>≈250M; instruction-tuned encoder-decoder</w:t>
            </w:r>
          </w:p>
        </w:tc>
        <w:tc>
          <w:tcPr>
            <w:tcW w:w="1966" w:type="dxa"/>
            <w:vAlign w:val="center"/>
            <w:tcMar>
              <w:top w:w="65" w:type="dxa"/>
              <w:start w:w="68" w:type="dxa"/>
              <w:bottom w:w="65" w:type="dxa"/>
              <w:end w:w="68" w:type="dxa"/>
            </w:tcMar>
          </w:tcPr>
          <w:p w14:paraId="75EAA98C">
            <w:pPr>
              <w:spacing w:after="0" w:line="240" w:lineRule="auto" w:before="0"/>
            </w:pPr>
            <w:r>
              <w:rPr>
                <w:rFonts w:ascii="Times New Roman" w:hAnsi="Times New Roman" w:eastAsia="Times New Roman" w:cs="Times New Roman"/>
                <w:b w:val="0"/>
                <w:sz w:val="15"/>
              </w:rPr>
              <w:t>Plain text-to-text interface; multilingual instruction tuning; Apache-2.0</w:t>
            </w:r>
          </w:p>
        </w:tc>
        <w:tc>
          <w:tcPr>
            <w:tcW w:w="1966" w:type="dxa"/>
            <w:vAlign w:val="center"/>
            <w:tcMar>
              <w:top w:w="65" w:type="dxa"/>
              <w:start w:w="68" w:type="dxa"/>
              <w:bottom w:w="65" w:type="dxa"/>
              <w:end w:w="68" w:type="dxa"/>
            </w:tcMar>
          </w:tcPr>
          <w:p w14:paraId="610D1D7B">
            <w:pPr>
              <w:spacing w:after="0" w:line="240" w:lineRule="auto" w:before="0"/>
            </w:pPr>
            <w:r>
              <w:rPr>
                <w:rFonts w:ascii="Times New Roman" w:hAnsi="Times New Roman" w:eastAsia="Times New Roman" w:cs="Times New Roman"/>
                <w:b w:val="0"/>
                <w:sz w:val="15"/>
              </w:rPr>
              <w:t>Visible full input and 120 outputs retained; deterministic profile reconstructed</w:t>
            </w:r>
          </w:p>
        </w:tc>
        <w:tc>
          <w:tcPr>
            <w:tcW w:w="1966" w:type="dxa"/>
            <w:vAlign w:val="center"/>
            <w:tcMar>
              <w:top w:w="65" w:type="dxa"/>
              <w:start w:w="68" w:type="dxa"/>
              <w:bottom w:w="65" w:type="dxa"/>
              <w:end w:w="68" w:type="dxa"/>
            </w:tcMar>
          </w:tcPr>
          <w:p w14:paraId="1D252808">
            <w:pPr>
              <w:spacing w:after="0" w:line="240" w:lineRule="auto" w:before="0"/>
            </w:pPr>
            <w:r>
              <w:rPr>
                <w:rFonts w:ascii="Times New Roman" w:hAnsi="Times New Roman" w:eastAsia="Times New Roman" w:cs="Times New Roman"/>
                <w:b w:val="0"/>
                <w:sz w:val="15"/>
              </w:rPr>
              <w:t>Encoder-decoder instruction stratum; not matched to causal/chat models</w:t>
            </w:r>
          </w:p>
        </w:tc>
      </w:tr>
      <w:tr w14:paraId="577E6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966" w:type="dxa"/>
            <w:vAlign w:val="center"/>
            <w:tcMar>
              <w:top w:w="65" w:type="dxa"/>
              <w:start w:w="68" w:type="dxa"/>
              <w:bottom w:w="65" w:type="dxa"/>
              <w:end w:w="68" w:type="dxa"/>
            </w:tcMar>
          </w:tcPr>
          <w:p w14:paraId="55BC6D28">
            <w:pPr>
              <w:spacing w:after="0" w:line="240" w:lineRule="auto" w:before="0"/>
            </w:pPr>
            <w:r>
              <w:rPr>
                <w:rFonts w:ascii="Times New Roman" w:hAnsi="Times New Roman" w:eastAsia="Times New Roman" w:cs="Times New Roman"/>
                <w:b w:val="0"/>
                <w:sz w:val="15"/>
              </w:rPr>
              <w:t>M03</w:t>
            </w:r>
            <w:r>
              <w:rPr>
                <w:rFonts w:ascii="Times New Roman" w:hAnsi="Times New Roman" w:eastAsia="Times New Roman" w:cs="Times New Roman"/>
                <w:b w:val="0"/>
                <w:sz w:val="15"/>
              </w:rPr>
              <w:br/>
            </w:r>
            <w:r>
              <w:rPr>
                <w:rFonts w:ascii="Times New Roman" w:hAnsi="Times New Roman" w:eastAsia="Times New Roman" w:cs="Times New Roman"/>
                <w:b w:val="0"/>
                <w:sz w:val="15"/>
              </w:rPr>
              <w:t>allenai/OLMo-2-0425-1B-Instruct</w:t>
            </w:r>
          </w:p>
        </w:tc>
        <w:tc>
          <w:tcPr>
            <w:tcW w:w="1966" w:type="dxa"/>
            <w:vAlign w:val="center"/>
            <w:tcMar>
              <w:top w:w="65" w:type="dxa"/>
              <w:start w:w="68" w:type="dxa"/>
              <w:bottom w:w="65" w:type="dxa"/>
              <w:end w:w="68" w:type="dxa"/>
            </w:tcMar>
          </w:tcPr>
          <w:p w14:paraId="1D3432C8">
            <w:pPr>
              <w:spacing w:after="0" w:line="240" w:lineRule="auto" w:before="0"/>
            </w:pPr>
            <w:r>
              <w:rPr>
                <w:rFonts w:ascii="Times New Roman" w:hAnsi="Times New Roman" w:eastAsia="Times New Roman" w:cs="Times New Roman"/>
                <w:b w:val="0"/>
                <w:sz w:val="15"/>
              </w:rPr>
              <w:t>1B; instruction/post-trained causal LM</w:t>
            </w:r>
          </w:p>
        </w:tc>
        <w:tc>
          <w:tcPr>
            <w:tcW w:w="1966" w:type="dxa"/>
            <w:vAlign w:val="center"/>
            <w:tcMar>
              <w:top w:w="65" w:type="dxa"/>
              <w:start w:w="68" w:type="dxa"/>
              <w:bottom w:w="65" w:type="dxa"/>
              <w:end w:w="68" w:type="dxa"/>
            </w:tcMar>
          </w:tcPr>
          <w:p w14:paraId="70822F44">
            <w:pPr>
              <w:spacing w:after="0" w:line="240" w:lineRule="auto" w:before="0"/>
            </w:pPr>
            <w:r>
              <w:rPr>
                <w:rFonts w:ascii="Times New Roman" w:hAnsi="Times New Roman" w:eastAsia="Times New Roman" w:cs="Times New Roman"/>
                <w:b w:val="0"/>
                <w:sz w:val="15"/>
              </w:rPr>
              <w:t>Chat template; 4,096-token public context; primarily English; Apache-2.0</w:t>
            </w:r>
          </w:p>
        </w:tc>
        <w:tc>
          <w:tcPr>
            <w:tcW w:w="1966" w:type="dxa"/>
            <w:vAlign w:val="center"/>
            <w:tcMar>
              <w:top w:w="65" w:type="dxa"/>
              <w:start w:w="68" w:type="dxa"/>
              <w:bottom w:w="65" w:type="dxa"/>
              <w:end w:w="68" w:type="dxa"/>
            </w:tcMar>
          </w:tcPr>
          <w:p w14:paraId="3EC0B2CD">
            <w:pPr>
              <w:spacing w:after="0" w:line="240" w:lineRule="auto" w:before="0"/>
            </w:pPr>
            <w:r>
              <w:rPr>
                <w:rFonts w:ascii="Times New Roman" w:hAnsi="Times New Roman" w:eastAsia="Times New Roman" w:cs="Times New Roman"/>
                <w:b w:val="0"/>
                <w:sz w:val="15"/>
              </w:rPr>
              <w:t>Visible full input and 120 outputs retained; deterministic profile reconstructed; applied chat transform not retained</w:t>
            </w:r>
          </w:p>
        </w:tc>
        <w:tc>
          <w:tcPr>
            <w:tcW w:w="1966" w:type="dxa"/>
            <w:vAlign w:val="center"/>
            <w:tcMar>
              <w:top w:w="65" w:type="dxa"/>
              <w:start w:w="68" w:type="dxa"/>
              <w:bottom w:w="65" w:type="dxa"/>
              <w:end w:w="68" w:type="dxa"/>
            </w:tcMar>
          </w:tcPr>
          <w:p w14:paraId="04E96E83">
            <w:pPr>
              <w:spacing w:after="0" w:line="240" w:lineRule="auto" w:before="0"/>
            </w:pPr>
            <w:r>
              <w:rPr>
                <w:rFonts w:ascii="Times New Roman" w:hAnsi="Times New Roman" w:eastAsia="Times New Roman" w:cs="Times New Roman"/>
                <w:b w:val="0"/>
                <w:sz w:val="15"/>
              </w:rPr>
              <w:t>Open instruction-tuned stratum; exact run revision unavailable</w:t>
            </w:r>
          </w:p>
        </w:tc>
      </w:tr>
      <w:tr w14:paraId="4C468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966" w:type="dxa"/>
            <w:vAlign w:val="center"/>
            <w:tcMar>
              <w:top w:w="65" w:type="dxa"/>
              <w:start w:w="68" w:type="dxa"/>
              <w:bottom w:w="65" w:type="dxa"/>
              <w:end w:w="68" w:type="dxa"/>
            </w:tcMar>
          </w:tcPr>
          <w:p w14:paraId="2B4D2117">
            <w:pPr>
              <w:spacing w:after="0" w:line="240" w:lineRule="auto" w:before="0"/>
            </w:pPr>
            <w:r>
              <w:rPr>
                <w:rFonts w:ascii="Times New Roman" w:hAnsi="Times New Roman" w:eastAsia="Times New Roman" w:cs="Times New Roman"/>
                <w:b w:val="0"/>
                <w:sz w:val="15"/>
              </w:rPr>
              <w:t>M04</w:t>
            </w:r>
            <w:r>
              <w:rPr>
                <w:rFonts w:ascii="Times New Roman" w:hAnsi="Times New Roman" w:eastAsia="Times New Roman" w:cs="Times New Roman"/>
                <w:b w:val="0"/>
                <w:sz w:val="15"/>
              </w:rPr>
              <w:br/>
            </w:r>
            <w:r>
              <w:rPr>
                <w:rFonts w:ascii="Times New Roman" w:hAnsi="Times New Roman" w:eastAsia="Times New Roman" w:cs="Times New Roman"/>
                <w:b w:val="0"/>
                <w:sz w:val="15"/>
              </w:rPr>
              <w:t>state-spaces/mamba-370m-hf</w:t>
            </w:r>
          </w:p>
        </w:tc>
        <w:tc>
          <w:tcPr>
            <w:tcW w:w="1966" w:type="dxa"/>
            <w:vAlign w:val="center"/>
            <w:tcMar>
              <w:top w:w="65" w:type="dxa"/>
              <w:start w:w="68" w:type="dxa"/>
              <w:bottom w:w="65" w:type="dxa"/>
              <w:end w:w="68" w:type="dxa"/>
            </w:tcMar>
          </w:tcPr>
          <w:p w14:paraId="2305DEE9">
            <w:pPr>
              <w:spacing w:after="0" w:line="240" w:lineRule="auto" w:before="0"/>
            </w:pPr>
            <w:r>
              <w:rPr>
                <w:rFonts w:ascii="Times New Roman" w:hAnsi="Times New Roman" w:eastAsia="Times New Roman" w:cs="Times New Roman"/>
                <w:b w:val="0"/>
                <w:sz w:val="15"/>
              </w:rPr>
              <w:t>370M; base causal state-space LM</w:t>
            </w:r>
          </w:p>
        </w:tc>
        <w:tc>
          <w:tcPr>
            <w:tcW w:w="1966" w:type="dxa"/>
            <w:vAlign w:val="center"/>
            <w:tcMar>
              <w:top w:w="65" w:type="dxa"/>
              <w:start w:w="68" w:type="dxa"/>
              <w:bottom w:w="65" w:type="dxa"/>
              <w:end w:w="68" w:type="dxa"/>
            </w:tcMar>
          </w:tcPr>
          <w:p w14:paraId="556C80D0">
            <w:pPr>
              <w:spacing w:after="0" w:line="240" w:lineRule="auto" w:before="0"/>
            </w:pPr>
            <w:r>
              <w:rPr>
                <w:rFonts w:ascii="Times New Roman" w:hAnsi="Times New Roman" w:eastAsia="Times New Roman" w:cs="Times New Roman"/>
                <w:b w:val="0"/>
                <w:sz w:val="15"/>
              </w:rPr>
              <w:t>Plain completion interface; public card does not establish a run-matched instruction wrapper, context, or licence</w:t>
            </w:r>
          </w:p>
        </w:tc>
        <w:tc>
          <w:tcPr>
            <w:tcW w:w="1966" w:type="dxa"/>
            <w:vAlign w:val="center"/>
            <w:tcMar>
              <w:top w:w="65" w:type="dxa"/>
              <w:start w:w="68" w:type="dxa"/>
              <w:bottom w:w="65" w:type="dxa"/>
              <w:end w:w="68" w:type="dxa"/>
            </w:tcMar>
          </w:tcPr>
          <w:p w14:paraId="0AD58C70">
            <w:pPr>
              <w:spacing w:after="0" w:line="240" w:lineRule="auto" w:before="0"/>
            </w:pPr>
            <w:r>
              <w:rPr>
                <w:rFonts w:ascii="Times New Roman" w:hAnsi="Times New Roman" w:eastAsia="Times New Roman" w:cs="Times New Roman"/>
                <w:b w:val="0"/>
                <w:sz w:val="15"/>
              </w:rPr>
              <w:t>Visible full input and 120 outputs retained; deterministic profile reconstructed</w:t>
            </w:r>
          </w:p>
        </w:tc>
        <w:tc>
          <w:tcPr>
            <w:tcW w:w="1966" w:type="dxa"/>
            <w:vAlign w:val="center"/>
            <w:tcMar>
              <w:top w:w="65" w:type="dxa"/>
              <w:start w:w="68" w:type="dxa"/>
              <w:bottom w:w="65" w:type="dxa"/>
              <w:end w:w="68" w:type="dxa"/>
            </w:tcMar>
          </w:tcPr>
          <w:p w14:paraId="1BC9CC0D">
            <w:pPr>
              <w:spacing w:after="0" w:line="240" w:lineRule="auto" w:before="0"/>
            </w:pPr>
            <w:r>
              <w:rPr>
                <w:rFonts w:ascii="Times New Roman" w:hAnsi="Times New Roman" w:eastAsia="Times New Roman" w:cs="Times New Roman"/>
                <w:b w:val="0"/>
                <w:sz w:val="15"/>
              </w:rPr>
              <w:t>Base-model suitability is a major confound; technical degeneration observed</w:t>
            </w:r>
          </w:p>
        </w:tc>
      </w:tr>
      <w:tr w14:paraId="4C614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966" w:type="dxa"/>
            <w:vAlign w:val="center"/>
            <w:tcMar>
              <w:top w:w="65" w:type="dxa"/>
              <w:start w:w="68" w:type="dxa"/>
              <w:bottom w:w="65" w:type="dxa"/>
              <w:end w:w="68" w:type="dxa"/>
            </w:tcMar>
          </w:tcPr>
          <w:p w14:paraId="52FB87F4">
            <w:pPr>
              <w:spacing w:after="0" w:line="240" w:lineRule="auto" w:before="0"/>
            </w:pPr>
            <w:r>
              <w:rPr>
                <w:rFonts w:ascii="Times New Roman" w:hAnsi="Times New Roman" w:eastAsia="Times New Roman" w:cs="Times New Roman"/>
                <w:b w:val="0"/>
                <w:sz w:val="15"/>
              </w:rPr>
              <w:t>M05</w:t>
            </w:r>
            <w:r>
              <w:rPr>
                <w:rFonts w:ascii="Times New Roman" w:hAnsi="Times New Roman" w:eastAsia="Times New Roman" w:cs="Times New Roman"/>
                <w:b w:val="0"/>
                <w:sz w:val="15"/>
              </w:rPr>
              <w:br/>
            </w:r>
            <w:r>
              <w:rPr>
                <w:rFonts w:ascii="Times New Roman" w:hAnsi="Times New Roman" w:eastAsia="Times New Roman" w:cs="Times New Roman"/>
                <w:b w:val="0"/>
                <w:sz w:val="15"/>
              </w:rPr>
              <w:t>RWKV/rwkv-4-world-430m</w:t>
            </w:r>
          </w:p>
        </w:tc>
        <w:tc>
          <w:tcPr>
            <w:tcW w:w="1966" w:type="dxa"/>
            <w:vAlign w:val="center"/>
            <w:tcMar>
              <w:top w:w="65" w:type="dxa"/>
              <w:start w:w="68" w:type="dxa"/>
              <w:bottom w:w="65" w:type="dxa"/>
              <w:end w:w="68" w:type="dxa"/>
            </w:tcMar>
          </w:tcPr>
          <w:p w14:paraId="4A0348A2">
            <w:pPr>
              <w:spacing w:after="0" w:line="240" w:lineRule="auto" w:before="0"/>
            </w:pPr>
            <w:r>
              <w:rPr>
                <w:rFonts w:ascii="Times New Roman" w:hAnsi="Times New Roman" w:eastAsia="Times New Roman" w:cs="Times New Roman"/>
                <w:b w:val="0"/>
                <w:sz w:val="15"/>
              </w:rPr>
              <w:t>430M; World/base recurrent LM</w:t>
            </w:r>
          </w:p>
        </w:tc>
        <w:tc>
          <w:tcPr>
            <w:tcW w:w="1966" w:type="dxa"/>
            <w:vAlign w:val="center"/>
            <w:tcMar>
              <w:top w:w="65" w:type="dxa"/>
              <w:start w:w="68" w:type="dxa"/>
              <w:bottom w:w="65" w:type="dxa"/>
              <w:end w:w="68" w:type="dxa"/>
            </w:tcMar>
          </w:tcPr>
          <w:p w14:paraId="590BB6B8">
            <w:pPr>
              <w:spacing w:before="0" w:after="0" w:line="240" w:lineRule="auto"/>
            </w:pPr>
            <w:r>
              <w:rPr>
                <w:rFonts w:ascii="Times New Roman" w:hAnsi="Times New Roman" w:eastAsia="Times New Roman" w:cs="Times New Roman"/>
                <w:b w:val="0"/>
                <w:sz w:val="15"/>
              </w:rPr>
              <w:t>Manual response-suffix prompting in retained run; multilingual World model; current public config exposes 1,024-token context; licence not declared on the model card</w:t>
            </w:r>
          </w:p>
        </w:tc>
        <w:tc>
          <w:tcPr>
            <w:tcW w:w="1966" w:type="dxa"/>
            <w:vAlign w:val="center"/>
            <w:tcMar>
              <w:top w:w="65" w:type="dxa"/>
              <w:start w:w="68" w:type="dxa"/>
              <w:bottom w:w="65" w:type="dxa"/>
              <w:end w:w="68" w:type="dxa"/>
            </w:tcMar>
          </w:tcPr>
          <w:p w14:paraId="3322EFB4">
            <w:pPr>
              <w:spacing w:after="0" w:line="240" w:lineRule="auto" w:before="0"/>
            </w:pPr>
            <w:r>
              <w:rPr>
                <w:rFonts w:ascii="Times New Roman" w:hAnsi="Times New Roman" w:eastAsia="Times New Roman" w:cs="Times New Roman"/>
                <w:b w:val="0"/>
                <w:sz w:val="15"/>
              </w:rPr>
              <w:t>Wrapper and stochastic profile retained: temperature .7, top_p .9, top_k 50, min_new_tokens 24, max_new_tokens 300, seed 42</w:t>
            </w:r>
          </w:p>
        </w:tc>
        <w:tc>
          <w:tcPr>
            <w:tcW w:w="1966" w:type="dxa"/>
            <w:vAlign w:val="center"/>
            <w:tcMar>
              <w:top w:w="65" w:type="dxa"/>
              <w:start w:w="68" w:type="dxa"/>
              <w:bottom w:w="65" w:type="dxa"/>
              <w:end w:w="68" w:type="dxa"/>
            </w:tcMar>
          </w:tcPr>
          <w:p w14:paraId="791CB118">
            <w:pPr>
              <w:spacing w:after="0" w:line="240" w:lineRule="auto" w:before="0"/>
            </w:pPr>
            <w:r>
              <w:rPr>
                <w:rFonts w:ascii="Times New Roman" w:hAnsi="Times New Roman" w:eastAsia="Times New Roman" w:cs="Times New Roman"/>
                <w:b w:val="0"/>
                <w:sz w:val="15"/>
              </w:rPr>
              <w:t>Compatibility-managed stratum; decoding is not matched to the other checkpoints</w:t>
            </w:r>
          </w:p>
        </w:tc>
      </w:tr>
      <w:tr w14:paraId="60674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966" w:type="dxa"/>
            <w:vAlign w:val="center"/>
            <w:tcMar>
              <w:top w:w="65" w:type="dxa"/>
              <w:start w:w="68" w:type="dxa"/>
              <w:bottom w:w="65" w:type="dxa"/>
              <w:end w:w="68" w:type="dxa"/>
            </w:tcMar>
          </w:tcPr>
          <w:p w14:paraId="53A93AA2">
            <w:pPr>
              <w:spacing w:after="0" w:line="240" w:lineRule="auto" w:before="0"/>
            </w:pPr>
            <w:r>
              <w:rPr>
                <w:rFonts w:ascii="Times New Roman" w:hAnsi="Times New Roman" w:eastAsia="Times New Roman" w:cs="Times New Roman"/>
                <w:b w:val="0"/>
                <w:sz w:val="15"/>
              </w:rPr>
              <w:t>M06</w:t>
            </w:r>
            <w:r>
              <w:rPr>
                <w:rFonts w:ascii="Times New Roman" w:hAnsi="Times New Roman" w:eastAsia="Times New Roman" w:cs="Times New Roman"/>
                <w:b w:val="0"/>
                <w:sz w:val="15"/>
              </w:rPr>
              <w:br/>
            </w:r>
            <w:r>
              <w:rPr>
                <w:rFonts w:ascii="Times New Roman" w:hAnsi="Times New Roman" w:eastAsia="Times New Roman" w:cs="Times New Roman"/>
                <w:b w:val="0"/>
                <w:sz w:val="15"/>
              </w:rPr>
              <w:t>tiiuae/Falcon-H1-0.5B-Instruct</w:t>
            </w:r>
          </w:p>
        </w:tc>
        <w:tc>
          <w:tcPr>
            <w:tcW w:w="1966" w:type="dxa"/>
            <w:vAlign w:val="center"/>
            <w:tcMar>
              <w:top w:w="65" w:type="dxa"/>
              <w:start w:w="68" w:type="dxa"/>
              <w:bottom w:w="65" w:type="dxa"/>
              <w:end w:w="68" w:type="dxa"/>
            </w:tcMar>
          </w:tcPr>
          <w:p w14:paraId="1534750B">
            <w:pPr>
              <w:spacing w:after="0" w:line="240" w:lineRule="auto" w:before="0"/>
            </w:pPr>
            <w:r>
              <w:rPr>
                <w:rFonts w:ascii="Times New Roman" w:hAnsi="Times New Roman" w:eastAsia="Times New Roman" w:cs="Times New Roman"/>
                <w:b w:val="0"/>
                <w:sz w:val="15"/>
              </w:rPr>
              <w:t>0.5B; instruction-tuned hybrid LM</w:t>
            </w:r>
          </w:p>
        </w:tc>
        <w:tc>
          <w:tcPr>
            <w:tcW w:w="1966" w:type="dxa"/>
            <w:vAlign w:val="center"/>
            <w:tcMar>
              <w:top w:w="65" w:type="dxa"/>
              <w:start w:w="68" w:type="dxa"/>
              <w:bottom w:w="65" w:type="dxa"/>
              <w:end w:w="68" w:type="dxa"/>
            </w:tcMar>
          </w:tcPr>
          <w:p w14:paraId="0B19BE97">
            <w:pPr>
              <w:spacing w:after="0" w:line="240" w:lineRule="auto" w:before="0"/>
            </w:pPr>
            <w:r>
              <w:rPr>
                <w:rFonts w:ascii="Times New Roman" w:hAnsi="Times New Roman" w:eastAsia="Times New Roman" w:cs="Times New Roman"/>
                <w:b w:val="0"/>
                <w:sz w:val="15"/>
              </w:rPr>
              <w:t>Chat template; 16,384-token current public context; English; Falcon-LLM licence</w:t>
            </w:r>
          </w:p>
        </w:tc>
        <w:tc>
          <w:tcPr>
            <w:tcW w:w="1966" w:type="dxa"/>
            <w:vAlign w:val="center"/>
            <w:tcMar>
              <w:top w:w="65" w:type="dxa"/>
              <w:start w:w="68" w:type="dxa"/>
              <w:bottom w:w="65" w:type="dxa"/>
              <w:end w:w="68" w:type="dxa"/>
            </w:tcMar>
          </w:tcPr>
          <w:p w14:paraId="7F4DF23F">
            <w:pPr>
              <w:spacing w:after="0" w:line="240" w:lineRule="auto" w:before="0"/>
            </w:pPr>
            <w:r>
              <w:rPr>
                <w:rFonts w:ascii="Times New Roman" w:hAnsi="Times New Roman" w:eastAsia="Times New Roman" w:cs="Times New Roman"/>
                <w:b w:val="0"/>
                <w:sz w:val="15"/>
              </w:rPr>
              <w:t>Visible full input and 120 outputs retained; deterministic profile reconstructed; applied chat transform not retained</w:t>
            </w:r>
          </w:p>
        </w:tc>
        <w:tc>
          <w:tcPr>
            <w:tcW w:w="1966" w:type="dxa"/>
            <w:vAlign w:val="center"/>
            <w:tcMar>
              <w:top w:w="65" w:type="dxa"/>
              <w:start w:w="68" w:type="dxa"/>
              <w:bottom w:w="65" w:type="dxa"/>
              <w:end w:w="68" w:type="dxa"/>
            </w:tcMar>
          </w:tcPr>
          <w:p w14:paraId="61069F4E">
            <w:pPr>
              <w:spacing w:after="0" w:line="240" w:lineRule="auto" w:before="0"/>
            </w:pPr>
            <w:r>
              <w:rPr>
                <w:rFonts w:ascii="Times New Roman" w:hAnsi="Times New Roman" w:eastAsia="Times New Roman" w:cs="Times New Roman"/>
                <w:b w:val="0"/>
                <w:sz w:val="15"/>
              </w:rPr>
              <w:t>Hybrid instruction stratum; exact run revision unavailable</w:t>
            </w:r>
          </w:p>
        </w:tc>
      </w:tr>
    </w:tbl>
    <w:p w14:paraId="169B70A9">
      <w:pPr>
        <w:widowControl/>
        <w:spacing w:after="100" w:line="276" w:lineRule="auto"/>
        <w:jc w:val="both"/>
      </w:pPr>
      <w:r>
        <w:t>The registry combines retained run evidence with current public model-card metadata checked on 5 August 2026. Public metadata do not identify the exact archived revisions. The set was purposively selected after feasibility screening and is not representative or matched: it mixes base and instruction-tuned checkpoints, scales, languages, interfaces, and decoding profiles. These differences are analytic confounds, not treatment factors.</w:t>
      </w:r>
    </w:p>
    <w:p w14:paraId="27CEE331">
      <w:pPr>
        <w:pStyle w:val="2"/>
        <w:keepNext/>
        <w:keepLines/>
        <w:pageBreakBefore w:val="0"/>
        <w:spacing w:before="200" w:after="80"/>
      </w:pPr>
      <w:r>
        <w:rPr>
          <w:color w:val="000000"/>
        </w:rPr>
        <w:t>S4. Statistical Analysis, Data Layers, and Reporting Policy</w:t>
      </w:r>
    </w:p>
    <w:p w14:paraId="363D70B5">
      <w:pPr>
        <w:pStyle w:val="3"/>
        <w:keepNext/>
        <w:keepLines/>
        <w:pageBreakBefore w:val="0"/>
        <w:spacing w:before="140" w:after="80"/>
      </w:pPr>
      <w:r>
        <w:rPr>
          <w:rFonts w:ascii="Times New Roman" w:hAnsi="Times New Roman" w:eastAsia="Times New Roman"/>
          <w:color w:val="000000"/>
        </w:rPr>
        <w:t>S4.1 Data layers</w:t>
      </w:r>
    </w:p>
    <w:p w14:paraId="51D5B5FC">
      <w:pPr>
        <w:pStyle w:val="16"/>
        <w:keepNext/>
        <w:keepLines/>
        <w:spacing w:before="120" w:after="60"/>
        <w:jc w:val="left"/>
      </w:pPr>
      <w:r>
        <w:t>Table S17. Analytic data layers.</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2530"/>
        <w:gridCol w:w="2530"/>
        <w:gridCol w:w="2530"/>
        <w:gridCol w:w="2530"/>
      </w:tblGrid>
      <w:tr w14:paraId="68D87E7E">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tblHeader w:val="true"/>
          <w:jc w:val="center"/>
          <w:tblHeader w:val="true"/>
        </w:trPr>
        <w:tc>
          <w:tcPr>
            <w:tcW w:w="1944"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6"/>
              </w:rPr>
              <w:t>Layer</w:t>
            </w:r>
          </w:p>
        </w:tc>
        <w:tc>
          <w:tcPr>
            <w:tcW w:w="2016"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6"/>
              </w:rPr>
              <w:t>Records</w:t>
            </w:r>
          </w:p>
        </w:tc>
        <w:tc>
          <w:tcPr>
            <w:tcW w:w="3744"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6"/>
              </w:rPr>
              <w:t>Permitted analyses</w:t>
            </w:r>
          </w:p>
        </w:tc>
        <w:tc>
          <w:tcPr>
            <w:tcW w:w="3384"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6"/>
              </w:rPr>
              <w:t>Prohibited interpretation</w:t>
            </w:r>
          </w:p>
        </w:tc>
      </w:tr>
      <w:tr w14:paraId="2F51A391">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194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Authoritative final locked pre-resolution</w:t>
            </w:r>
          </w:p>
        </w:tc>
        <w:tc>
          <w:tcPr>
            <w:tcW w:w="201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2,160 rows: 720 cases × 3 annotators</w:t>
            </w:r>
          </w:p>
        </w:tc>
        <w:tc>
          <w:tcPr>
            <w:tcW w:w="374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Agreement, marginals, ambiguity, disagreement, and severity spread.</w:t>
            </w:r>
          </w:p>
        </w:tc>
        <w:tc>
          <w:tcPr>
            <w:tcW w:w="338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Authoritative within-study pre-resolution agreement; not external-rater reproducibility or untouched first-pass agreement.</w:t>
            </w:r>
          </w:p>
        </w:tc>
      </w:tr>
      <w:tr w14:paraId="10CAEE01">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194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FINAL GOLD v1.0 reference layer</w:t>
            </w:r>
          </w:p>
        </w:tc>
        <w:tc>
          <w:tcPr>
            <w:tcW w:w="201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720 rows</w:t>
            </w:r>
          </w:p>
        </w:tc>
        <w:tc>
          <w:tcPr>
            <w:tcW w:w="374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Final label/family/boundary/severity distributions; task profiles; frozen downstream computational targets.</w:t>
            </w:r>
          </w:p>
        </w:tc>
        <w:tc>
          <w:tcPr>
            <w:tcW w:w="338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Not an independent external gold standard; must not enter or retroactively alter IAA.</w:t>
            </w:r>
          </w:p>
        </w:tc>
      </w:tr>
      <w:tr w14:paraId="0EDDBC90">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194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Calibration</w:t>
            </w:r>
          </w:p>
        </w:tc>
        <w:tc>
          <w:tcPr>
            <w:tcW w:w="201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18 common training cases</w:t>
            </w:r>
          </w:p>
        </w:tc>
        <w:tc>
          <w:tcPr>
            <w:tcW w:w="374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Training diagnostics only.</w:t>
            </w:r>
          </w:p>
        </w:tc>
        <w:tc>
          <w:tcPr>
            <w:tcW w:w="338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Excluded from the 720-case prevalence and all agreement coefficients.</w:t>
            </w:r>
          </w:p>
        </w:tc>
      </w:tr>
      <w:tr w14:paraId="57BEE2EA">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194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Retrospective generation log</w:t>
            </w:r>
          </w:p>
        </w:tc>
        <w:tc>
          <w:tcPr>
            <w:tcW w:w="201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Six model-level records plus retained row-level metadata</w:t>
            </w:r>
          </w:p>
        </w:tc>
        <w:tc>
          <w:tcPr>
            <w:tcW w:w="374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Completeness, interface-success evidence, and recorded/reconstructed settings.</w:t>
            </w:r>
          </w:p>
        </w:tc>
        <w:tc>
          <w:tcPr>
            <w:tcW w:w="338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No invented timing, console history, immutable revisions, or causal checkpoint comparison.</w:t>
            </w:r>
          </w:p>
        </w:tc>
      </w:tr>
      <w:tr w14:paraId="3E87524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2530" w:type="dxa"/>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Senior adjudication and targeted QC provenance</w:t>
            </w:r>
          </w:p>
        </w:tc>
        <w:tc>
          <w:tcPr>
            <w:tcW w:w="2530" w:type="dxa"/>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423 round-1 adjudicated cases; 29 targeted second re-review cases</w:t>
            </w:r>
          </w:p>
        </w:tc>
        <w:tc>
          <w:tcPr>
            <w:tcW w:w="2530" w:type="dxa"/>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Decision provenance, targeted change counts, consistency audit, freeze documentation.</w:t>
            </w:r>
          </w:p>
        </w:tc>
        <w:tc>
          <w:tcPr>
            <w:tcW w:w="2530" w:type="dxa"/>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Not an additional rater set, reliability sample, or prospective external validation.</w:t>
            </w:r>
          </w:p>
        </w:tc>
      </w:tr>
    </w:tbl>
    <w:p w14:paraId="59CADF37">
      <w:pPr>
        <w:pStyle w:val="3"/>
        <w:keepNext/>
        <w:keepLines/>
        <w:pageBreakBefore w:val="0"/>
        <w:spacing w:before="140" w:after="80"/>
      </w:pPr>
      <w:r>
        <w:rPr>
          <w:rFonts w:ascii="Times New Roman" w:hAnsi="Times New Roman" w:eastAsia="Times New Roman"/>
          <w:color w:val="000000"/>
        </w:rPr>
        <w:t>S4.2 Agreement estimators and confidence intervals</w:t>
      </w:r>
    </w:p>
    <w:p>
      <w:pPr>
        <w:keepNext/>
      </w:pPr>
      <w:r>
        <w:t>Table S18. Implemented RQ-to-analysis mapping.</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2530"/>
        <w:gridCol w:w="2530"/>
        <w:gridCol w:w="2530"/>
        <w:gridCol w:w="2530"/>
      </w:tblGrid>
      <w:tr w14:paraId="1413AFA3">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tblHeader w:val="true"/>
          <w:jc w:val="center"/>
          <w:tblHeader w:val="true"/>
        </w:trPr>
        <w:tc>
          <w:tcPr>
            <w:tcW w:w="864"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6"/>
              </w:rPr>
              <w:t>RQ</w:t>
            </w:r>
          </w:p>
        </w:tc>
        <w:tc>
          <w:tcPr>
            <w:tcW w:w="3168"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6"/>
              </w:rPr>
              <w:t>Operational variables</w:t>
            </w:r>
          </w:p>
        </w:tc>
        <w:tc>
          <w:tcPr>
            <w:tcW w:w="3168"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6"/>
              </w:rPr>
              <w:t>Primary analysis</w:t>
            </w:r>
          </w:p>
        </w:tc>
        <w:tc>
          <w:tcPr>
            <w:tcW w:w="3168"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6"/>
              </w:rPr>
              <w:t>Reporting rule</w:t>
            </w:r>
          </w:p>
        </w:tc>
      </w:tr>
      <w:tr w14:paraId="467A53F9">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86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RQ1</w:t>
            </w:r>
          </w:p>
        </w:tc>
        <w:tc>
          <w:tcPr>
            <w:tcW w:w="3168"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Fine labels, collapsed families, boundary zones, severity; operational coverage.</w:t>
            </w:r>
          </w:p>
        </w:tc>
        <w:tc>
          <w:tcPr>
            <w:tcW w:w="3168"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Pre-resolution agreement, alpha/kappa/AC1; ordinal alpha/AC2; coverage diagnostics.</w:t>
            </w:r>
          </w:p>
        </w:tc>
        <w:tc>
          <w:tcPr>
            <w:tcW w:w="3168"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A1–A3 locked files only; no adjudicated value enters IAA.</w:t>
            </w:r>
          </w:p>
        </w:tc>
      </w:tr>
      <w:tr w14:paraId="48E993DD">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86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RQ2</w:t>
            </w:r>
          </w:p>
        </w:tc>
        <w:tc>
          <w:tcPr>
            <w:tcW w:w="3168"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Disagreement contrasts, ambiguity, marginals, severity-distance structure.</w:t>
            </w:r>
          </w:p>
        </w:tc>
        <w:tc>
          <w:tcPr>
            <w:tcW w:w="3168"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Confusion structure and descriptive difficulty diagnostics.</w:t>
            </w:r>
          </w:p>
        </w:tc>
        <w:tc>
          <w:tcPr>
            <w:tcW w:w="3168"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Pre-resolution human difficulty; separate ambiguity from observed disagreement.</w:t>
            </w:r>
          </w:p>
        </w:tc>
      </w:tr>
      <w:tr w14:paraId="74ED943E">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86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RQ3</w:t>
            </w:r>
          </w:p>
        </w:tc>
        <w:tc>
          <w:tcPr>
            <w:tcW w:w="3168"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T1 failure; T2 grounding involvement; T3 mechanism family; T4 non-zero severity.</w:t>
            </w:r>
          </w:p>
        </w:tc>
        <w:tc>
          <w:tcPr>
            <w:tcW w:w="3168"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Prompt-grouped M0–M4 evaluation; paired M3–M1/M2 and M4–M3 contrasts; class/error diagnostics.</w:t>
            </w:r>
          </w:p>
        </w:tc>
        <w:tc>
          <w:tcPr>
            <w:tcW w:w="3168"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FINAL GOLD v1.0 targets; all model results executed; M4 Legacy free-generation run excluded as technically invalid.</w:t>
            </w:r>
          </w:p>
        </w:tc>
      </w:tr>
      <w:tr w14:paraId="123D8558">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86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RQ4</w:t>
            </w:r>
          </w:p>
        </w:tc>
        <w:tc>
          <w:tcPr>
            <w:tcW w:w="3168"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A/B/C evidence conditions; task-conditioned source utility; stability; leave-one-task-out robustness; human-easy/hard error and uncertainty.</w:t>
            </w:r>
          </w:p>
        </w:tc>
        <w:tc>
          <w:tcPr>
            <w:tcW w:w="3168"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sz w:val="16"/>
              </w:rPr>
              <w:t>Paired cluster-bootstrap evidence-condition contrasts, exploratory task×target source decomposition, stability seeds, internal task holdout, entropy analysis.</w:t>
            </w:r>
          </w:p>
        </w:tc>
        <w:tc>
          <w:tcPr>
            <w:tcW w:w="3168"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No causal source claim for M3; source decomposition exploratory; no external-validation or calibrated-uncertainty claim.</w:t>
            </w:r>
          </w:p>
        </w:tc>
      </w:tr>
    </w:tbl>
    <w:p>
      <w:pPr>
        <w:keepNext/>
      </w:pPr>
      <w:r>
        <w:t>Table S19. Statistical implementation, bootstrap, and validation safeguards.</w:t>
      </w:r>
      <w:r>
        <w:t xml:space="preserve"> Rows distinguish the 20260804 human-reliability task-stratified resamples, the 20260908 primary computational fixed-OOF bootstrap, the 20260928 post-hoc dual-control task-stratified resamples, the 20261009 paired E1/E2 resamples and the 20261010 corrected HJI RD resamples. These are separate nominal conditional families.</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3277"/>
        <w:gridCol w:w="3277"/>
        <w:gridCol w:w="3277"/>
      </w:tblGrid>
      <w:tr w14:paraId="314EF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blHeader w:val="true"/>
          <w:jc w:val="center"/>
          <w:tblHeader w:val="true"/>
        </w:trPr>
        <w:tc>
          <w:tcPr>
            <w:tcW w:w="3277" w:type="dxa"/>
            <w:vAlign w:val="center"/>
            <w:tcMar>
              <w:top w:w="65" w:type="dxa"/>
              <w:start w:w="68" w:type="dxa"/>
              <w:bottom w:w="65" w:type="dxa"/>
              <w:end w:w="68" w:type="dxa"/>
            </w:tcMar>
            <w:shd w:val="clear" w:color="auto" w:fill="E8F0F8"/>
          </w:tcPr>
          <w:p w14:paraId="56D24AFC">
            <w:pPr>
              <w:spacing w:after="0" w:line="240" w:lineRule="auto" w:before="0"/>
              <w:jc w:val="center"/>
            </w:pPr>
            <w:r>
              <w:rPr>
                <w:rFonts w:ascii="Times New Roman" w:hAnsi="Times New Roman" w:eastAsia="Times New Roman" w:cs="Times New Roman"/>
                <w:b/>
                <w:color w:val="1E364D"/>
                <w:sz w:val="16"/>
              </w:rPr>
              <w:t>Component</w:t>
            </w:r>
          </w:p>
        </w:tc>
        <w:tc>
          <w:tcPr>
            <w:tcW w:w="3277" w:type="dxa"/>
            <w:vAlign w:val="center"/>
            <w:tcMar>
              <w:top w:w="65" w:type="dxa"/>
              <w:start w:w="68" w:type="dxa"/>
              <w:bottom w:w="65" w:type="dxa"/>
              <w:end w:w="68" w:type="dxa"/>
            </w:tcMar>
            <w:shd w:val="clear" w:color="auto" w:fill="E8F0F8"/>
          </w:tcPr>
          <w:p w14:paraId="4138B476">
            <w:pPr>
              <w:spacing w:after="0" w:line="240" w:lineRule="auto" w:before="0"/>
              <w:jc w:val="center"/>
            </w:pPr>
            <w:r>
              <w:rPr>
                <w:rFonts w:ascii="Times New Roman" w:hAnsi="Times New Roman" w:eastAsia="Times New Roman" w:cs="Times New Roman"/>
                <w:b/>
                <w:color w:val="1E364D"/>
                <w:sz w:val="16"/>
              </w:rPr>
              <w:t>Implemented specification</w:t>
            </w:r>
          </w:p>
        </w:tc>
        <w:tc>
          <w:tcPr>
            <w:tcW w:w="3277" w:type="dxa"/>
            <w:vAlign w:val="center"/>
            <w:tcMar>
              <w:top w:w="65" w:type="dxa"/>
              <w:start w:w="68" w:type="dxa"/>
              <w:bottom w:w="65" w:type="dxa"/>
              <w:end w:w="68" w:type="dxa"/>
            </w:tcMar>
            <w:shd w:val="clear" w:color="auto" w:fill="E8F0F8"/>
          </w:tcPr>
          <w:p w14:paraId="7EA1241A">
            <w:pPr>
              <w:spacing w:after="0" w:line="240" w:lineRule="auto" w:before="0"/>
              <w:jc w:val="center"/>
            </w:pPr>
            <w:r>
              <w:rPr>
                <w:rFonts w:ascii="Times New Roman" w:hAnsi="Times New Roman" w:eastAsia="Times New Roman" w:cs="Times New Roman"/>
                <w:b/>
                <w:color w:val="1E364D"/>
                <w:sz w:val="16"/>
              </w:rPr>
              <w:t>Verification</w:t>
            </w:r>
          </w:p>
        </w:tc>
      </w:tr>
      <w:tr w14:paraId="09D91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3277" w:type="dxa"/>
            <w:vAlign w:val="center"/>
            <w:tcMar>
              <w:top w:w="65" w:type="dxa"/>
              <w:start w:w="68" w:type="dxa"/>
              <w:bottom w:w="65" w:type="dxa"/>
              <w:end w:w="68" w:type="dxa"/>
            </w:tcMar>
          </w:tcPr>
          <w:p w14:paraId="1DD65436">
            <w:pPr>
              <w:spacing w:after="0" w:line="240" w:lineRule="auto" w:before="0"/>
            </w:pPr>
            <w:r>
              <w:rPr>
                <w:rFonts w:ascii="Times New Roman" w:hAnsi="Times New Roman" w:eastAsia="Times New Roman" w:cs="Times New Roman"/>
                <w:b w:val="0"/>
                <w:sz w:val="16"/>
              </w:rPr>
              <w:t>Category universe</w:t>
            </w:r>
          </w:p>
        </w:tc>
        <w:tc>
          <w:tcPr>
            <w:tcW w:w="3277" w:type="dxa"/>
            <w:vAlign w:val="center"/>
            <w:tcMar>
              <w:top w:w="65" w:type="dxa"/>
              <w:start w:w="68" w:type="dxa"/>
              <w:bottom w:w="65" w:type="dxa"/>
              <w:end w:w="68" w:type="dxa"/>
            </w:tcMar>
          </w:tcPr>
          <w:p w14:paraId="5FA32E4B">
            <w:pPr>
              <w:spacing w:after="0" w:line="240" w:lineRule="auto" w:before="0"/>
            </w:pPr>
            <w:r>
              <w:rPr>
                <w:rFonts w:ascii="Times New Roman" w:hAnsi="Times New Roman" w:eastAsia="Times New Roman" w:cs="Times New Roman"/>
                <w:b w:val="0"/>
                <w:sz w:val="16"/>
              </w:rPr>
              <w:t>15 labels; 4 families; 4 boundaries retained in every AC1 point estimate and bootstrap replicate</w:t>
            </w:r>
          </w:p>
        </w:tc>
        <w:tc>
          <w:tcPr>
            <w:tcW w:w="3277" w:type="dxa"/>
            <w:vAlign w:val="center"/>
            <w:tcMar>
              <w:top w:w="65" w:type="dxa"/>
              <w:start w:w="68" w:type="dxa"/>
              <w:bottom w:w="65" w:type="dxa"/>
              <w:end w:w="68" w:type="dxa"/>
            </w:tcMar>
          </w:tcPr>
          <w:p w14:paraId="7C324B4A">
            <w:pPr>
              <w:spacing w:after="0" w:line="240" w:lineRule="auto" w:before="0"/>
            </w:pPr>
            <w:r>
              <w:rPr>
                <w:rFonts w:ascii="Times New Roman" w:hAnsi="Times New Roman" w:eastAsia="Times New Roman" w:cs="Times New Roman"/>
                <w:b w:val="0"/>
                <w:sz w:val="16"/>
              </w:rPr>
              <w:t>Prevents rare-category absence from changing the scale</w:t>
            </w:r>
          </w:p>
        </w:tc>
      </w:tr>
      <w:tr w14:paraId="1C0F0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3277" w:type="dxa"/>
            <w:vAlign w:val="center"/>
            <w:tcMar>
              <w:top w:w="65" w:type="dxa"/>
              <w:start w:w="68" w:type="dxa"/>
              <w:bottom w:w="65" w:type="dxa"/>
              <w:end w:w="68" w:type="dxa"/>
            </w:tcMar>
          </w:tcPr>
          <w:p w14:paraId="778F3517">
            <w:pPr>
              <w:spacing w:after="0" w:line="240" w:lineRule="auto" w:before="0"/>
            </w:pPr>
            <w:r>
              <w:rPr>
                <w:rFonts w:ascii="Times New Roman" w:hAnsi="Times New Roman" w:eastAsia="Times New Roman" w:cs="Times New Roman"/>
                <w:b w:val="0"/>
                <w:sz w:val="16"/>
              </w:rPr>
              <w:t>Bootstrap</w:t>
            </w:r>
          </w:p>
        </w:tc>
        <w:tc>
          <w:tcPr>
            <w:tcW w:w="3277" w:type="dxa"/>
            <w:vAlign w:val="center"/>
            <w:tcMar>
              <w:top w:w="65" w:type="dxa"/>
              <w:start w:w="68" w:type="dxa"/>
              <w:bottom w:w="65" w:type="dxa"/>
              <w:end w:w="68" w:type="dxa"/>
            </w:tcMar>
          </w:tcPr>
          <w:p w14:paraId="4322C5B1">
            <w:pPr>
              <w:spacing w:after="0" w:line="240" w:lineRule="auto" w:before="0"/>
            </w:pPr>
            <w:r>
              <w:rPr>
                <w:rFonts w:ascii="Times New Roman" w:hAnsi="Times New Roman" w:eastAsia="Times New Roman" w:cs="Times New Roman"/>
                <w:b w:val="0"/>
                <w:sz w:val="16"/>
              </w:rPr>
              <w:t>2,000 percentile resamples; seed 20260804; task-stratified prompt clusters; all six checkpoint rows retained together</w:t>
            </w:r>
          </w:p>
        </w:tc>
        <w:tc>
          <w:tcPr>
            <w:tcW w:w="3277" w:type="dxa"/>
            <w:vAlign w:val="center"/>
            <w:tcMar>
              <w:top w:w="65" w:type="dxa"/>
              <w:start w:w="68" w:type="dxa"/>
              <w:bottom w:w="65" w:type="dxa"/>
              <w:end w:w="68" w:type="dxa"/>
            </w:tcMar>
          </w:tcPr>
          <w:p w14:paraId="661FD535">
            <w:pPr>
              <w:spacing w:after="0" w:line="240" w:lineRule="auto" w:before="0"/>
            </w:pPr>
            <w:r>
              <w:rPr>
                <w:rFonts w:ascii="Times New Roman" w:hAnsi="Times New Roman" w:eastAsia="Times New Roman" w:cs="Times New Roman"/>
                <w:b w:val="0"/>
                <w:sz w:val="16"/>
              </w:rPr>
              <w:t>Preserves principal dependence structure</w:t>
            </w:r>
          </w:p>
        </w:tc>
      </w:tr>
      <w:tr w14:paraId="0D24D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3277" w:type="dxa"/>
            <w:vAlign w:val="center"/>
            <w:tcMar>
              <w:top w:w="65" w:type="dxa"/>
              <w:start w:w="68" w:type="dxa"/>
              <w:bottom w:w="65" w:type="dxa"/>
              <w:end w:w="68" w:type="dxa"/>
            </w:tcMar>
          </w:tcPr>
          <w:p w14:paraId="5E12F63D">
            <w:pPr>
              <w:spacing w:after="0" w:line="240" w:lineRule="auto" w:before="0"/>
            </w:pPr>
            <w:r>
              <w:rPr>
                <w:rFonts w:ascii="Times New Roman" w:hAnsi="Times New Roman" w:eastAsia="Times New Roman" w:cs="Times New Roman"/>
                <w:b w:val="0"/>
                <w:sz w:val="16"/>
              </w:rPr>
              <w:t>Severity practical diagnostics</w:t>
            </w:r>
          </w:p>
        </w:tc>
        <w:tc>
          <w:tcPr>
            <w:tcW w:w="3277" w:type="dxa"/>
            <w:vAlign w:val="center"/>
            <w:tcMar>
              <w:top w:w="65" w:type="dxa"/>
              <w:start w:w="68" w:type="dxa"/>
              <w:bottom w:w="65" w:type="dxa"/>
              <w:end w:w="68" w:type="dxa"/>
            </w:tcMar>
          </w:tcPr>
          <w:p w14:paraId="40D60B91">
            <w:pPr>
              <w:spacing w:after="0" w:line="240" w:lineRule="auto" w:before="0"/>
            </w:pPr>
            <w:r>
              <w:rPr>
                <w:rFonts w:ascii="Times New Roman" w:hAnsi="Times New Roman" w:eastAsia="Times New Roman" w:cs="Times New Roman"/>
                <w:b w:val="0"/>
                <w:sz w:val="16"/>
              </w:rPr>
              <w:t>Exact; within-one (range ≤1); mean case-level score spread</w:t>
            </w:r>
          </w:p>
        </w:tc>
        <w:tc>
          <w:tcPr>
            <w:tcW w:w="3277" w:type="dxa"/>
            <w:vAlign w:val="center"/>
            <w:tcMar>
              <w:top w:w="65" w:type="dxa"/>
              <w:start w:w="68" w:type="dxa"/>
              <w:bottom w:w="65" w:type="dxa"/>
              <w:end w:w="68" w:type="dxa"/>
            </w:tcMar>
          </w:tcPr>
          <w:p w14:paraId="2C193D46">
            <w:pPr>
              <w:spacing w:after="0" w:line="240" w:lineRule="auto" w:before="0"/>
            </w:pPr>
            <w:r>
              <w:rPr>
                <w:rFonts w:ascii="Times New Roman" w:hAnsi="Times New Roman" w:eastAsia="Times New Roman" w:cs="Times New Roman"/>
                <w:b w:val="0"/>
                <w:sz w:val="16"/>
              </w:rPr>
              <w:t>Generated by executable script</w:t>
            </w:r>
          </w:p>
        </w:tc>
      </w:tr>
      <w:tr w14:paraId="51039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3277" w:type="dxa"/>
            <w:vAlign w:val="center"/>
            <w:tcMar>
              <w:top w:w="65" w:type="dxa"/>
              <w:start w:w="68" w:type="dxa"/>
              <w:bottom w:w="65" w:type="dxa"/>
              <w:end w:w="68" w:type="dxa"/>
            </w:tcMar>
          </w:tcPr>
          <w:p w14:paraId="241D38A4">
            <w:pPr>
              <w:spacing w:after="0" w:line="240" w:lineRule="auto" w:before="0"/>
            </w:pPr>
            <w:r>
              <w:rPr>
                <w:rFonts w:ascii="Times New Roman" w:hAnsi="Times New Roman" w:eastAsia="Times New Roman" w:cs="Times New Roman"/>
                <w:b w:val="0"/>
                <w:sz w:val="16"/>
              </w:rPr>
              <w:t>ICC sensitivity</w:t>
            </w:r>
          </w:p>
        </w:tc>
        <w:tc>
          <w:tcPr>
            <w:tcW w:w="3277" w:type="dxa"/>
            <w:vAlign w:val="center"/>
            <w:tcMar>
              <w:top w:w="65" w:type="dxa"/>
              <w:start w:w="68" w:type="dxa"/>
              <w:bottom w:w="65" w:type="dxa"/>
              <w:end w:w="68" w:type="dxa"/>
            </w:tcMar>
          </w:tcPr>
          <w:p w14:paraId="69142DA0">
            <w:pPr>
              <w:spacing w:after="0" w:line="240" w:lineRule="auto" w:before="0"/>
            </w:pPr>
            <w:r>
              <w:rPr>
                <w:rFonts w:ascii="Times New Roman" w:hAnsi="Times New Roman" w:eastAsia="Times New Roman" w:cs="Times New Roman"/>
                <w:b w:val="0"/>
                <w:sz w:val="16"/>
              </w:rPr>
              <w:t>Two-way random-effects absolute agreement: ICC(A,1) and ICC(A,3)</w:t>
            </w:r>
          </w:p>
        </w:tc>
        <w:tc>
          <w:tcPr>
            <w:tcW w:w="3277" w:type="dxa"/>
            <w:vAlign w:val="center"/>
            <w:tcMar>
              <w:top w:w="65" w:type="dxa"/>
              <w:start w:w="68" w:type="dxa"/>
              <w:bottom w:w="65" w:type="dxa"/>
              <w:end w:w="68" w:type="dxa"/>
            </w:tcMar>
          </w:tcPr>
          <w:p w14:paraId="729D9CBF">
            <w:pPr>
              <w:spacing w:after="0" w:line="240" w:lineRule="auto" w:before="0"/>
            </w:pPr>
            <w:r>
              <w:rPr>
                <w:rFonts w:ascii="Times New Roman" w:hAnsi="Times New Roman" w:eastAsia="Times New Roman" w:cs="Times New Roman"/>
                <w:b w:val="0"/>
                <w:sz w:val="16"/>
              </w:rPr>
              <w:t>Prompt-cluster bootstrap intervals</w:t>
            </w:r>
          </w:p>
        </w:tc>
      </w:tr>
      <w:tr w14:paraId="68B0A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3277" w:type="dxa"/>
            <w:vAlign w:val="center"/>
            <w:tcMar>
              <w:top w:w="65" w:type="dxa"/>
              <w:start w:w="68" w:type="dxa"/>
              <w:bottom w:w="65" w:type="dxa"/>
              <w:end w:w="68" w:type="dxa"/>
            </w:tcMar>
          </w:tcPr>
          <w:p w14:paraId="32930169">
            <w:pPr>
              <w:spacing w:after="0" w:line="240" w:lineRule="auto" w:before="0"/>
            </w:pPr>
            <w:r>
              <w:rPr>
                <w:rFonts w:ascii="Times New Roman" w:hAnsi="Times New Roman" w:eastAsia="Times New Roman" w:cs="Times New Roman"/>
                <w:b w:val="0"/>
                <w:sz w:val="16"/>
              </w:rPr>
              <w:t>Independent-library checks</w:t>
            </w:r>
          </w:p>
        </w:tc>
        <w:tc>
          <w:tcPr>
            <w:tcW w:w="3277" w:type="dxa"/>
            <w:vAlign w:val="center"/>
            <w:tcMar>
              <w:top w:w="65" w:type="dxa"/>
              <w:start w:w="68" w:type="dxa"/>
              <w:bottom w:w="65" w:type="dxa"/>
              <w:end w:w="68" w:type="dxa"/>
            </w:tcMar>
          </w:tcPr>
          <w:p w14:paraId="329D2C58">
            <w:pPr>
              <w:spacing w:after="0" w:line="240" w:lineRule="auto" w:before="0"/>
            </w:pPr>
            <w:r>
              <w:rPr>
                <w:rFonts w:ascii="Times New Roman" w:hAnsi="Times New Roman" w:eastAsia="Times New Roman" w:cs="Times New Roman"/>
                <w:b w:val="0"/>
                <w:sz w:val="16"/>
              </w:rPr>
              <w:t>Fleiss kappa vs statsmodels; QWK vs scikit-learn</w:t>
            </w:r>
          </w:p>
        </w:tc>
        <w:tc>
          <w:tcPr>
            <w:tcW w:w="3277" w:type="dxa"/>
            <w:vAlign w:val="center"/>
            <w:tcMar>
              <w:top w:w="65" w:type="dxa"/>
              <w:start w:w="68" w:type="dxa"/>
              <w:bottom w:w="65" w:type="dxa"/>
              <w:end w:w="68" w:type="dxa"/>
            </w:tcMar>
          </w:tcPr>
          <w:p w14:paraId="4CA1F716">
            <w:pPr>
              <w:spacing w:after="0" w:line="240" w:lineRule="auto" w:before="0"/>
            </w:pPr>
            <w:r>
              <w:rPr>
                <w:rFonts w:ascii="Times New Roman" w:hAnsi="Times New Roman" w:eastAsia="Times New Roman" w:cs="Times New Roman"/>
                <w:b w:val="0"/>
                <w:sz w:val="16"/>
              </w:rPr>
              <w:t>Exact agreement within numerical tolerance</w:t>
            </w:r>
          </w:p>
        </w:tc>
      </w:tr>
      <w:tr w14:paraId="5AFB9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3277" w:type="dxa"/>
            <w:vAlign w:val="center"/>
            <w:tcMar>
              <w:top w:w="65" w:type="dxa"/>
              <w:start w:w="68" w:type="dxa"/>
              <w:bottom w:w="65" w:type="dxa"/>
              <w:end w:w="68" w:type="dxa"/>
            </w:tcMar>
          </w:tcPr>
          <w:p w14:paraId="41C5C3E0">
            <w:pPr>
              <w:spacing w:after="0" w:line="240" w:lineRule="auto" w:before="0"/>
            </w:pPr>
            <w:r>
              <w:rPr>
                <w:rFonts w:ascii="Times New Roman" w:hAnsi="Times New Roman" w:eastAsia="Times New Roman" w:cs="Times New Roman"/>
                <w:b w:val="0"/>
                <w:sz w:val="16"/>
              </w:rPr>
              <w:t>Deterministic tests</w:t>
            </w:r>
          </w:p>
        </w:tc>
        <w:tc>
          <w:tcPr>
            <w:tcW w:w="3277" w:type="dxa"/>
            <w:vAlign w:val="center"/>
            <w:tcMar>
              <w:top w:w="65" w:type="dxa"/>
              <w:start w:w="68" w:type="dxa"/>
              <w:bottom w:w="65" w:type="dxa"/>
              <w:end w:w="68" w:type="dxa"/>
            </w:tcMar>
          </w:tcPr>
          <w:p w14:paraId="1E1FA66B">
            <w:pPr>
              <w:spacing w:after="0" w:line="240" w:lineRule="auto" w:before="0"/>
            </w:pPr>
            <w:r>
              <w:rPr>
                <w:rFonts w:ascii="Times New Roman" w:hAnsi="Times New Roman" w:eastAsia="Times New Roman" w:cs="Times New Roman"/>
                <w:b w:val="0"/>
                <w:sz w:val="16"/>
              </w:rPr>
              <w:t>Perfect agreement; label-permutation invariance; complete-data alpha/Fleiss check</w:t>
            </w:r>
          </w:p>
        </w:tc>
        <w:tc>
          <w:tcPr>
            <w:tcW w:w="3277" w:type="dxa"/>
            <w:vAlign w:val="center"/>
            <w:tcMar>
              <w:top w:w="65" w:type="dxa"/>
              <w:start w:w="68" w:type="dxa"/>
              <w:bottom w:w="65" w:type="dxa"/>
              <w:end w:w="68" w:type="dxa"/>
            </w:tcMar>
          </w:tcPr>
          <w:p w14:paraId="0ECB8803">
            <w:pPr>
              <w:spacing w:after="0" w:line="240" w:lineRule="auto" w:before="0"/>
            </w:pPr>
            <w:r>
              <w:rPr>
                <w:rFonts w:ascii="Times New Roman" w:hAnsi="Times New Roman" w:eastAsia="Times New Roman" w:cs="Times New Roman"/>
                <w:b w:val="0"/>
                <w:sz w:val="16"/>
              </w:rPr>
              <w:t>13/13 archived checks passed</w:t>
            </w:r>
          </w:p>
        </w:tc>
      </w:tr>
      <w:tr>
        <w:trPr>
          <w:cantSplit w:val="true"/>
        </w:trPr>
        <w:tc>
          <w:tcPr>
            <w:tcW w:type="dxa" w:w="3277"/>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Computational bootstrap</w:t>
            </w:r>
          </w:p>
        </w:tc>
        <w:tc>
          <w:tcPr>
            <w:tcW w:type="dxa" w:w="3277"/>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2,000 Prompt_ID-cluster percentile resamples; seed 20260908; all rows belonging to a sampled prompt retained.</w:t>
            </w:r>
          </w:p>
        </w:tc>
        <w:tc>
          <w:tcPr>
            <w:tcW w:type="dxa" w:w="3277"/>
            <w:vAlign w:val="center"/>
            <w:tcMar>
              <w:top w:w="65" w:type="dxa"/>
              <w:start w:w="68" w:type="dxa"/>
              <w:bottom w:w="65" w:type="dxa"/>
              <w:end w:w="68" w:type="dxa"/>
            </w:tcMar>
          </w:tcPr>
          <w:p>
            <w:pPr>
              <w:spacing w:after="0" w:before="0" w:line="240" w:lineRule="auto"/>
            </w:pPr>
            <w:r>
              <w:rPr>
                <w:rFonts w:ascii="Times New Roman" w:hAnsi="Times New Roman"/>
                <w:sz w:val="16"/>
              </w:rPr>
              <w:t>Used for model metrics, paired evaluator-protocol deltas, evidence-condition comparisons, and human-difficulty contrasts.</w:t>
            </w:r>
          </w:p>
        </w:tc>
      </w:tr>
      <w:tr>
        <w:trPr>
          <w:cantSplit w:val="true"/>
        </w:trPr>
        <w:tc>
          <w:tcPr>
            <w:tcW w:type="dxa" w:w="3277"/>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Leakage sensitivity</w:t>
            </w:r>
          </w:p>
        </w:tc>
        <w:tc>
          <w:tcPr>
            <w:tcW w:type="dxa" w:w="3277"/>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Prompt grouping + exact normalised duplicates + word/character TF-IDF cross-fold audit + pretrained sentence-embedding cross-fold audit.</w:t>
            </w:r>
          </w:p>
        </w:tc>
        <w:tc>
          <w:tcPr>
            <w:tcW w:type="dxa" w:w="3277"/>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No high-similarity pair detected at semantic cosine ≥.80; not a proof against all latent equivalence.</w:t>
            </w:r>
          </w:p>
        </w:tc>
      </w:tr>
      <w:tr>
        <w:trPr>
          <w:cantSplit w:val="true"/>
        </w:trPr>
        <w:tc>
          <w:tcPr>
            <w:tcW w:type="dxa" w:w="3277"/>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M4 contract validation</w:t>
            </w:r>
          </w:p>
        </w:tc>
        <w:tc>
          <w:tcPr>
            <w:tcW w:type="dxa" w:w="3277"/>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Target-isolated closed-set next-token scoring; full target population; no dropna; exact Case_ID checks.</w:t>
            </w:r>
          </w:p>
        </w:tc>
        <w:tc>
          <w:tcPr>
            <w:tcW w:type="dxa" w:w="3277"/>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100% target-contract compliance in all 12 target×condition runs.</w:t>
            </w:r>
          </w:p>
        </w:tc>
      </w:tr>
    </w:tbl>
    <w:p>
      <w:pPr>
        <w:keepNext/>
      </w:pPr>
      <w:r>
        <w:t>Table S20. Measurement-validity evidence and inferential boundaries.</w:t>
      </w:r>
    </w:p>
    <w:tbl>
      <w:tblPr>
        <w:tblStyle w:val="35"/>
        <w:tblW w:type="auto" w:w="0"/>
        <w:jc w:val="center"/>
        <w:tblLayout w:type="autofit"/>
        <w:tblLook w:firstColumn="1" w:firstRow="1" w:lastColumn="0" w:lastRow="0" w:noHBand="0" w:noVBand="1" w:val="04A0"/>
        <w:tblBorders>
          <w:top w:val="single" w:sz="4" w:color="C7D4E2"/>
          <w:bottom w:val="single" w:sz="4" w:color="C7D4E2"/>
          <w:left w:val="single" w:sz="4" w:color="C7D4E2"/>
          <w:right w:val="single" w:sz="4" w:color="C7D4E2"/>
          <w:insideH w:val="single" w:sz="4" w:color="C7D4E2"/>
          <w:insideV w:val="single" w:sz="3" w:color="C7D4E2"/>
        </w:tblBorders>
      </w:tblPr>
      <w:tblGrid>
        <w:gridCol w:w="3277"/>
        <w:gridCol w:w="3277"/>
        <w:gridCol w:w="3277"/>
      </w:tblGrid>
      <w:tr>
        <w:trPr>
          <w:cantSplit/>
          <w:tblHeader w:val="true"/>
          <w:tblHeader w:val="true"/>
        </w:trPr>
        <w:tc>
          <w:tcPr>
            <w:tcW w:type="dxa" w:w="3277"/>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6"/>
              </w:rPr>
            </w:r>
            <w:r>
              <w:rPr>
                <w:rFonts w:ascii="Times New Roman" w:hAnsi="Times New Roman"/>
                <w:b/>
                <w:color w:val="1E364D"/>
                <w:sz w:val="16"/>
              </w:rPr>
              <w:t>Evidence source</w:t>
            </w:r>
          </w:p>
        </w:tc>
        <w:tc>
          <w:tcPr>
            <w:tcW w:type="dxa" w:w="3277"/>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6"/>
              </w:rPr>
            </w:r>
            <w:r>
              <w:rPr>
                <w:rFonts w:ascii="Times New Roman" w:hAnsi="Times New Roman"/>
                <w:b/>
                <w:color w:val="1E364D"/>
                <w:sz w:val="16"/>
              </w:rPr>
              <w:t>What it supports</w:t>
            </w:r>
          </w:p>
        </w:tc>
        <w:tc>
          <w:tcPr>
            <w:tcW w:type="dxa" w:w="3277"/>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6"/>
              </w:rPr>
            </w:r>
            <w:r>
              <w:rPr>
                <w:rFonts w:ascii="Times New Roman" w:hAnsi="Times New Roman"/>
                <w:b/>
                <w:color w:val="1E364D"/>
                <w:sz w:val="16"/>
              </w:rPr>
              <w:t>What it does not establish</w:t>
            </w:r>
          </w:p>
        </w:tc>
      </w:tr>
      <w:tr>
        <w:trPr>
          <w:cantSplit/>
        </w:trPr>
        <w:tc>
          <w:tcPr>
            <w:tcW w:type="dxa" w:w="3277"/>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Literature-grounded locked codebook</w:t>
            </w:r>
          </w:p>
        </w:tc>
        <w:tc>
          <w:tcPr>
            <w:tcW w:type="dxa" w:w="3277"/>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Content relevance and an explicit operational definition of the targeted phenomena.</w:t>
            </w:r>
          </w:p>
        </w:tc>
        <w:tc>
          <w:tcPr>
            <w:tcW w:type="dxa" w:w="3277"/>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Taxonomy completeness, universal ontology status, or exhaustive information quality.</w:t>
            </w:r>
          </w:p>
        </w:tc>
      </w:tr>
      <w:tr>
        <w:trPr>
          <w:cantSplit/>
        </w:trPr>
        <w:tc>
          <w:tcPr>
            <w:tcW w:type="dxa" w:w="3277"/>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Calibration, blinding, and separate annotator files</w:t>
            </w:r>
          </w:p>
        </w:tc>
        <w:tc>
          <w:tcPr>
            <w:tcW w:type="dxa" w:w="3277"/>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Response-process control and reduced opportunity for peer/model/provenance cue contamination.</w:t>
            </w:r>
          </w:p>
        </w:tc>
        <w:tc>
          <w:tcPr>
            <w:tcW w:type="dxa" w:w="3277"/>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External annotator-population reproducibility or criterion validity.</w:t>
            </w:r>
          </w:p>
        </w:tc>
      </w:tr>
      <w:tr>
        <w:trPr>
          <w:cantSplit/>
        </w:trPr>
        <w:tc>
          <w:tcPr>
            <w:tcW w:type="dxa" w:w="3277"/>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Locked pre-resolution agreement</w:t>
            </w:r>
          </w:p>
        </w:tc>
        <w:tc>
          <w:tcPr>
            <w:tcW w:type="dxa" w:w="3277"/>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Within-workflow operational reproducibility of fine labels, families, grounding boundaries, and severity.</w:t>
            </w:r>
          </w:p>
        </w:tc>
        <w:tc>
          <w:tcPr>
            <w:tcW w:type="dxa" w:w="3277"/>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Construct truth, latent-class reality, or psychometric independence of the three axes.</w:t>
            </w:r>
          </w:p>
        </w:tc>
      </w:tr>
      <w:tr>
        <w:trPr>
          <w:cantSplit/>
        </w:trPr>
        <w:tc>
          <w:tcPr>
            <w:tcW w:type="dxa" w:w="3277"/>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Disagreement and explicit-ambiguity analyses</w:t>
            </w:r>
          </w:p>
        </w:tc>
        <w:tc>
          <w:tcPr>
            <w:tcW w:type="dxa" w:w="3277"/>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Location of narrow boundaries and cases with recognised interpretive uncertainty.</w:t>
            </w:r>
          </w:p>
        </w:tc>
        <w:tc>
          <w:tcPr>
            <w:tcW w:type="dxa" w:w="3277"/>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That unflagged cases are unambiguous or that all possible ambiguity is captured.</w:t>
            </w:r>
          </w:p>
        </w:tc>
      </w:tr>
      <w:tr>
        <w:trPr>
          <w:cantSplit/>
        </w:trPr>
        <w:tc>
          <w:tcPr>
            <w:tcW w:type="dxa" w:w="3277"/>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Senior adjudication and FINAL GOLD v1.0</w:t>
            </w:r>
          </w:p>
        </w:tc>
        <w:tc>
          <w:tcPr>
            <w:tcW w:type="dxa" w:w="3277"/>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One frozen publication reference decision per case for descriptive and downstream computational analyses.</w:t>
            </w:r>
          </w:p>
        </w:tc>
        <w:tc>
          <w:tcPr>
            <w:tcW w:type="dxa" w:w="3277"/>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Independent external gold standard, criterion validity, or inter-adjudicator reliability.</w:t>
            </w:r>
          </w:p>
        </w:tc>
      </w:tr>
      <w:tr>
        <w:trPr>
          <w:cantSplit/>
        </w:trPr>
        <w:tc>
          <w:tcPr>
            <w:tcW w:type="dxa" w:w="3277"/>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Human-hard/model-hard association</w:t>
            </w:r>
          </w:p>
        </w:tc>
        <w:tc>
          <w:tcPr>
            <w:tcW w:type="dxa" w:w="3277"/>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Within-study relation between pre-adjudication human disagreement and computational difficulty.</w:t>
            </w:r>
          </w:p>
        </w:tc>
        <w:tc>
          <w:tcPr>
            <w:tcW w:type="dxa" w:w="3277"/>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An independent external measure of intrinsic item difficulty.</w:t>
            </w:r>
          </w:p>
        </w:tc>
      </w:tr>
    </w:tbl>
    <w:p>
      <w:pPr>
        <w:widowControl/>
      </w:pPr>
      <w:r>
        <w:t>Primary reliability estimates use the immutable A1–A3 pre-resolution ratings. For nominal fine labels, collapsed mechanism families, and grounding boundaries, the supplement reports full agreement, Krippendorff’s α, and Gwet’s AC1 together with pooled disagreement structure and pair-specific Cohen κ as descriptive complements. For ordinal severity, it reports exact and within-one agreement, Krippendorff’s ordinal α, Gwet’s AC2, quadratic-weighted κ, and a secondary absolute-agreement ICC sensitivity. No single coefficient is treated as a universal acceptability threshold.</w:t>
        <w:t xml:space="preserve"> Reportable reliability estimands are always tied to the three pre-resolution raters, whereas later reference accuracy against an independent human criterion was not observed.</w:t>
      </w:r>
    </w:p>
    <w:p>
      <w:pPr/>
      <w:r>
        <w:t>Panel and decision-field scope. The primary measurement items are 720 outputs; 2,160 ratings represent repeated judgements by the same three fixed trained linguists, not 2,160 IID samples. Derived family is mechanically recoded from primary-label choices. The six-field adjudication trigger includes secondary label, HREF subtype and ambiguity flag, but the reported family, primary, boundary and severity coefficients do not establish reliability of all six fields. The 2,000-draw, task-stratified Prompt_ID-cluster bootstrap (seed 20260804) estimates conditional resampling sensitivity with these raters and this elicitation protocol; it does not sample new annotators, revised manual rules or naturally occurring prompts.</w:t>
      </w:r>
    </w:p>
    <w:p>
      <w:pPr>
        <w:jc w:val="both"/>
      </w:pPr>
      <w:r>
        <w:rPr>
          <w:rFonts w:ascii="Times New Roman" w:hAnsi="Times New Roman"/>
          <w:b/>
          <w:sz w:val="20"/>
        </w:rPr>
        <w:t>Validity-evidence interpretation. The locked rubric is an operational content representation; calibration documentation and blinded response processes support implementation fidelity; and pre-resolution agreement estimates only within-workflow coding consistency. The complete category inventory is not a set of independently validated constructs, because one fine code is unrepresented in FINAL GOLD and several others have only one to three instances and the three fields have rule-imposed and empirical relationships. Senior GOLD adjudication is a downstream reference decision, not an independent semantic criterion. Therefore alpha, AC1/AC2, ICC, QWK and model macro-F1 have distinct inferential roles and cannot be combined into a claim of universal construct validity. Table S18 maps the original RQ1–RQ4 to the core analyses; the later E1/E2 and human–judge sensitivity tests are documented in S9 as post-hoc additions, not new or preregistered RQs.</w:t>
      </w:r>
      <w:r>
        <w:rPr>
          <w:rFonts w:ascii="Times New Roman" w:hAnsi="Times New Roman"/>
          <w:sz w:val="20"/>
        </w:rPr>
      </w:r>
    </w:p>
    <w:p>
      <w:pPr>
        <w:widowControl/>
      </w:pPr>
      <w:r>
        <w:t>Uncertainty procedures are analysis-specific. Human pre-resolution agreement uses 2,000 task-stratified Prompt_ID-cluster bootstrap resamples with seed 20260804 (Table S19), preserving all six outputs and all three ratings for every sampled prompt. Reference computational metrics and paired contrasts use a separate 2,000-resample Prompt_ID-cluster procedure with seed 20260908; the post-hoc server controls, E1/E2 paired contrasts, and exploratory human–judge association have their own stated resampling designs and seeds in S9. These intervals condition on the frozen case population, evaluation records and, as applicable, fold assignment and archived predictions; they do not incorporate full model retraining, alternative folds, or fresh judge invocations. Subset-based reliability analyses and task-stratified computational checks are sensitivity analyses, not replacements for the primary estimands.</w:t>
      </w:r>
    </w:p>
    <w:p w14:paraId="3E249094">
      <w:pPr>
        <w:pStyle w:val="3"/>
        <w:keepNext/>
        <w:keepLines/>
      </w:pPr>
      <w:r>
        <w:rPr>
          <w:color w:val="000000"/>
        </w:rPr>
        <w:t>S4.3 Post-hoc technical output-health and crossed-cell analyses</w:t>
      </w:r>
    </w:p>
    <w:p w14:paraId="5B81ADBD">
      <w:pPr>
        <w:widowControl/>
      </w:pPr>
      <w:r>
        <w:t>Post-hoc diagnostics use whitespace-delimited output length; repeated-trigram excess (1 − unique trigrams / total trigrams), flagged at &gt;.20; exact full-input echo; retained template-label echo; a script-detection language-mismatch proxy; near-empty output (&lt;5 words); non-terminal ending; and verifiable surface-format compliance for instruction-following prompts. These proxies were not prespecified and are not semantic labels. A repetition-flag sensitivity analysis recomputes checkpoint descriptions after excluding flagged outputs. Crossed task-by-checkpoint matrices report any failure, severity ≥2, resolution, and family full agreement for 20-case cells with Wilson intervals in the machine-readable output. All cell-level analyses are exploratory.</w:t>
      </w:r>
    </w:p>
    <w:p w14:paraId="6C5A1C4B">
      <w:pPr>
        <w:pStyle w:val="3"/>
        <w:keepNext/>
        <w:keepLines/>
        <w:pageBreakBefore w:val="0"/>
        <w:spacing w:before="140" w:after="80"/>
      </w:pPr>
      <w:r>
        <w:rPr>
          <w:color w:val="000000"/>
        </w:rPr>
        <w:t>S4.4 Exploratory inferential analyses not reported</w:t>
      </w:r>
    </w:p>
    <w:p w14:paraId="46FE0362">
      <w:pPr>
        <w:widowControl/>
        <w:spacing w:after="100" w:line="276" w:lineRule="auto"/>
        <w:jc w:val="both"/>
      </w:pPr>
      <w:r>
        <w:rPr>
          <w:rFonts w:ascii="Times New Roman" w:hAnsi="Times New Roman" w:eastAsia="Times New Roman"/>
          <w:color w:val="000000"/>
          <w:sz w:val="22"/>
        </w:rPr>
        <w:t>Exploratory multiplicity-adjusted logistic contrasts were not included because the preserved analysis package did not contain the complete coefficient tables, all non-significant contrasts, full confidence intervals, separation diagnostics, and bootstrap-failure details needed for transparent reporting. The supplementary materials therefore report only fully supported descriptive and locked-file agreement results; no partial inferential result is reconstructed from prose summaries.</w:t>
      </w:r>
    </w:p>
    <w:p w14:paraId="3AE7BCC7">
      <w:pPr>
        <w:pStyle w:val="2"/>
        <w:keepNext/>
        <w:keepLines/>
        <w:pageBreakBefore w:val="0"/>
        <w:spacing w:before="200" w:after="80"/>
      </w:pPr>
      <w:r>
        <w:rPr>
          <w:color w:val="000000"/>
        </w:rPr>
        <w:t>S5. Extended Human Results and Refrozen FINAL GOLD Distributions</w:t>
      </w:r>
    </w:p>
    <w:p w14:paraId="414767BC">
      <w:pPr>
        <w:pStyle w:val="3"/>
        <w:keepNext/>
        <w:keepLines/>
        <w:pageBreakBefore w:val="0"/>
        <w:spacing w:before="140" w:after="80"/>
      </w:pPr>
      <w:r>
        <w:rPr>
          <w:rFonts w:ascii="Times New Roman" w:hAnsi="Times New Roman" w:eastAsia="Times New Roman"/>
          <w:color w:val="000000"/>
        </w:rPr>
        <w:t>S5.1 Fine-grained final distribution</w:t>
      </w:r>
    </w:p>
    <w:p>
      <w:pPr>
        <w:jc w:val="both"/>
      </w:pPr>
      <w:r>
        <w:rPr>
          <w:rFonts w:ascii="Times New Roman" w:hAnsi="Times New Roman"/>
          <w:b/>
          <w:sz w:val="20"/>
        </w:rPr>
        <w:t>Class-specific support warning.</w:t>
      </w:r>
      <w:r>
        <w:rPr>
          <w:rFonts w:ascii="Times New Roman" w:hAnsi="Times New Roman"/>
          <w:sz w:val="20"/>
        </w:rPr>
        <w:t xml:space="preserve"> This fixed code inventory includes SCF-01 = 1, SCF-05 = 1, SCF-06 = 3, SCF-07 = 2 and OVR-06 = 0 adjudicated primary cases, against SCF-03 = 162 and SCF-04 = 143. Table S24 further shows zero pooled positive agreement for several rare codes in the locked ratings. The overall nominal α therefore cannot demonstrate category-level precision for all fifteen codes. These low-support labels remain unmodified as definitions in the frozen manual and reference.</w:t>
      </w:r>
    </w:p>
    <w:p>
      <w:pPr/>
      <w:r>
        <w:t>Empirical mechanism-support status (CS08). The 15 names are nominal codebook categories, not 15 separately validated predictive targets. SCF-03 (162) and SCF-04 (143) jointly supply 305/333 (91.6%) of Core-SCF; SCF-01/05/06/07 have 1/1/3/2 final primary cases, and OVR-06 has zero. A zero-count code remains defined historically but cannot support observed code-level precision, recall, calibration, or inter-rater agreement claims; codes with only one to three cases have inadequate test support. The preserved T3 task instead concerns a two-family, GOLD-conditioned 460-case operational label.</w:t>
      </w:r>
    </w:p>
    <w:p w14:paraId="7747E08F">
      <w:pPr>
        <w:pStyle w:val="16"/>
        <w:keepNext/>
        <w:keepLines/>
        <w:spacing w:before="120" w:after="60"/>
        <w:jc w:val="left"/>
      </w:pPr>
      <w:r>
        <w:t>Table S21. Locked primary-label assignments and FINAL GOLD v1.0 fine-grained distribution.</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1639"/>
        <w:gridCol w:w="1639"/>
        <w:gridCol w:w="1639"/>
        <w:gridCol w:w="1639"/>
        <w:gridCol w:w="1639"/>
      </w:tblGrid>
      <w:tr w14:paraId="59EEA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jc w:val="center"/>
          <w:cantSplit w:val="true"/>
          <w:tblHeader w:val="true"/>
        </w:trPr>
        <w:tc>
          <w:tcPr>
            <w:tcW w:w="936"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5"/>
              </w:rPr>
              <w:t>Code</w:t>
            </w:r>
          </w:p>
        </w:tc>
        <w:tc>
          <w:tcPr>
            <w:tcW w:w="1224"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5"/>
              </w:rPr>
              <w:t>Family</w:t>
            </w:r>
          </w:p>
        </w:tc>
        <w:tc>
          <w:tcPr>
            <w:tcW w:w="2304"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5"/>
              </w:rPr>
              <w:t>Locked assignments (of 2,160)</w:t>
            </w:r>
          </w:p>
        </w:tc>
        <w:tc>
          <w:tcPr>
            <w:tcW w:w="1296"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5"/>
              </w:rPr>
              <w:t>Final cases</w:t>
            </w:r>
          </w:p>
        </w:tc>
        <w:tc>
          <w:tcPr>
            <w:tcW w:w="1224"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5"/>
              </w:rPr>
              <w:t>Final %</w:t>
            </w:r>
          </w:p>
        </w:tc>
      </w:tr>
      <w:tr w14:paraId="64F63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93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SCF-01</w:t>
            </w:r>
          </w:p>
        </w:tc>
        <w:tc>
          <w:tcPr>
            <w:tcW w:w="122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Core SCF</w:t>
            </w:r>
          </w:p>
        </w:tc>
        <w:tc>
          <w:tcPr>
            <w:tcW w:w="230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3</w:t>
            </w:r>
          </w:p>
        </w:tc>
        <w:tc>
          <w:tcPr>
            <w:tcW w:w="129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1</w:t>
            </w:r>
          </w:p>
        </w:tc>
        <w:tc>
          <w:tcPr>
            <w:tcW w:w="122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0.1%</w:t>
            </w:r>
          </w:p>
        </w:tc>
      </w:tr>
      <w:tr w14:paraId="0C113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93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SCF-02</w:t>
            </w:r>
          </w:p>
        </w:tc>
        <w:tc>
          <w:tcPr>
            <w:tcW w:w="122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Core SCF</w:t>
            </w:r>
          </w:p>
        </w:tc>
        <w:tc>
          <w:tcPr>
            <w:tcW w:w="230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46</w:t>
            </w:r>
          </w:p>
        </w:tc>
        <w:tc>
          <w:tcPr>
            <w:tcW w:w="129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21</w:t>
            </w:r>
          </w:p>
        </w:tc>
        <w:tc>
          <w:tcPr>
            <w:tcW w:w="122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2.9%</w:t>
            </w:r>
          </w:p>
        </w:tc>
      </w:tr>
      <w:tr w14:paraId="46048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93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SCF-03</w:t>
            </w:r>
          </w:p>
        </w:tc>
        <w:tc>
          <w:tcPr>
            <w:tcW w:w="122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Core SCF</w:t>
            </w:r>
          </w:p>
        </w:tc>
        <w:tc>
          <w:tcPr>
            <w:tcW w:w="230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471</w:t>
            </w:r>
          </w:p>
        </w:tc>
        <w:tc>
          <w:tcPr>
            <w:tcW w:w="129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162</w:t>
            </w:r>
          </w:p>
        </w:tc>
        <w:tc>
          <w:tcPr>
            <w:tcW w:w="122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22.5%</w:t>
            </w:r>
          </w:p>
        </w:tc>
      </w:tr>
      <w:tr w14:paraId="75E65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93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SCF-04</w:t>
            </w:r>
          </w:p>
        </w:tc>
        <w:tc>
          <w:tcPr>
            <w:tcW w:w="122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Core SCF</w:t>
            </w:r>
          </w:p>
        </w:tc>
        <w:tc>
          <w:tcPr>
            <w:tcW w:w="230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394</w:t>
            </w:r>
          </w:p>
        </w:tc>
        <w:tc>
          <w:tcPr>
            <w:tcW w:w="129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143</w:t>
            </w:r>
          </w:p>
        </w:tc>
        <w:tc>
          <w:tcPr>
            <w:tcW w:w="122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19.9%</w:t>
            </w:r>
          </w:p>
        </w:tc>
      </w:tr>
      <w:tr w14:paraId="35EEE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93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SCF-05</w:t>
            </w:r>
          </w:p>
        </w:tc>
        <w:tc>
          <w:tcPr>
            <w:tcW w:w="122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Core SCF</w:t>
            </w:r>
          </w:p>
        </w:tc>
        <w:tc>
          <w:tcPr>
            <w:tcW w:w="230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4</w:t>
            </w:r>
          </w:p>
        </w:tc>
        <w:tc>
          <w:tcPr>
            <w:tcW w:w="129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1</w:t>
            </w:r>
          </w:p>
        </w:tc>
        <w:tc>
          <w:tcPr>
            <w:tcW w:w="122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0.1%</w:t>
            </w:r>
          </w:p>
        </w:tc>
      </w:tr>
      <w:tr w14:paraId="2391C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93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SCF-06</w:t>
            </w:r>
          </w:p>
        </w:tc>
        <w:tc>
          <w:tcPr>
            <w:tcW w:w="122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Core SCF</w:t>
            </w:r>
          </w:p>
        </w:tc>
        <w:tc>
          <w:tcPr>
            <w:tcW w:w="230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3</w:t>
            </w:r>
          </w:p>
        </w:tc>
        <w:tc>
          <w:tcPr>
            <w:tcW w:w="129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3</w:t>
            </w:r>
          </w:p>
        </w:tc>
        <w:tc>
          <w:tcPr>
            <w:tcW w:w="122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0.4%</w:t>
            </w:r>
          </w:p>
        </w:tc>
      </w:tr>
      <w:tr w14:paraId="753A5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93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SCF-07</w:t>
            </w:r>
          </w:p>
        </w:tc>
        <w:tc>
          <w:tcPr>
            <w:tcW w:w="122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Core SCF</w:t>
            </w:r>
          </w:p>
        </w:tc>
        <w:tc>
          <w:tcPr>
            <w:tcW w:w="230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1</w:t>
            </w:r>
          </w:p>
        </w:tc>
        <w:tc>
          <w:tcPr>
            <w:tcW w:w="129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2</w:t>
            </w:r>
          </w:p>
        </w:tc>
        <w:tc>
          <w:tcPr>
            <w:tcW w:w="122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0.3%</w:t>
            </w:r>
          </w:p>
        </w:tc>
      </w:tr>
      <w:tr w14:paraId="3ECB7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93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OVR-01</w:t>
            </w:r>
          </w:p>
        </w:tc>
        <w:tc>
          <w:tcPr>
            <w:tcW w:w="122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OVR</w:t>
            </w:r>
          </w:p>
        </w:tc>
        <w:tc>
          <w:tcPr>
            <w:tcW w:w="230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30</w:t>
            </w:r>
          </w:p>
        </w:tc>
        <w:tc>
          <w:tcPr>
            <w:tcW w:w="129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14</w:t>
            </w:r>
          </w:p>
        </w:tc>
        <w:tc>
          <w:tcPr>
            <w:tcW w:w="122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1.9%</w:t>
            </w:r>
          </w:p>
        </w:tc>
      </w:tr>
      <w:tr w14:paraId="60F7E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93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OVR-02</w:t>
            </w:r>
          </w:p>
        </w:tc>
        <w:tc>
          <w:tcPr>
            <w:tcW w:w="122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OVR</w:t>
            </w:r>
          </w:p>
        </w:tc>
        <w:tc>
          <w:tcPr>
            <w:tcW w:w="230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197</w:t>
            </w:r>
          </w:p>
        </w:tc>
        <w:tc>
          <w:tcPr>
            <w:tcW w:w="129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71</w:t>
            </w:r>
          </w:p>
        </w:tc>
        <w:tc>
          <w:tcPr>
            <w:tcW w:w="122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9.9%</w:t>
            </w:r>
          </w:p>
        </w:tc>
      </w:tr>
      <w:tr w14:paraId="00E43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93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OVR-03</w:t>
            </w:r>
          </w:p>
        </w:tc>
        <w:tc>
          <w:tcPr>
            <w:tcW w:w="122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OVR</w:t>
            </w:r>
          </w:p>
        </w:tc>
        <w:tc>
          <w:tcPr>
            <w:tcW w:w="230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60</w:t>
            </w:r>
          </w:p>
        </w:tc>
        <w:tc>
          <w:tcPr>
            <w:tcW w:w="129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21</w:t>
            </w:r>
          </w:p>
        </w:tc>
        <w:tc>
          <w:tcPr>
            <w:tcW w:w="122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2.9%</w:t>
            </w:r>
          </w:p>
        </w:tc>
      </w:tr>
      <w:tr w14:paraId="6241F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93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OVR-04</w:t>
            </w:r>
          </w:p>
        </w:tc>
        <w:tc>
          <w:tcPr>
            <w:tcW w:w="122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OVR</w:t>
            </w:r>
          </w:p>
        </w:tc>
        <w:tc>
          <w:tcPr>
            <w:tcW w:w="230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38</w:t>
            </w:r>
          </w:p>
        </w:tc>
        <w:tc>
          <w:tcPr>
            <w:tcW w:w="129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12</w:t>
            </w:r>
          </w:p>
        </w:tc>
        <w:tc>
          <w:tcPr>
            <w:tcW w:w="122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1.7%</w:t>
            </w:r>
          </w:p>
        </w:tc>
      </w:tr>
      <w:tr w14:paraId="13308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93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OVR-05</w:t>
            </w:r>
          </w:p>
        </w:tc>
        <w:tc>
          <w:tcPr>
            <w:tcW w:w="122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OVR</w:t>
            </w:r>
          </w:p>
        </w:tc>
        <w:tc>
          <w:tcPr>
            <w:tcW w:w="230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10</w:t>
            </w:r>
          </w:p>
        </w:tc>
        <w:tc>
          <w:tcPr>
            <w:tcW w:w="129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9</w:t>
            </w:r>
          </w:p>
        </w:tc>
        <w:tc>
          <w:tcPr>
            <w:tcW w:w="122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1.2%</w:t>
            </w:r>
          </w:p>
        </w:tc>
      </w:tr>
      <w:tr w14:paraId="19898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93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OVR-06</w:t>
            </w:r>
          </w:p>
        </w:tc>
        <w:tc>
          <w:tcPr>
            <w:tcW w:w="122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OVR</w:t>
            </w:r>
          </w:p>
        </w:tc>
        <w:tc>
          <w:tcPr>
            <w:tcW w:w="230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1</w:t>
            </w:r>
          </w:p>
        </w:tc>
        <w:tc>
          <w:tcPr>
            <w:tcW w:w="129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0</w:t>
            </w:r>
          </w:p>
        </w:tc>
        <w:tc>
          <w:tcPr>
            <w:tcW w:w="122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0.0%</w:t>
            </w:r>
          </w:p>
        </w:tc>
      </w:tr>
      <w:tr w14:paraId="36403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93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HREF</w:t>
            </w:r>
          </w:p>
        </w:tc>
        <w:tc>
          <w:tcPr>
            <w:tcW w:w="122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HREF</w:t>
            </w:r>
          </w:p>
        </w:tc>
        <w:tc>
          <w:tcPr>
            <w:tcW w:w="230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59</w:t>
            </w:r>
          </w:p>
        </w:tc>
        <w:tc>
          <w:tcPr>
            <w:tcW w:w="129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14</w:t>
            </w:r>
          </w:p>
        </w:tc>
        <w:tc>
          <w:tcPr>
            <w:tcW w:w="122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1.9%</w:t>
            </w:r>
          </w:p>
        </w:tc>
      </w:tr>
      <w:tr w14:paraId="78802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93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NONE</w:t>
            </w:r>
          </w:p>
        </w:tc>
        <w:tc>
          <w:tcPr>
            <w:tcW w:w="122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NONE</w:t>
            </w:r>
          </w:p>
        </w:tc>
        <w:tc>
          <w:tcPr>
            <w:tcW w:w="230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843</w:t>
            </w:r>
          </w:p>
        </w:tc>
        <w:tc>
          <w:tcPr>
            <w:tcW w:w="129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246</w:t>
            </w:r>
          </w:p>
        </w:tc>
        <w:tc>
          <w:tcPr>
            <w:tcW w:w="122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34.2%</w:t>
            </w:r>
          </w:p>
        </w:tc>
      </w:tr>
    </w:tbl>
    <w:p w14:paraId="4522B292">
      <w:pPr>
        <w:pStyle w:val="3"/>
        <w:keepNext/>
        <w:keepLines/>
        <w:pageBreakBefore w:val="0"/>
        <w:spacing w:before="140" w:after="80"/>
      </w:pPr>
      <w:r>
        <w:rPr>
          <w:color w:val="000000"/>
        </w:rPr>
        <w:t>S5.2 FINAL GOLD family and boundary distributions</w:t>
      </w:r>
    </w:p>
    <w:p w14:paraId="4438401B">
      <w:pPr>
        <w:pStyle w:val="16"/>
        <w:keepNext/>
        <w:keepLines/>
        <w:spacing w:before="120" w:after="60"/>
        <w:jc w:val="left"/>
      </w:pPr>
      <w:r>
        <w:t>Table S22. Final family and boundary distributions.</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1966"/>
        <w:gridCol w:w="1966"/>
        <w:gridCol w:w="1966"/>
        <w:gridCol w:w="1966"/>
      </w:tblGrid>
      <w:tr w14:paraId="159C0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jc w:val="center"/>
          <w:cantSplit w:val="true"/>
          <w:tblHeader w:val="true"/>
        </w:trPr>
        <w:tc>
          <w:tcPr>
            <w:tcW w:w="1440"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6"/>
              </w:rPr>
              <w:t>Dimension</w:t>
            </w:r>
          </w:p>
        </w:tc>
        <w:tc>
          <w:tcPr>
            <w:tcW w:w="2376"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6"/>
              </w:rPr>
              <w:t>Category</w:t>
            </w:r>
          </w:p>
        </w:tc>
        <w:tc>
          <w:tcPr>
            <w:tcW w:w="1008"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6"/>
              </w:rPr>
              <w:t>n</w:t>
            </w:r>
          </w:p>
        </w:tc>
        <w:tc>
          <w:tcPr>
            <w:tcW w:w="1152"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6"/>
              </w:rPr>
              <w:t>%</w:t>
            </w:r>
          </w:p>
        </w:tc>
      </w:tr>
      <w:tr w14:paraId="620DE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440"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Family</w:t>
            </w:r>
          </w:p>
        </w:tc>
        <w:tc>
          <w:tcPr>
            <w:tcW w:w="237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Core SCF</w:t>
            </w:r>
          </w:p>
        </w:tc>
        <w:tc>
          <w:tcPr>
            <w:tcW w:w="1008"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333</w:t>
            </w:r>
          </w:p>
        </w:tc>
        <w:tc>
          <w:tcPr>
            <w:tcW w:w="1152"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46.2%</w:t>
            </w:r>
          </w:p>
        </w:tc>
      </w:tr>
      <w:tr w14:paraId="7394B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440"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Family</w:t>
            </w:r>
          </w:p>
        </w:tc>
        <w:tc>
          <w:tcPr>
            <w:tcW w:w="237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OVR</w:t>
            </w:r>
          </w:p>
        </w:tc>
        <w:tc>
          <w:tcPr>
            <w:tcW w:w="1008"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127</w:t>
            </w:r>
          </w:p>
        </w:tc>
        <w:tc>
          <w:tcPr>
            <w:tcW w:w="1152"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17.6%</w:t>
            </w:r>
          </w:p>
        </w:tc>
      </w:tr>
      <w:tr w14:paraId="5FA2B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440"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Family</w:t>
            </w:r>
          </w:p>
        </w:tc>
        <w:tc>
          <w:tcPr>
            <w:tcW w:w="237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HREF</w:t>
            </w:r>
          </w:p>
        </w:tc>
        <w:tc>
          <w:tcPr>
            <w:tcW w:w="1008"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14</w:t>
            </w:r>
          </w:p>
        </w:tc>
        <w:tc>
          <w:tcPr>
            <w:tcW w:w="1152"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1.9%</w:t>
            </w:r>
          </w:p>
        </w:tc>
      </w:tr>
      <w:tr w14:paraId="34069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440"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Family</w:t>
            </w:r>
          </w:p>
        </w:tc>
        <w:tc>
          <w:tcPr>
            <w:tcW w:w="237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NONE</w:t>
            </w:r>
          </w:p>
        </w:tc>
        <w:tc>
          <w:tcPr>
            <w:tcW w:w="1008"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246</w:t>
            </w:r>
          </w:p>
        </w:tc>
        <w:tc>
          <w:tcPr>
            <w:tcW w:w="1152"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34.2%</w:t>
            </w:r>
          </w:p>
        </w:tc>
      </w:tr>
      <w:tr w14:paraId="79958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440"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Boundary</w:t>
            </w:r>
          </w:p>
        </w:tc>
        <w:tc>
          <w:tcPr>
            <w:tcW w:w="237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semantic_only</w:t>
            </w:r>
          </w:p>
        </w:tc>
        <w:tc>
          <w:tcPr>
            <w:tcW w:w="1008"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296</w:t>
            </w:r>
          </w:p>
        </w:tc>
        <w:tc>
          <w:tcPr>
            <w:tcW w:w="1152"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41.1%</w:t>
            </w:r>
          </w:p>
        </w:tc>
      </w:tr>
      <w:tr w14:paraId="7CF04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440"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Boundary</w:t>
            </w:r>
          </w:p>
        </w:tc>
        <w:tc>
          <w:tcPr>
            <w:tcW w:w="237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overlap</w:t>
            </w:r>
          </w:p>
        </w:tc>
        <w:tc>
          <w:tcPr>
            <w:tcW w:w="1008"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164</w:t>
            </w:r>
          </w:p>
        </w:tc>
        <w:tc>
          <w:tcPr>
            <w:tcW w:w="1152"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22.8%</w:t>
            </w:r>
          </w:p>
        </w:tc>
      </w:tr>
      <w:tr w14:paraId="5BD2D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440"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Boundary</w:t>
            </w:r>
          </w:p>
        </w:tc>
        <w:tc>
          <w:tcPr>
            <w:tcW w:w="237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hallucination_only</w:t>
            </w:r>
          </w:p>
        </w:tc>
        <w:tc>
          <w:tcPr>
            <w:tcW w:w="1008"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14</w:t>
            </w:r>
          </w:p>
        </w:tc>
        <w:tc>
          <w:tcPr>
            <w:tcW w:w="1152"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1.9%</w:t>
            </w:r>
          </w:p>
        </w:tc>
      </w:tr>
      <w:tr w14:paraId="32276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440"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Boundary</w:t>
            </w:r>
          </w:p>
        </w:tc>
        <w:tc>
          <w:tcPr>
            <w:tcW w:w="237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no_failure</w:t>
            </w:r>
          </w:p>
        </w:tc>
        <w:tc>
          <w:tcPr>
            <w:tcW w:w="1008"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246</w:t>
            </w:r>
          </w:p>
        </w:tc>
        <w:tc>
          <w:tcPr>
            <w:tcW w:w="1152"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34.2%</w:t>
            </w:r>
          </w:p>
        </w:tc>
      </w:tr>
    </w:tbl>
    <w:p w14:paraId="2F1F2962">
      <w:pPr>
        <w:pStyle w:val="3"/>
        <w:keepNext/>
        <w:keepLines/>
        <w:pageBreakBefore w:val="0"/>
        <w:spacing w:before="140" w:after="80"/>
      </w:pPr>
      <w:r>
        <w:rPr>
          <w:rFonts w:ascii="Times New Roman" w:hAnsi="Times New Roman" w:eastAsia="Times New Roman"/>
          <w:color w:val="000000"/>
        </w:rPr>
        <w:t>S5.3 Locked-file agreement structure</w:t>
      </w:r>
    </w:p>
    <w:p>
      <w:pPr>
        <w:keepNext/>
      </w:pPr>
      <w:r>
        <w:t>Table S23. Authoritative final locked pre-resolution nominal agreement.</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1446"/>
        <w:gridCol w:w="1446"/>
        <w:gridCol w:w="1446"/>
        <w:gridCol w:w="1446"/>
        <w:gridCol w:w="1446"/>
        <w:gridCol w:w="1446"/>
        <w:gridCol w:w="1446"/>
      </w:tblGrid>
      <w:tr w14:paraId="351F3E08">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tblHeader w:val="true"/>
          <w:jc w:val="center"/>
          <w:tblHeader w:val="true"/>
        </w:trPr>
        <w:tc>
          <w:tcPr>
            <w:tcW w:w="2016" w:type="dxa"/>
            <w:tcMar>
              <w:top w:w="65" w:type="dxa"/>
              <w:left w:w="70" w:type="dxa"/>
              <w:bottom w:w="65" w:type="dxa"/>
              <w:right w:w="70" w:type="dxa"/>
              <w:start w:w="68" w:type="dxa"/>
              <w:end w:w="68" w:type="dxa"/>
            </w:tcMar>
            <w:vAlign w:val="center"/>
            <w:shd w:val="clear" w:color="auto" w:fill="E8F0F8"/>
          </w:tcPr>
          <w:p w14:paraId="58DACE44">
            <w:pPr>
              <w:spacing w:before="0" w:after="0" w:line="240" w:lineRule="auto"/>
              <w:jc w:val="center"/>
            </w:pPr>
            <w:r>
              <w:rPr>
                <w:rFonts w:ascii="Times New Roman" w:hAnsi="Times New Roman" w:eastAsia="Times New Roman" w:cs="Times New Roman"/>
                <w:b/>
                <w:color w:val="1E364D"/>
                <w:sz w:val="14"/>
              </w:rPr>
              <w:t>Target</w:t>
            </w:r>
          </w:p>
        </w:tc>
        <w:tc>
          <w:tcPr>
            <w:tcW w:w="648" w:type="dxa"/>
            <w:tcMar>
              <w:top w:w="65" w:type="dxa"/>
              <w:left w:w="70" w:type="dxa"/>
              <w:bottom w:w="65" w:type="dxa"/>
              <w:right w:w="70" w:type="dxa"/>
              <w:start w:w="68" w:type="dxa"/>
              <w:end w:w="68" w:type="dxa"/>
            </w:tcMar>
            <w:vAlign w:val="center"/>
            <w:shd w:val="clear" w:color="auto" w:fill="E8F0F8"/>
          </w:tcPr>
          <w:p w14:paraId="28CAFF13">
            <w:pPr>
              <w:spacing w:before="0" w:after="0" w:line="240" w:lineRule="auto"/>
              <w:jc w:val="center"/>
            </w:pPr>
            <w:r>
              <w:rPr>
                <w:rFonts w:ascii="Times New Roman" w:hAnsi="Times New Roman" w:eastAsia="Times New Roman" w:cs="Times New Roman"/>
                <w:b/>
                <w:color w:val="1E364D"/>
                <w:sz w:val="14"/>
              </w:rPr>
              <w:t>N</w:t>
            </w:r>
          </w:p>
        </w:tc>
        <w:tc>
          <w:tcPr>
            <w:tcW w:w="936" w:type="dxa"/>
            <w:tcMar>
              <w:top w:w="65" w:type="dxa"/>
              <w:left w:w="70" w:type="dxa"/>
              <w:bottom w:w="65" w:type="dxa"/>
              <w:right w:w="70" w:type="dxa"/>
              <w:start w:w="68" w:type="dxa"/>
              <w:end w:w="68" w:type="dxa"/>
            </w:tcMar>
            <w:vAlign w:val="center"/>
            <w:shd w:val="clear" w:color="auto" w:fill="E8F0F8"/>
          </w:tcPr>
          <w:p w14:paraId="6C102093">
            <w:pPr>
              <w:spacing w:before="0" w:after="0" w:line="240" w:lineRule="auto"/>
              <w:jc w:val="center"/>
            </w:pPr>
            <w:r>
              <w:rPr>
                <w:rFonts w:ascii="Times New Roman" w:hAnsi="Times New Roman" w:eastAsia="Times New Roman" w:cs="Times New Roman"/>
                <w:b/>
                <w:color w:val="1E364D"/>
                <w:sz w:val="14"/>
              </w:rPr>
              <w:t>Full</w:t>
            </w:r>
          </w:p>
        </w:tc>
        <w:tc>
          <w:tcPr>
            <w:tcW w:w="1080" w:type="dxa"/>
            <w:tcMar>
              <w:top w:w="65" w:type="dxa"/>
              <w:left w:w="70" w:type="dxa"/>
              <w:bottom w:w="65" w:type="dxa"/>
              <w:right w:w="70" w:type="dxa"/>
              <w:start w:w="68" w:type="dxa"/>
              <w:end w:w="68" w:type="dxa"/>
            </w:tcMar>
            <w:vAlign w:val="center"/>
            <w:shd w:val="clear" w:color="auto" w:fill="E8F0F8"/>
          </w:tcPr>
          <w:p w14:paraId="78B4C751">
            <w:pPr>
              <w:spacing w:before="0" w:after="0" w:line="240" w:lineRule="auto"/>
              <w:jc w:val="center"/>
            </w:pPr>
            <w:r>
              <w:rPr>
                <w:rFonts w:ascii="Times New Roman" w:hAnsi="Times New Roman" w:eastAsia="Times New Roman" w:cs="Times New Roman"/>
                <w:b/>
                <w:color w:val="1E364D"/>
                <w:sz w:val="14"/>
              </w:rPr>
              <w:t>Pairwise</w:t>
            </w:r>
          </w:p>
        </w:tc>
        <w:tc>
          <w:tcPr>
            <w:tcW w:w="1656" w:type="dxa"/>
            <w:tcMar>
              <w:top w:w="65" w:type="dxa"/>
              <w:left w:w="70" w:type="dxa"/>
              <w:bottom w:w="65" w:type="dxa"/>
              <w:right w:w="70" w:type="dxa"/>
              <w:start w:w="68" w:type="dxa"/>
              <w:end w:w="68" w:type="dxa"/>
            </w:tcMar>
            <w:vAlign w:val="center"/>
            <w:shd w:val="clear" w:color="auto" w:fill="E8F0F8"/>
          </w:tcPr>
          <w:p w14:paraId="3D8807DF">
            <w:pPr>
              <w:spacing w:before="0" w:after="0" w:line="240" w:lineRule="auto"/>
              <w:jc w:val="center"/>
            </w:pPr>
            <w:r>
              <w:rPr>
                <w:rFonts w:ascii="Times New Roman" w:hAnsi="Times New Roman" w:eastAsia="Times New Roman" w:cs="Times New Roman"/>
                <w:b/>
                <w:color w:val="1E364D"/>
                <w:sz w:val="14"/>
              </w:rPr>
              <w:t>Fleiss kappa (95% CI)</w:t>
            </w:r>
          </w:p>
        </w:tc>
        <w:tc>
          <w:tcPr>
            <w:tcW w:w="1584" w:type="dxa"/>
            <w:tcMar>
              <w:top w:w="65" w:type="dxa"/>
              <w:left w:w="70" w:type="dxa"/>
              <w:bottom w:w="65" w:type="dxa"/>
              <w:right w:w="70" w:type="dxa"/>
              <w:start w:w="68" w:type="dxa"/>
              <w:end w:w="68" w:type="dxa"/>
            </w:tcMar>
            <w:vAlign w:val="center"/>
            <w:shd w:val="clear" w:color="auto" w:fill="E8F0F8"/>
          </w:tcPr>
          <w:p w14:paraId="63D3BC97">
            <w:pPr>
              <w:spacing w:before="0" w:after="0" w:line="240" w:lineRule="auto"/>
              <w:jc w:val="center"/>
            </w:pPr>
            <w:r>
              <w:rPr>
                <w:rFonts w:ascii="Times New Roman" w:hAnsi="Times New Roman" w:eastAsia="Times New Roman" w:cs="Times New Roman"/>
                <w:b/>
                <w:color w:val="1E364D"/>
                <w:sz w:val="14"/>
              </w:rPr>
              <w:t>Alpha (95% CI)</w:t>
            </w:r>
          </w:p>
        </w:tc>
        <w:tc>
          <w:tcPr>
            <w:tcW w:w="1440" w:type="dxa"/>
            <w:tcMar>
              <w:top w:w="65" w:type="dxa"/>
              <w:left w:w="70" w:type="dxa"/>
              <w:bottom w:w="65" w:type="dxa"/>
              <w:right w:w="70" w:type="dxa"/>
              <w:start w:w="68" w:type="dxa"/>
              <w:end w:w="68" w:type="dxa"/>
            </w:tcMar>
            <w:vAlign w:val="center"/>
            <w:shd w:val="clear" w:color="auto" w:fill="E8F0F8"/>
          </w:tcPr>
          <w:p w14:paraId="0BD38E1A">
            <w:pPr>
              <w:spacing w:before="0" w:after="0" w:line="240" w:lineRule="auto"/>
              <w:jc w:val="center"/>
            </w:pPr>
            <w:r>
              <w:rPr>
                <w:rFonts w:ascii="Times New Roman" w:hAnsi="Times New Roman" w:eastAsia="Times New Roman" w:cs="Times New Roman"/>
                <w:b/>
                <w:color w:val="1E364D"/>
                <w:sz w:val="14"/>
              </w:rPr>
              <w:t>AC1 (95% CI)</w:t>
            </w:r>
          </w:p>
        </w:tc>
      </w:tr>
      <w:tr w14:paraId="63D6C883">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2016" w:type="dxa"/>
            <w:tcMar>
              <w:top w:w="65" w:type="dxa"/>
              <w:left w:w="70" w:type="dxa"/>
              <w:bottom w:w="65" w:type="dxa"/>
              <w:right w:w="70" w:type="dxa"/>
              <w:start w:w="68" w:type="dxa"/>
              <w:end w:w="68" w:type="dxa"/>
            </w:tcMar>
            <w:vAlign w:val="center"/>
          </w:tcPr>
          <w:p w14:paraId="562AD334">
            <w:pPr>
              <w:spacing w:before="0" w:after="0" w:line="240" w:lineRule="auto"/>
              <w:jc w:val="left"/>
            </w:pPr>
            <w:r>
              <w:rPr>
                <w:rFonts w:ascii="Times New Roman" w:hAnsi="Times New Roman" w:eastAsia="Times New Roman" w:cs="Times New Roman"/>
                <w:b w:val="0"/>
                <w:color w:val="000000"/>
                <w:sz w:val="14"/>
              </w:rPr>
              <w:t>Fine-grained primary labels</w:t>
            </w:r>
          </w:p>
        </w:tc>
        <w:tc>
          <w:tcPr>
            <w:tcW w:w="648" w:type="dxa"/>
            <w:tcMar>
              <w:top w:w="65" w:type="dxa"/>
              <w:left w:w="70" w:type="dxa"/>
              <w:bottom w:w="65" w:type="dxa"/>
              <w:right w:w="70" w:type="dxa"/>
              <w:start w:w="68" w:type="dxa"/>
              <w:end w:w="68" w:type="dxa"/>
            </w:tcMar>
            <w:vAlign w:val="center"/>
          </w:tcPr>
          <w:p w14:paraId="50E99C62">
            <w:pPr>
              <w:spacing w:before="0" w:after="0" w:line="240" w:lineRule="auto"/>
              <w:jc w:val="left"/>
            </w:pPr>
            <w:r>
              <w:rPr>
                <w:rFonts w:ascii="Times New Roman" w:hAnsi="Times New Roman" w:eastAsia="Times New Roman" w:cs="Times New Roman"/>
                <w:b w:val="0"/>
                <w:color w:val="000000"/>
                <w:sz w:val="14"/>
              </w:rPr>
              <w:t>720</w:t>
            </w:r>
          </w:p>
        </w:tc>
        <w:tc>
          <w:tcPr>
            <w:tcW w:w="936" w:type="dxa"/>
            <w:tcMar>
              <w:top w:w="65" w:type="dxa"/>
              <w:left w:w="70" w:type="dxa"/>
              <w:bottom w:w="65" w:type="dxa"/>
              <w:right w:w="70" w:type="dxa"/>
              <w:start w:w="68" w:type="dxa"/>
              <w:end w:w="68" w:type="dxa"/>
            </w:tcMar>
            <w:vAlign w:val="center"/>
          </w:tcPr>
          <w:p w14:paraId="53DE8669">
            <w:pPr>
              <w:spacing w:before="0" w:after="0" w:line="240" w:lineRule="auto"/>
              <w:jc w:val="left"/>
            </w:pPr>
            <w:r>
              <w:rPr>
                <w:rFonts w:ascii="Times New Roman" w:hAnsi="Times New Roman" w:eastAsia="Times New Roman" w:cs="Times New Roman"/>
                <w:b w:val="0"/>
                <w:color w:val="000000"/>
                <w:sz w:val="14"/>
              </w:rPr>
              <w:t>70.7%</w:t>
            </w:r>
          </w:p>
        </w:tc>
        <w:tc>
          <w:tcPr>
            <w:tcW w:w="1080" w:type="dxa"/>
            <w:tcMar>
              <w:top w:w="65" w:type="dxa"/>
              <w:left w:w="70" w:type="dxa"/>
              <w:bottom w:w="65" w:type="dxa"/>
              <w:right w:w="70" w:type="dxa"/>
              <w:start w:w="68" w:type="dxa"/>
              <w:end w:w="68" w:type="dxa"/>
            </w:tcMar>
            <w:vAlign w:val="center"/>
          </w:tcPr>
          <w:p w14:paraId="1DA565F9">
            <w:pPr>
              <w:spacing w:before="0" w:after="0" w:line="240" w:lineRule="auto"/>
              <w:jc w:val="left"/>
            </w:pPr>
            <w:r>
              <w:rPr>
                <w:rFonts w:ascii="Times New Roman" w:hAnsi="Times New Roman" w:eastAsia="Times New Roman" w:cs="Times New Roman"/>
                <w:b w:val="0"/>
                <w:color w:val="000000"/>
                <w:sz w:val="14"/>
              </w:rPr>
              <w:t>77.5%</w:t>
            </w:r>
          </w:p>
        </w:tc>
        <w:tc>
          <w:tcPr>
            <w:tcW w:w="1656" w:type="dxa"/>
            <w:tcMar>
              <w:top w:w="65" w:type="dxa"/>
              <w:left w:w="70" w:type="dxa"/>
              <w:bottom w:w="65" w:type="dxa"/>
              <w:right w:w="70" w:type="dxa"/>
              <w:start w:w="68" w:type="dxa"/>
              <w:end w:w="68" w:type="dxa"/>
            </w:tcMar>
            <w:vAlign w:val="center"/>
          </w:tcPr>
          <w:p w14:paraId="6EE768F1">
            <w:pPr>
              <w:spacing w:after="0" w:line="240" w:lineRule="auto" w:before="0"/>
            </w:pPr>
            <w:r>
              <w:rPr>
                <w:rFonts w:ascii="Times New Roman" w:hAnsi="Times New Roman" w:eastAsia="Times New Roman" w:cs="Times New Roman"/>
                <w:b w:val="0"/>
                <w:sz w:val="14"/>
              </w:rPr>
              <w:t>0.703 (0.670–0.737)</w:t>
            </w:r>
          </w:p>
        </w:tc>
        <w:tc>
          <w:tcPr>
            <w:tcW w:w="1584" w:type="dxa"/>
            <w:tcMar>
              <w:top w:w="65" w:type="dxa"/>
              <w:left w:w="70" w:type="dxa"/>
              <w:bottom w:w="65" w:type="dxa"/>
              <w:right w:w="70" w:type="dxa"/>
              <w:start w:w="68" w:type="dxa"/>
              <w:end w:w="68" w:type="dxa"/>
            </w:tcMar>
            <w:vAlign w:val="center"/>
          </w:tcPr>
          <w:p w14:paraId="0335F79F">
            <w:pPr>
              <w:spacing w:after="0" w:line="240" w:lineRule="auto" w:before="0"/>
            </w:pPr>
            <w:r>
              <w:rPr>
                <w:rFonts w:ascii="Times New Roman" w:hAnsi="Times New Roman" w:eastAsia="Times New Roman" w:cs="Times New Roman"/>
                <w:b w:val="0"/>
                <w:sz w:val="14"/>
              </w:rPr>
              <w:t>0.703 (0.670–0.737)</w:t>
            </w:r>
          </w:p>
        </w:tc>
        <w:tc>
          <w:tcPr>
            <w:tcW w:w="1440" w:type="dxa"/>
            <w:tcMar>
              <w:top w:w="65" w:type="dxa"/>
              <w:left w:w="70" w:type="dxa"/>
              <w:bottom w:w="65" w:type="dxa"/>
              <w:right w:w="70" w:type="dxa"/>
              <w:start w:w="68" w:type="dxa"/>
              <w:end w:w="68" w:type="dxa"/>
            </w:tcMar>
            <w:vAlign w:val="center"/>
          </w:tcPr>
          <w:p w14:paraId="646F48B4">
            <w:pPr>
              <w:spacing w:before="0" w:after="0" w:line="240" w:lineRule="auto"/>
            </w:pPr>
            <w:r>
              <w:rPr>
                <w:rFonts w:ascii="Times New Roman" w:hAnsi="Times New Roman" w:eastAsia="Times New Roman" w:cs="Times New Roman"/>
                <w:b w:val="0"/>
                <w:sz w:val="14"/>
              </w:rPr>
              <w:t>0.763 (0.734–0.791)</w:t>
            </w:r>
          </w:p>
        </w:tc>
      </w:tr>
      <w:tr w14:paraId="78C91DDE">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2016" w:type="dxa"/>
            <w:tcMar>
              <w:top w:w="65" w:type="dxa"/>
              <w:left w:w="70" w:type="dxa"/>
              <w:bottom w:w="65" w:type="dxa"/>
              <w:right w:w="70" w:type="dxa"/>
              <w:start w:w="68" w:type="dxa"/>
              <w:end w:w="68" w:type="dxa"/>
            </w:tcMar>
            <w:vAlign w:val="center"/>
          </w:tcPr>
          <w:p w14:paraId="2661C895">
            <w:pPr>
              <w:spacing w:before="0" w:after="0" w:line="240" w:lineRule="auto"/>
              <w:jc w:val="left"/>
            </w:pPr>
            <w:r>
              <w:rPr>
                <w:rFonts w:ascii="Times New Roman" w:hAnsi="Times New Roman" w:eastAsia="Times New Roman" w:cs="Times New Roman"/>
                <w:b w:val="0"/>
                <w:color w:val="000000"/>
                <w:sz w:val="14"/>
              </w:rPr>
              <w:t>Collapsed label families</w:t>
            </w:r>
          </w:p>
        </w:tc>
        <w:tc>
          <w:tcPr>
            <w:tcW w:w="648" w:type="dxa"/>
            <w:tcMar>
              <w:top w:w="65" w:type="dxa"/>
              <w:left w:w="70" w:type="dxa"/>
              <w:bottom w:w="65" w:type="dxa"/>
              <w:right w:w="70" w:type="dxa"/>
              <w:start w:w="68" w:type="dxa"/>
              <w:end w:w="68" w:type="dxa"/>
            </w:tcMar>
            <w:vAlign w:val="center"/>
          </w:tcPr>
          <w:p w14:paraId="05CE189C">
            <w:pPr>
              <w:spacing w:before="0" w:after="0" w:line="240" w:lineRule="auto"/>
              <w:jc w:val="left"/>
            </w:pPr>
            <w:r>
              <w:rPr>
                <w:rFonts w:ascii="Times New Roman" w:hAnsi="Times New Roman" w:eastAsia="Times New Roman" w:cs="Times New Roman"/>
                <w:b w:val="0"/>
                <w:color w:val="000000"/>
                <w:sz w:val="14"/>
              </w:rPr>
              <w:t>720</w:t>
            </w:r>
          </w:p>
        </w:tc>
        <w:tc>
          <w:tcPr>
            <w:tcW w:w="936" w:type="dxa"/>
            <w:tcMar>
              <w:top w:w="65" w:type="dxa"/>
              <w:left w:w="70" w:type="dxa"/>
              <w:bottom w:w="65" w:type="dxa"/>
              <w:right w:w="70" w:type="dxa"/>
              <w:start w:w="68" w:type="dxa"/>
              <w:end w:w="68" w:type="dxa"/>
            </w:tcMar>
            <w:vAlign w:val="center"/>
          </w:tcPr>
          <w:p w14:paraId="2020CB92">
            <w:pPr>
              <w:spacing w:before="0" w:after="0" w:line="240" w:lineRule="auto"/>
              <w:jc w:val="left"/>
            </w:pPr>
            <w:r>
              <w:rPr>
                <w:rFonts w:ascii="Times New Roman" w:hAnsi="Times New Roman" w:eastAsia="Times New Roman" w:cs="Times New Roman"/>
                <w:b w:val="0"/>
                <w:color w:val="000000"/>
                <w:sz w:val="14"/>
              </w:rPr>
              <w:t>75.8%</w:t>
            </w:r>
          </w:p>
        </w:tc>
        <w:tc>
          <w:tcPr>
            <w:tcW w:w="1080" w:type="dxa"/>
            <w:tcMar>
              <w:top w:w="65" w:type="dxa"/>
              <w:left w:w="70" w:type="dxa"/>
              <w:bottom w:w="65" w:type="dxa"/>
              <w:right w:w="70" w:type="dxa"/>
              <w:start w:w="68" w:type="dxa"/>
              <w:end w:w="68" w:type="dxa"/>
            </w:tcMar>
            <w:vAlign w:val="center"/>
          </w:tcPr>
          <w:p w14:paraId="34480F4B">
            <w:pPr>
              <w:spacing w:before="0" w:after="0" w:line="240" w:lineRule="auto"/>
              <w:jc w:val="left"/>
            </w:pPr>
            <w:r>
              <w:rPr>
                <w:rFonts w:ascii="Times New Roman" w:hAnsi="Times New Roman" w:eastAsia="Times New Roman" w:cs="Times New Roman"/>
                <w:b w:val="0"/>
                <w:color w:val="000000"/>
                <w:sz w:val="14"/>
              </w:rPr>
              <w:t>82.7%</w:t>
            </w:r>
          </w:p>
        </w:tc>
        <w:tc>
          <w:tcPr>
            <w:tcW w:w="1656" w:type="dxa"/>
            <w:tcMar>
              <w:top w:w="65" w:type="dxa"/>
              <w:left w:w="70" w:type="dxa"/>
              <w:bottom w:w="65" w:type="dxa"/>
              <w:right w:w="70" w:type="dxa"/>
              <w:start w:w="68" w:type="dxa"/>
              <w:end w:w="68" w:type="dxa"/>
            </w:tcMar>
            <w:vAlign w:val="center"/>
          </w:tcPr>
          <w:p w14:paraId="18AE8E9C">
            <w:pPr>
              <w:spacing w:after="0" w:line="240" w:lineRule="auto" w:before="0"/>
            </w:pPr>
            <w:r>
              <w:rPr>
                <w:rFonts w:ascii="Times New Roman" w:hAnsi="Times New Roman" w:eastAsia="Times New Roman" w:cs="Times New Roman"/>
                <w:b w:val="0"/>
                <w:sz w:val="14"/>
              </w:rPr>
              <w:t>0.730 (0.695–0.766)</w:t>
            </w:r>
          </w:p>
        </w:tc>
        <w:tc>
          <w:tcPr>
            <w:tcW w:w="1584" w:type="dxa"/>
            <w:tcMar>
              <w:top w:w="65" w:type="dxa"/>
              <w:left w:w="70" w:type="dxa"/>
              <w:bottom w:w="65" w:type="dxa"/>
              <w:right w:w="70" w:type="dxa"/>
              <w:start w:w="68" w:type="dxa"/>
              <w:end w:w="68" w:type="dxa"/>
            </w:tcMar>
            <w:vAlign w:val="center"/>
          </w:tcPr>
          <w:p w14:paraId="130BEB00">
            <w:pPr>
              <w:spacing w:after="0" w:line="240" w:lineRule="auto" w:before="0"/>
            </w:pPr>
            <w:r>
              <w:rPr>
                <w:rFonts w:ascii="Times New Roman" w:hAnsi="Times New Roman" w:eastAsia="Times New Roman" w:cs="Times New Roman"/>
                <w:b w:val="0"/>
                <w:sz w:val="14"/>
              </w:rPr>
              <w:t>0.731 (0.695–0.766)</w:t>
            </w:r>
          </w:p>
        </w:tc>
        <w:tc>
          <w:tcPr>
            <w:tcW w:w="1440" w:type="dxa"/>
            <w:tcMar>
              <w:top w:w="65" w:type="dxa"/>
              <w:left w:w="70" w:type="dxa"/>
              <w:bottom w:w="65" w:type="dxa"/>
              <w:right w:w="70" w:type="dxa"/>
              <w:start w:w="68" w:type="dxa"/>
              <w:end w:w="68" w:type="dxa"/>
            </w:tcMar>
            <w:vAlign w:val="center"/>
          </w:tcPr>
          <w:p w14:paraId="4A3578C4">
            <w:pPr>
              <w:spacing w:after="0" w:line="240" w:lineRule="auto" w:before="0"/>
            </w:pPr>
            <w:r>
              <w:rPr>
                <w:rFonts w:ascii="Times New Roman" w:hAnsi="Times New Roman" w:eastAsia="Times New Roman" w:cs="Times New Roman"/>
                <w:b w:val="0"/>
                <w:sz w:val="14"/>
              </w:rPr>
              <w:t>0.780 (0.749–0.812)</w:t>
            </w:r>
          </w:p>
        </w:tc>
      </w:tr>
      <w:tr w14:paraId="101E1813">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2016" w:type="dxa"/>
            <w:tcMar>
              <w:top w:w="65" w:type="dxa"/>
              <w:left w:w="70" w:type="dxa"/>
              <w:bottom w:w="65" w:type="dxa"/>
              <w:right w:w="70" w:type="dxa"/>
              <w:start w:w="68" w:type="dxa"/>
              <w:end w:w="68" w:type="dxa"/>
            </w:tcMar>
            <w:vAlign w:val="center"/>
          </w:tcPr>
          <w:p w14:paraId="679176CA">
            <w:pPr>
              <w:spacing w:before="0" w:after="0" w:line="240" w:lineRule="auto"/>
              <w:jc w:val="left"/>
            </w:pPr>
            <w:r>
              <w:rPr>
                <w:rFonts w:ascii="Times New Roman" w:hAnsi="Times New Roman" w:eastAsia="Times New Roman" w:cs="Times New Roman"/>
                <w:b w:val="0"/>
                <w:color w:val="000000"/>
                <w:sz w:val="14"/>
              </w:rPr>
              <w:t>Boundary zones</w:t>
            </w:r>
          </w:p>
        </w:tc>
        <w:tc>
          <w:tcPr>
            <w:tcW w:w="648" w:type="dxa"/>
            <w:tcMar>
              <w:top w:w="65" w:type="dxa"/>
              <w:left w:w="70" w:type="dxa"/>
              <w:bottom w:w="65" w:type="dxa"/>
              <w:right w:w="70" w:type="dxa"/>
              <w:start w:w="68" w:type="dxa"/>
              <w:end w:w="68" w:type="dxa"/>
            </w:tcMar>
            <w:vAlign w:val="center"/>
          </w:tcPr>
          <w:p w14:paraId="2859C7C3">
            <w:pPr>
              <w:spacing w:before="0" w:after="0" w:line="240" w:lineRule="auto"/>
              <w:jc w:val="left"/>
            </w:pPr>
            <w:r>
              <w:rPr>
                <w:rFonts w:ascii="Times New Roman" w:hAnsi="Times New Roman" w:eastAsia="Times New Roman" w:cs="Times New Roman"/>
                <w:b w:val="0"/>
                <w:color w:val="000000"/>
                <w:sz w:val="14"/>
              </w:rPr>
              <w:t>720</w:t>
            </w:r>
          </w:p>
        </w:tc>
        <w:tc>
          <w:tcPr>
            <w:tcW w:w="936" w:type="dxa"/>
            <w:tcMar>
              <w:top w:w="65" w:type="dxa"/>
              <w:left w:w="70" w:type="dxa"/>
              <w:bottom w:w="65" w:type="dxa"/>
              <w:right w:w="70" w:type="dxa"/>
              <w:start w:w="68" w:type="dxa"/>
              <w:end w:w="68" w:type="dxa"/>
            </w:tcMar>
            <w:vAlign w:val="center"/>
          </w:tcPr>
          <w:p w14:paraId="742DA949">
            <w:pPr>
              <w:spacing w:before="0" w:after="0" w:line="240" w:lineRule="auto"/>
              <w:jc w:val="left"/>
            </w:pPr>
            <w:r>
              <w:rPr>
                <w:rFonts w:ascii="Times New Roman" w:hAnsi="Times New Roman" w:eastAsia="Times New Roman" w:cs="Times New Roman"/>
                <w:b w:val="0"/>
                <w:color w:val="000000"/>
                <w:sz w:val="14"/>
              </w:rPr>
              <w:t>74.4%</w:t>
            </w:r>
          </w:p>
        </w:tc>
        <w:tc>
          <w:tcPr>
            <w:tcW w:w="1080" w:type="dxa"/>
            <w:tcMar>
              <w:top w:w="65" w:type="dxa"/>
              <w:left w:w="70" w:type="dxa"/>
              <w:bottom w:w="65" w:type="dxa"/>
              <w:right w:w="70" w:type="dxa"/>
              <w:start w:w="68" w:type="dxa"/>
              <w:end w:w="68" w:type="dxa"/>
            </w:tcMar>
            <w:vAlign w:val="center"/>
          </w:tcPr>
          <w:p w14:paraId="58A2611C">
            <w:pPr>
              <w:spacing w:before="0" w:after="0" w:line="240" w:lineRule="auto"/>
              <w:jc w:val="left"/>
            </w:pPr>
            <w:r>
              <w:rPr>
                <w:rFonts w:ascii="Times New Roman" w:hAnsi="Times New Roman" w:eastAsia="Times New Roman" w:cs="Times New Roman"/>
                <w:b w:val="0"/>
                <w:color w:val="000000"/>
                <w:sz w:val="14"/>
              </w:rPr>
              <w:t>81.7%</w:t>
            </w:r>
          </w:p>
        </w:tc>
        <w:tc>
          <w:tcPr>
            <w:tcW w:w="1656" w:type="dxa"/>
            <w:tcMar>
              <w:top w:w="65" w:type="dxa"/>
              <w:left w:w="70" w:type="dxa"/>
              <w:bottom w:w="65" w:type="dxa"/>
              <w:right w:w="70" w:type="dxa"/>
              <w:start w:w="68" w:type="dxa"/>
              <w:end w:w="68" w:type="dxa"/>
            </w:tcMar>
            <w:vAlign w:val="center"/>
          </w:tcPr>
          <w:p w14:paraId="723E60AA">
            <w:pPr>
              <w:spacing w:after="0" w:line="240" w:lineRule="auto" w:before="0"/>
            </w:pPr>
            <w:r>
              <w:rPr>
                <w:rFonts w:ascii="Times New Roman" w:hAnsi="Times New Roman" w:eastAsia="Times New Roman" w:cs="Times New Roman"/>
                <w:b w:val="0"/>
                <w:sz w:val="14"/>
              </w:rPr>
              <w:t>0.723 (0.692–0.753)</w:t>
            </w:r>
          </w:p>
        </w:tc>
        <w:tc>
          <w:tcPr>
            <w:tcW w:w="1584" w:type="dxa"/>
            <w:tcMar>
              <w:top w:w="65" w:type="dxa"/>
              <w:left w:w="70" w:type="dxa"/>
              <w:bottom w:w="65" w:type="dxa"/>
              <w:right w:w="70" w:type="dxa"/>
              <w:start w:w="68" w:type="dxa"/>
              <w:end w:w="68" w:type="dxa"/>
            </w:tcMar>
            <w:vAlign w:val="center"/>
          </w:tcPr>
          <w:p w14:paraId="6E153DC7">
            <w:pPr>
              <w:spacing w:after="0" w:line="240" w:lineRule="auto" w:before="0"/>
            </w:pPr>
            <w:r>
              <w:rPr>
                <w:rFonts w:ascii="Times New Roman" w:hAnsi="Times New Roman" w:eastAsia="Times New Roman" w:cs="Times New Roman"/>
                <w:b w:val="0"/>
                <w:sz w:val="14"/>
              </w:rPr>
              <w:t>0.723 (0.692–0.754)</w:t>
            </w:r>
          </w:p>
        </w:tc>
        <w:tc>
          <w:tcPr>
            <w:tcW w:w="1440" w:type="dxa"/>
            <w:tcMar>
              <w:top w:w="65" w:type="dxa"/>
              <w:left w:w="70" w:type="dxa"/>
              <w:bottom w:w="65" w:type="dxa"/>
              <w:right w:w="70" w:type="dxa"/>
              <w:start w:w="68" w:type="dxa"/>
              <w:end w:w="68" w:type="dxa"/>
            </w:tcMar>
            <w:vAlign w:val="center"/>
          </w:tcPr>
          <w:p w14:paraId="23694A1B">
            <w:pPr>
              <w:spacing w:after="0" w:line="240" w:lineRule="auto" w:before="0"/>
            </w:pPr>
            <w:r>
              <w:rPr>
                <w:rFonts w:ascii="Times New Roman" w:hAnsi="Times New Roman" w:eastAsia="Times New Roman" w:cs="Times New Roman"/>
                <w:b w:val="0"/>
                <w:sz w:val="14"/>
              </w:rPr>
              <w:t>0.766 (0.738–0.793)</w:t>
            </w:r>
          </w:p>
        </w:tc>
      </w:tr>
    </w:tbl>
    <w:p>
      <w:pPr>
        <w:keepNext/>
      </w:pPr>
      <w:r>
        <w:t>Table S24. Per-label pooled positive-agreement diagnostics from locked ratings.</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1966"/>
        <w:gridCol w:w="1966"/>
        <w:gridCol w:w="1966"/>
        <w:gridCol w:w="1966"/>
        <w:gridCol w:w="1966"/>
      </w:tblGrid>
      <w:tr w14:paraId="1A3A6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blHeader w:val="true"/>
          <w:jc w:val="center"/>
          <w:tblHeader w:val="true"/>
        </w:trPr>
        <w:tc>
          <w:tcPr>
            <w:tcW w:w="1966" w:type="dxa"/>
            <w:vAlign w:val="center"/>
            <w:tcMar>
              <w:top w:w="65" w:type="dxa"/>
              <w:start w:w="68" w:type="dxa"/>
              <w:bottom w:w="65" w:type="dxa"/>
              <w:end w:w="68" w:type="dxa"/>
            </w:tcMar>
            <w:shd w:val="clear" w:color="auto" w:fill="E8F0F8"/>
          </w:tcPr>
          <w:p w14:paraId="34715CFD">
            <w:pPr>
              <w:spacing w:after="0" w:line="240" w:lineRule="auto" w:before="0"/>
              <w:jc w:val="center"/>
            </w:pPr>
            <w:r>
              <w:rPr>
                <w:rFonts w:ascii="Times New Roman" w:hAnsi="Times New Roman" w:eastAsia="Times New Roman" w:cs="Times New Roman"/>
                <w:b/>
                <w:color w:val="1E364D"/>
                <w:sz w:val="15"/>
              </w:rPr>
              <w:t>Label</w:t>
            </w:r>
          </w:p>
        </w:tc>
        <w:tc>
          <w:tcPr>
            <w:tcW w:w="1966" w:type="dxa"/>
            <w:vAlign w:val="center"/>
            <w:tcMar>
              <w:top w:w="65" w:type="dxa"/>
              <w:start w:w="68" w:type="dxa"/>
              <w:bottom w:w="65" w:type="dxa"/>
              <w:end w:w="68" w:type="dxa"/>
            </w:tcMar>
            <w:shd w:val="clear" w:color="auto" w:fill="E8F0F8"/>
          </w:tcPr>
          <w:p w14:paraId="167059E6">
            <w:pPr>
              <w:spacing w:after="0" w:line="240" w:lineRule="auto" w:before="0"/>
              <w:jc w:val="center"/>
            </w:pPr>
            <w:r>
              <w:rPr>
                <w:rFonts w:ascii="Times New Roman" w:hAnsi="Times New Roman" w:eastAsia="Times New Roman" w:cs="Times New Roman"/>
                <w:b/>
                <w:color w:val="1E364D"/>
                <w:sz w:val="15"/>
              </w:rPr>
              <w:t>Locked assignments</w:t>
            </w:r>
          </w:p>
        </w:tc>
        <w:tc>
          <w:tcPr>
            <w:tcW w:w="1966" w:type="dxa"/>
            <w:vAlign w:val="center"/>
            <w:tcMar>
              <w:top w:w="65" w:type="dxa"/>
              <w:start w:w="68" w:type="dxa"/>
              <w:bottom w:w="65" w:type="dxa"/>
              <w:end w:w="68" w:type="dxa"/>
            </w:tcMar>
            <w:shd w:val="clear" w:color="auto" w:fill="E8F0F8"/>
          </w:tcPr>
          <w:p w14:paraId="77CB2DBF">
            <w:pPr>
              <w:spacing w:after="0" w:line="240" w:lineRule="auto" w:before="0"/>
              <w:jc w:val="center"/>
            </w:pPr>
            <w:r>
              <w:rPr>
                <w:rFonts w:ascii="Times New Roman" w:hAnsi="Times New Roman" w:eastAsia="Times New Roman" w:cs="Times New Roman"/>
                <w:b/>
                <w:color w:val="1E364D"/>
                <w:sz w:val="15"/>
              </w:rPr>
              <w:t>All 3 positive</w:t>
            </w:r>
          </w:p>
        </w:tc>
        <w:tc>
          <w:tcPr>
            <w:tcW w:w="1966" w:type="dxa"/>
            <w:vAlign w:val="center"/>
            <w:tcMar>
              <w:top w:w="65" w:type="dxa"/>
              <w:start w:w="68" w:type="dxa"/>
              <w:bottom w:w="65" w:type="dxa"/>
              <w:end w:w="68" w:type="dxa"/>
            </w:tcMar>
            <w:shd w:val="clear" w:color="auto" w:fill="E8F0F8"/>
          </w:tcPr>
          <w:p w14:paraId="484D8063">
            <w:pPr>
              <w:spacing w:after="0" w:line="240" w:lineRule="auto" w:before="0"/>
              <w:jc w:val="center"/>
            </w:pPr>
            <w:r>
              <w:rPr>
                <w:rFonts w:ascii="Times New Roman" w:hAnsi="Times New Roman" w:eastAsia="Times New Roman" w:cs="Times New Roman"/>
                <w:b/>
                <w:color w:val="1E364D"/>
                <w:sz w:val="15"/>
              </w:rPr>
              <w:t>Exactly 2 positive</w:t>
            </w:r>
          </w:p>
        </w:tc>
        <w:tc>
          <w:tcPr>
            <w:tcW w:w="1966" w:type="dxa"/>
            <w:vAlign w:val="center"/>
            <w:tcMar>
              <w:top w:w="65" w:type="dxa"/>
              <w:start w:w="68" w:type="dxa"/>
              <w:bottom w:w="65" w:type="dxa"/>
              <w:end w:w="68" w:type="dxa"/>
            </w:tcMar>
            <w:shd w:val="clear" w:color="auto" w:fill="E8F0F8"/>
          </w:tcPr>
          <w:p w14:paraId="4EDD79BC">
            <w:pPr>
              <w:spacing w:after="0" w:line="240" w:lineRule="auto" w:before="0"/>
              <w:jc w:val="center"/>
            </w:pPr>
            <w:r>
              <w:rPr>
                <w:rFonts w:ascii="Times New Roman" w:hAnsi="Times New Roman" w:eastAsia="Times New Roman" w:cs="Times New Roman"/>
                <w:b/>
                <w:color w:val="1E364D"/>
                <w:sz w:val="15"/>
              </w:rPr>
              <w:t>Pooled positive agreement</w:t>
            </w:r>
          </w:p>
        </w:tc>
      </w:tr>
      <w:tr w14:paraId="3326E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966" w:type="dxa"/>
            <w:vAlign w:val="center"/>
            <w:tcMar>
              <w:top w:w="65" w:type="dxa"/>
              <w:start w:w="68" w:type="dxa"/>
              <w:bottom w:w="65" w:type="dxa"/>
              <w:end w:w="68" w:type="dxa"/>
            </w:tcMar>
          </w:tcPr>
          <w:p w14:paraId="0BE10A50">
            <w:pPr>
              <w:spacing w:after="0" w:line="240" w:lineRule="auto" w:before="0"/>
            </w:pPr>
            <w:r>
              <w:rPr>
                <w:rFonts w:ascii="Times New Roman" w:hAnsi="Times New Roman" w:eastAsia="Times New Roman" w:cs="Times New Roman"/>
                <w:b w:val="0"/>
                <w:sz w:val="15"/>
              </w:rPr>
              <w:t>NONE</w:t>
            </w:r>
          </w:p>
        </w:tc>
        <w:tc>
          <w:tcPr>
            <w:tcW w:w="1966" w:type="dxa"/>
            <w:vAlign w:val="center"/>
            <w:tcMar>
              <w:top w:w="65" w:type="dxa"/>
              <w:start w:w="68" w:type="dxa"/>
              <w:bottom w:w="65" w:type="dxa"/>
              <w:end w:w="68" w:type="dxa"/>
            </w:tcMar>
          </w:tcPr>
          <w:p w14:paraId="4EB3D27D">
            <w:pPr>
              <w:spacing w:after="0" w:line="240" w:lineRule="auto" w:before="0"/>
            </w:pPr>
            <w:r>
              <w:rPr>
                <w:rFonts w:ascii="Times New Roman" w:hAnsi="Times New Roman" w:eastAsia="Times New Roman" w:cs="Times New Roman"/>
                <w:b w:val="0"/>
                <w:sz w:val="15"/>
              </w:rPr>
              <w:t>843</w:t>
            </w:r>
          </w:p>
        </w:tc>
        <w:tc>
          <w:tcPr>
            <w:tcW w:w="1966" w:type="dxa"/>
            <w:vAlign w:val="center"/>
            <w:tcMar>
              <w:top w:w="65" w:type="dxa"/>
              <w:start w:w="68" w:type="dxa"/>
              <w:bottom w:w="65" w:type="dxa"/>
              <w:end w:w="68" w:type="dxa"/>
            </w:tcMar>
          </w:tcPr>
          <w:p w14:paraId="566E7582">
            <w:pPr>
              <w:spacing w:after="0" w:line="240" w:lineRule="auto" w:before="0"/>
            </w:pPr>
            <w:r>
              <w:rPr>
                <w:rFonts w:ascii="Times New Roman" w:hAnsi="Times New Roman" w:eastAsia="Times New Roman" w:cs="Times New Roman"/>
                <w:b w:val="0"/>
                <w:sz w:val="15"/>
              </w:rPr>
              <w:t>213</w:t>
            </w:r>
          </w:p>
        </w:tc>
        <w:tc>
          <w:tcPr>
            <w:tcW w:w="1966" w:type="dxa"/>
            <w:vAlign w:val="center"/>
            <w:tcMar>
              <w:top w:w="65" w:type="dxa"/>
              <w:start w:w="68" w:type="dxa"/>
              <w:bottom w:w="65" w:type="dxa"/>
              <w:end w:w="68" w:type="dxa"/>
            </w:tcMar>
          </w:tcPr>
          <w:p w14:paraId="23005BED">
            <w:pPr>
              <w:spacing w:after="0" w:line="240" w:lineRule="auto" w:before="0"/>
            </w:pPr>
            <w:r>
              <w:rPr>
                <w:rFonts w:ascii="Times New Roman" w:hAnsi="Times New Roman" w:eastAsia="Times New Roman" w:cs="Times New Roman"/>
                <w:b w:val="0"/>
                <w:sz w:val="15"/>
              </w:rPr>
              <w:t>62</w:t>
            </w:r>
          </w:p>
        </w:tc>
        <w:tc>
          <w:tcPr>
            <w:tcW w:w="1966" w:type="dxa"/>
            <w:vAlign w:val="center"/>
            <w:tcMar>
              <w:top w:w="65" w:type="dxa"/>
              <w:start w:w="68" w:type="dxa"/>
              <w:bottom w:w="65" w:type="dxa"/>
              <w:end w:w="68" w:type="dxa"/>
            </w:tcMar>
          </w:tcPr>
          <w:p w14:paraId="3067815B">
            <w:pPr>
              <w:spacing w:after="0" w:line="240" w:lineRule="auto" w:before="0"/>
            </w:pPr>
            <w:r>
              <w:rPr>
                <w:rFonts w:ascii="Times New Roman" w:hAnsi="Times New Roman" w:eastAsia="Times New Roman" w:cs="Times New Roman"/>
                <w:b w:val="0"/>
                <w:sz w:val="15"/>
              </w:rPr>
              <w:t>0.832</w:t>
            </w:r>
          </w:p>
        </w:tc>
      </w:tr>
      <w:tr w14:paraId="581DB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966" w:type="dxa"/>
            <w:vAlign w:val="center"/>
            <w:tcMar>
              <w:top w:w="65" w:type="dxa"/>
              <w:start w:w="68" w:type="dxa"/>
              <w:bottom w:w="65" w:type="dxa"/>
              <w:end w:w="68" w:type="dxa"/>
            </w:tcMar>
          </w:tcPr>
          <w:p w14:paraId="68E07431">
            <w:pPr>
              <w:spacing w:after="0" w:line="240" w:lineRule="auto" w:before="0"/>
            </w:pPr>
            <w:r>
              <w:rPr>
                <w:rFonts w:ascii="Times New Roman" w:hAnsi="Times New Roman" w:eastAsia="Times New Roman" w:cs="Times New Roman"/>
                <w:b w:val="0"/>
                <w:sz w:val="15"/>
              </w:rPr>
              <w:t>SCF-01</w:t>
            </w:r>
          </w:p>
        </w:tc>
        <w:tc>
          <w:tcPr>
            <w:tcW w:w="1966" w:type="dxa"/>
            <w:vAlign w:val="center"/>
            <w:tcMar>
              <w:top w:w="65" w:type="dxa"/>
              <w:start w:w="68" w:type="dxa"/>
              <w:bottom w:w="65" w:type="dxa"/>
              <w:end w:w="68" w:type="dxa"/>
            </w:tcMar>
          </w:tcPr>
          <w:p w14:paraId="67A0D3AB">
            <w:pPr>
              <w:spacing w:after="0" w:line="240" w:lineRule="auto" w:before="0"/>
            </w:pPr>
            <w:r>
              <w:rPr>
                <w:rFonts w:ascii="Times New Roman" w:hAnsi="Times New Roman" w:eastAsia="Times New Roman" w:cs="Times New Roman"/>
                <w:b w:val="0"/>
                <w:sz w:val="15"/>
              </w:rPr>
              <w:t>3</w:t>
            </w:r>
          </w:p>
        </w:tc>
        <w:tc>
          <w:tcPr>
            <w:tcW w:w="1966" w:type="dxa"/>
            <w:vAlign w:val="center"/>
            <w:tcMar>
              <w:top w:w="65" w:type="dxa"/>
              <w:start w:w="68" w:type="dxa"/>
              <w:bottom w:w="65" w:type="dxa"/>
              <w:end w:w="68" w:type="dxa"/>
            </w:tcMar>
          </w:tcPr>
          <w:p w14:paraId="091561F6">
            <w:pPr>
              <w:spacing w:after="0" w:line="240" w:lineRule="auto" w:before="0"/>
            </w:pPr>
            <w:r>
              <w:rPr>
                <w:rFonts w:ascii="Times New Roman" w:hAnsi="Times New Roman" w:eastAsia="Times New Roman" w:cs="Times New Roman"/>
                <w:b w:val="0"/>
                <w:sz w:val="15"/>
              </w:rPr>
              <w:t>0</w:t>
            </w:r>
          </w:p>
        </w:tc>
        <w:tc>
          <w:tcPr>
            <w:tcW w:w="1966" w:type="dxa"/>
            <w:vAlign w:val="center"/>
            <w:tcMar>
              <w:top w:w="65" w:type="dxa"/>
              <w:start w:w="68" w:type="dxa"/>
              <w:bottom w:w="65" w:type="dxa"/>
              <w:end w:w="68" w:type="dxa"/>
            </w:tcMar>
          </w:tcPr>
          <w:p w14:paraId="4172336E">
            <w:pPr>
              <w:spacing w:after="0" w:line="240" w:lineRule="auto" w:before="0"/>
            </w:pPr>
            <w:r>
              <w:rPr>
                <w:rFonts w:ascii="Times New Roman" w:hAnsi="Times New Roman" w:eastAsia="Times New Roman" w:cs="Times New Roman"/>
                <w:b w:val="0"/>
                <w:sz w:val="15"/>
              </w:rPr>
              <w:t>0</w:t>
            </w:r>
          </w:p>
        </w:tc>
        <w:tc>
          <w:tcPr>
            <w:tcW w:w="1966" w:type="dxa"/>
            <w:vAlign w:val="center"/>
            <w:tcMar>
              <w:top w:w="65" w:type="dxa"/>
              <w:start w:w="68" w:type="dxa"/>
              <w:bottom w:w="65" w:type="dxa"/>
              <w:end w:w="68" w:type="dxa"/>
            </w:tcMar>
          </w:tcPr>
          <w:p w14:paraId="430AD9E0">
            <w:pPr>
              <w:spacing w:after="0" w:line="240" w:lineRule="auto" w:before="0"/>
            </w:pPr>
            <w:r>
              <w:rPr>
                <w:rFonts w:ascii="Times New Roman" w:hAnsi="Times New Roman" w:eastAsia="Times New Roman" w:cs="Times New Roman"/>
                <w:b w:val="0"/>
                <w:sz w:val="15"/>
              </w:rPr>
              <w:t>0.000</w:t>
            </w:r>
          </w:p>
        </w:tc>
      </w:tr>
      <w:tr w14:paraId="69150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966" w:type="dxa"/>
            <w:vAlign w:val="center"/>
            <w:tcMar>
              <w:top w:w="65" w:type="dxa"/>
              <w:start w:w="68" w:type="dxa"/>
              <w:bottom w:w="65" w:type="dxa"/>
              <w:end w:w="68" w:type="dxa"/>
            </w:tcMar>
          </w:tcPr>
          <w:p w14:paraId="666D99E1">
            <w:pPr>
              <w:spacing w:after="0" w:line="240" w:lineRule="auto" w:before="0"/>
            </w:pPr>
            <w:r>
              <w:rPr>
                <w:rFonts w:ascii="Times New Roman" w:hAnsi="Times New Roman" w:eastAsia="Times New Roman" w:cs="Times New Roman"/>
                <w:b w:val="0"/>
                <w:sz w:val="15"/>
              </w:rPr>
              <w:t>SCF-02</w:t>
            </w:r>
          </w:p>
        </w:tc>
        <w:tc>
          <w:tcPr>
            <w:tcW w:w="1966" w:type="dxa"/>
            <w:vAlign w:val="center"/>
            <w:tcMar>
              <w:top w:w="65" w:type="dxa"/>
              <w:start w:w="68" w:type="dxa"/>
              <w:bottom w:w="65" w:type="dxa"/>
              <w:end w:w="68" w:type="dxa"/>
            </w:tcMar>
          </w:tcPr>
          <w:p w14:paraId="762C180E">
            <w:pPr>
              <w:spacing w:after="0" w:line="240" w:lineRule="auto" w:before="0"/>
            </w:pPr>
            <w:r>
              <w:rPr>
                <w:rFonts w:ascii="Times New Roman" w:hAnsi="Times New Roman" w:eastAsia="Times New Roman" w:cs="Times New Roman"/>
                <w:b w:val="0"/>
                <w:sz w:val="15"/>
              </w:rPr>
              <w:t>46</w:t>
            </w:r>
          </w:p>
        </w:tc>
        <w:tc>
          <w:tcPr>
            <w:tcW w:w="1966" w:type="dxa"/>
            <w:vAlign w:val="center"/>
            <w:tcMar>
              <w:top w:w="65" w:type="dxa"/>
              <w:start w:w="68" w:type="dxa"/>
              <w:bottom w:w="65" w:type="dxa"/>
              <w:end w:w="68" w:type="dxa"/>
            </w:tcMar>
          </w:tcPr>
          <w:p w14:paraId="6C527A9F">
            <w:pPr>
              <w:spacing w:after="0" w:line="240" w:lineRule="auto" w:before="0"/>
            </w:pPr>
            <w:r>
              <w:rPr>
                <w:rFonts w:ascii="Times New Roman" w:hAnsi="Times New Roman" w:eastAsia="Times New Roman" w:cs="Times New Roman"/>
                <w:b w:val="0"/>
                <w:sz w:val="15"/>
              </w:rPr>
              <w:t>7</w:t>
            </w:r>
          </w:p>
        </w:tc>
        <w:tc>
          <w:tcPr>
            <w:tcW w:w="1966" w:type="dxa"/>
            <w:vAlign w:val="center"/>
            <w:tcMar>
              <w:top w:w="65" w:type="dxa"/>
              <w:start w:w="68" w:type="dxa"/>
              <w:bottom w:w="65" w:type="dxa"/>
              <w:end w:w="68" w:type="dxa"/>
            </w:tcMar>
          </w:tcPr>
          <w:p w14:paraId="3039F25C">
            <w:pPr>
              <w:spacing w:after="0" w:line="240" w:lineRule="auto" w:before="0"/>
            </w:pPr>
            <w:r>
              <w:rPr>
                <w:rFonts w:ascii="Times New Roman" w:hAnsi="Times New Roman" w:eastAsia="Times New Roman" w:cs="Times New Roman"/>
                <w:b w:val="0"/>
                <w:sz w:val="15"/>
              </w:rPr>
              <w:t>0</w:t>
            </w:r>
          </w:p>
        </w:tc>
        <w:tc>
          <w:tcPr>
            <w:tcW w:w="1966" w:type="dxa"/>
            <w:vAlign w:val="center"/>
            <w:tcMar>
              <w:top w:w="65" w:type="dxa"/>
              <w:start w:w="68" w:type="dxa"/>
              <w:bottom w:w="65" w:type="dxa"/>
              <w:end w:w="68" w:type="dxa"/>
            </w:tcMar>
          </w:tcPr>
          <w:p w14:paraId="176FAA00">
            <w:pPr>
              <w:spacing w:after="0" w:line="240" w:lineRule="auto" w:before="0"/>
            </w:pPr>
            <w:r>
              <w:rPr>
                <w:rFonts w:ascii="Times New Roman" w:hAnsi="Times New Roman" w:eastAsia="Times New Roman" w:cs="Times New Roman"/>
                <w:b w:val="0"/>
                <w:sz w:val="15"/>
              </w:rPr>
              <w:t>0.457</w:t>
            </w:r>
          </w:p>
        </w:tc>
      </w:tr>
      <w:tr w14:paraId="5C15D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966" w:type="dxa"/>
            <w:vAlign w:val="center"/>
            <w:tcMar>
              <w:top w:w="65" w:type="dxa"/>
              <w:start w:w="68" w:type="dxa"/>
              <w:bottom w:w="65" w:type="dxa"/>
              <w:end w:w="68" w:type="dxa"/>
            </w:tcMar>
          </w:tcPr>
          <w:p w14:paraId="1D0ABEB0">
            <w:pPr>
              <w:spacing w:after="0" w:line="240" w:lineRule="auto" w:before="0"/>
            </w:pPr>
            <w:r>
              <w:rPr>
                <w:rFonts w:ascii="Times New Roman" w:hAnsi="Times New Roman" w:eastAsia="Times New Roman" w:cs="Times New Roman"/>
                <w:b w:val="0"/>
                <w:sz w:val="15"/>
              </w:rPr>
              <w:t>SCF-03</w:t>
            </w:r>
          </w:p>
        </w:tc>
        <w:tc>
          <w:tcPr>
            <w:tcW w:w="1966" w:type="dxa"/>
            <w:vAlign w:val="center"/>
            <w:tcMar>
              <w:top w:w="65" w:type="dxa"/>
              <w:start w:w="68" w:type="dxa"/>
              <w:bottom w:w="65" w:type="dxa"/>
              <w:end w:w="68" w:type="dxa"/>
            </w:tcMar>
          </w:tcPr>
          <w:p w14:paraId="581A7B36">
            <w:pPr>
              <w:spacing w:after="0" w:line="240" w:lineRule="auto" w:before="0"/>
            </w:pPr>
            <w:r>
              <w:rPr>
                <w:rFonts w:ascii="Times New Roman" w:hAnsi="Times New Roman" w:eastAsia="Times New Roman" w:cs="Times New Roman"/>
                <w:b w:val="0"/>
                <w:sz w:val="15"/>
              </w:rPr>
              <w:t>471</w:t>
            </w:r>
          </w:p>
        </w:tc>
        <w:tc>
          <w:tcPr>
            <w:tcW w:w="1966" w:type="dxa"/>
            <w:vAlign w:val="center"/>
            <w:tcMar>
              <w:top w:w="65" w:type="dxa"/>
              <w:start w:w="68" w:type="dxa"/>
              <w:bottom w:w="65" w:type="dxa"/>
              <w:end w:w="68" w:type="dxa"/>
            </w:tcMar>
          </w:tcPr>
          <w:p w14:paraId="15336CAD">
            <w:pPr>
              <w:spacing w:after="0" w:line="240" w:lineRule="auto" w:before="0"/>
            </w:pPr>
            <w:r>
              <w:rPr>
                <w:rFonts w:ascii="Times New Roman" w:hAnsi="Times New Roman" w:eastAsia="Times New Roman" w:cs="Times New Roman"/>
                <w:b w:val="0"/>
                <w:sz w:val="15"/>
              </w:rPr>
              <w:t>124</w:t>
            </w:r>
          </w:p>
        </w:tc>
        <w:tc>
          <w:tcPr>
            <w:tcW w:w="1966" w:type="dxa"/>
            <w:vAlign w:val="center"/>
            <w:tcMar>
              <w:top w:w="65" w:type="dxa"/>
              <w:start w:w="68" w:type="dxa"/>
              <w:bottom w:w="65" w:type="dxa"/>
              <w:end w:w="68" w:type="dxa"/>
            </w:tcMar>
          </w:tcPr>
          <w:p w14:paraId="431E30E1">
            <w:pPr>
              <w:spacing w:after="0" w:line="240" w:lineRule="auto" w:before="0"/>
            </w:pPr>
            <w:r>
              <w:rPr>
                <w:rFonts w:ascii="Times New Roman" w:hAnsi="Times New Roman" w:eastAsia="Times New Roman" w:cs="Times New Roman"/>
                <w:b w:val="0"/>
                <w:sz w:val="15"/>
              </w:rPr>
              <w:t>21</w:t>
            </w:r>
          </w:p>
        </w:tc>
        <w:tc>
          <w:tcPr>
            <w:tcW w:w="1966" w:type="dxa"/>
            <w:vAlign w:val="center"/>
            <w:tcMar>
              <w:top w:w="65" w:type="dxa"/>
              <w:start w:w="68" w:type="dxa"/>
              <w:bottom w:w="65" w:type="dxa"/>
              <w:end w:w="68" w:type="dxa"/>
            </w:tcMar>
          </w:tcPr>
          <w:p w14:paraId="5A20F8E4">
            <w:pPr>
              <w:spacing w:after="0" w:line="240" w:lineRule="auto" w:before="0"/>
            </w:pPr>
            <w:r>
              <w:rPr>
                <w:rFonts w:ascii="Times New Roman" w:hAnsi="Times New Roman" w:eastAsia="Times New Roman" w:cs="Times New Roman"/>
                <w:b w:val="0"/>
                <w:sz w:val="15"/>
              </w:rPr>
              <w:t>0.834</w:t>
            </w:r>
          </w:p>
        </w:tc>
      </w:tr>
      <w:tr w14:paraId="5F741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966" w:type="dxa"/>
            <w:vAlign w:val="center"/>
            <w:tcMar>
              <w:top w:w="65" w:type="dxa"/>
              <w:start w:w="68" w:type="dxa"/>
              <w:bottom w:w="65" w:type="dxa"/>
              <w:end w:w="68" w:type="dxa"/>
            </w:tcMar>
          </w:tcPr>
          <w:p w14:paraId="79947D84">
            <w:pPr>
              <w:spacing w:after="0" w:line="240" w:lineRule="auto" w:before="0"/>
            </w:pPr>
            <w:r>
              <w:rPr>
                <w:rFonts w:ascii="Times New Roman" w:hAnsi="Times New Roman" w:eastAsia="Times New Roman" w:cs="Times New Roman"/>
                <w:b w:val="0"/>
                <w:sz w:val="15"/>
              </w:rPr>
              <w:t>SCF-04</w:t>
            </w:r>
          </w:p>
        </w:tc>
        <w:tc>
          <w:tcPr>
            <w:tcW w:w="1966" w:type="dxa"/>
            <w:vAlign w:val="center"/>
            <w:tcMar>
              <w:top w:w="65" w:type="dxa"/>
              <w:start w:w="68" w:type="dxa"/>
              <w:bottom w:w="65" w:type="dxa"/>
              <w:end w:w="68" w:type="dxa"/>
            </w:tcMar>
          </w:tcPr>
          <w:p w14:paraId="550DD76D">
            <w:pPr>
              <w:spacing w:after="0" w:line="240" w:lineRule="auto" w:before="0"/>
            </w:pPr>
            <w:r>
              <w:rPr>
                <w:rFonts w:ascii="Times New Roman" w:hAnsi="Times New Roman" w:eastAsia="Times New Roman" w:cs="Times New Roman"/>
                <w:b w:val="0"/>
                <w:sz w:val="15"/>
              </w:rPr>
              <w:t>394</w:t>
            </w:r>
          </w:p>
        </w:tc>
        <w:tc>
          <w:tcPr>
            <w:tcW w:w="1966" w:type="dxa"/>
            <w:vAlign w:val="center"/>
            <w:tcMar>
              <w:top w:w="65" w:type="dxa"/>
              <w:start w:w="68" w:type="dxa"/>
              <w:bottom w:w="65" w:type="dxa"/>
              <w:end w:w="68" w:type="dxa"/>
            </w:tcMar>
          </w:tcPr>
          <w:p w14:paraId="57754484">
            <w:pPr>
              <w:spacing w:after="0" w:line="240" w:lineRule="auto" w:before="0"/>
            </w:pPr>
            <w:r>
              <w:rPr>
                <w:rFonts w:ascii="Times New Roman" w:hAnsi="Times New Roman" w:eastAsia="Times New Roman" w:cs="Times New Roman"/>
                <w:b w:val="0"/>
                <w:sz w:val="15"/>
              </w:rPr>
              <w:t>94</w:t>
            </w:r>
          </w:p>
        </w:tc>
        <w:tc>
          <w:tcPr>
            <w:tcW w:w="1966" w:type="dxa"/>
            <w:vAlign w:val="center"/>
            <w:tcMar>
              <w:top w:w="65" w:type="dxa"/>
              <w:start w:w="68" w:type="dxa"/>
              <w:bottom w:w="65" w:type="dxa"/>
              <w:end w:w="68" w:type="dxa"/>
            </w:tcMar>
          </w:tcPr>
          <w:p w14:paraId="5C2DA2F3">
            <w:pPr>
              <w:spacing w:after="0" w:line="240" w:lineRule="auto" w:before="0"/>
            </w:pPr>
            <w:r>
              <w:rPr>
                <w:rFonts w:ascii="Times New Roman" w:hAnsi="Times New Roman" w:eastAsia="Times New Roman" w:cs="Times New Roman"/>
                <w:b w:val="0"/>
                <w:sz w:val="15"/>
              </w:rPr>
              <w:t>36</w:t>
            </w:r>
          </w:p>
        </w:tc>
        <w:tc>
          <w:tcPr>
            <w:tcW w:w="1966" w:type="dxa"/>
            <w:vAlign w:val="center"/>
            <w:tcMar>
              <w:top w:w="65" w:type="dxa"/>
              <w:start w:w="68" w:type="dxa"/>
              <w:bottom w:w="65" w:type="dxa"/>
              <w:end w:w="68" w:type="dxa"/>
            </w:tcMar>
          </w:tcPr>
          <w:p w14:paraId="1B87FB60">
            <w:pPr>
              <w:spacing w:after="0" w:line="240" w:lineRule="auto" w:before="0"/>
            </w:pPr>
            <w:r>
              <w:rPr>
                <w:rFonts w:ascii="Times New Roman" w:hAnsi="Times New Roman" w:eastAsia="Times New Roman" w:cs="Times New Roman"/>
                <w:b w:val="0"/>
                <w:sz w:val="15"/>
              </w:rPr>
              <w:t>0.807</w:t>
            </w:r>
          </w:p>
        </w:tc>
      </w:tr>
      <w:tr w14:paraId="434C1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966" w:type="dxa"/>
            <w:vAlign w:val="center"/>
            <w:tcMar>
              <w:top w:w="65" w:type="dxa"/>
              <w:start w:w="68" w:type="dxa"/>
              <w:bottom w:w="65" w:type="dxa"/>
              <w:end w:w="68" w:type="dxa"/>
            </w:tcMar>
          </w:tcPr>
          <w:p w14:paraId="54D32762">
            <w:pPr>
              <w:spacing w:after="0" w:line="240" w:lineRule="auto" w:before="0"/>
            </w:pPr>
            <w:r>
              <w:rPr>
                <w:rFonts w:ascii="Times New Roman" w:hAnsi="Times New Roman" w:eastAsia="Times New Roman" w:cs="Times New Roman"/>
                <w:b w:val="0"/>
                <w:sz w:val="15"/>
              </w:rPr>
              <w:t>SCF-05</w:t>
            </w:r>
          </w:p>
        </w:tc>
        <w:tc>
          <w:tcPr>
            <w:tcW w:w="1966" w:type="dxa"/>
            <w:vAlign w:val="center"/>
            <w:tcMar>
              <w:top w:w="65" w:type="dxa"/>
              <w:start w:w="68" w:type="dxa"/>
              <w:bottom w:w="65" w:type="dxa"/>
              <w:end w:w="68" w:type="dxa"/>
            </w:tcMar>
          </w:tcPr>
          <w:p w14:paraId="1D618DFA">
            <w:pPr>
              <w:spacing w:after="0" w:line="240" w:lineRule="auto" w:before="0"/>
            </w:pPr>
            <w:r>
              <w:rPr>
                <w:rFonts w:ascii="Times New Roman" w:hAnsi="Times New Roman" w:eastAsia="Times New Roman" w:cs="Times New Roman"/>
                <w:b w:val="0"/>
                <w:sz w:val="15"/>
              </w:rPr>
              <w:t>4</w:t>
            </w:r>
          </w:p>
        </w:tc>
        <w:tc>
          <w:tcPr>
            <w:tcW w:w="1966" w:type="dxa"/>
            <w:vAlign w:val="center"/>
            <w:tcMar>
              <w:top w:w="65" w:type="dxa"/>
              <w:start w:w="68" w:type="dxa"/>
              <w:bottom w:w="65" w:type="dxa"/>
              <w:end w:w="68" w:type="dxa"/>
            </w:tcMar>
          </w:tcPr>
          <w:p w14:paraId="011E6FDF">
            <w:pPr>
              <w:spacing w:after="0" w:line="240" w:lineRule="auto" w:before="0"/>
            </w:pPr>
            <w:r>
              <w:rPr>
                <w:rFonts w:ascii="Times New Roman" w:hAnsi="Times New Roman" w:eastAsia="Times New Roman" w:cs="Times New Roman"/>
                <w:b w:val="0"/>
                <w:sz w:val="15"/>
              </w:rPr>
              <w:t>0</w:t>
            </w:r>
          </w:p>
        </w:tc>
        <w:tc>
          <w:tcPr>
            <w:tcW w:w="1966" w:type="dxa"/>
            <w:vAlign w:val="center"/>
            <w:tcMar>
              <w:top w:w="65" w:type="dxa"/>
              <w:start w:w="68" w:type="dxa"/>
              <w:bottom w:w="65" w:type="dxa"/>
              <w:end w:w="68" w:type="dxa"/>
            </w:tcMar>
          </w:tcPr>
          <w:p w14:paraId="74B5CDD0">
            <w:pPr>
              <w:spacing w:after="0" w:line="240" w:lineRule="auto" w:before="0"/>
            </w:pPr>
            <w:r>
              <w:rPr>
                <w:rFonts w:ascii="Times New Roman" w:hAnsi="Times New Roman" w:eastAsia="Times New Roman" w:cs="Times New Roman"/>
                <w:b w:val="0"/>
                <w:sz w:val="15"/>
              </w:rPr>
              <w:t>0</w:t>
            </w:r>
          </w:p>
        </w:tc>
        <w:tc>
          <w:tcPr>
            <w:tcW w:w="1966" w:type="dxa"/>
            <w:vAlign w:val="center"/>
            <w:tcMar>
              <w:top w:w="65" w:type="dxa"/>
              <w:start w:w="68" w:type="dxa"/>
              <w:bottom w:w="65" w:type="dxa"/>
              <w:end w:w="68" w:type="dxa"/>
            </w:tcMar>
          </w:tcPr>
          <w:p w14:paraId="765B0A7E">
            <w:pPr>
              <w:spacing w:after="0" w:line="240" w:lineRule="auto" w:before="0"/>
            </w:pPr>
            <w:r>
              <w:rPr>
                <w:rFonts w:ascii="Times New Roman" w:hAnsi="Times New Roman" w:eastAsia="Times New Roman" w:cs="Times New Roman"/>
                <w:b w:val="0"/>
                <w:sz w:val="15"/>
              </w:rPr>
              <w:t>0.000</w:t>
            </w:r>
          </w:p>
        </w:tc>
      </w:tr>
      <w:tr w14:paraId="27F71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966" w:type="dxa"/>
            <w:vAlign w:val="center"/>
            <w:tcMar>
              <w:top w:w="65" w:type="dxa"/>
              <w:start w:w="68" w:type="dxa"/>
              <w:bottom w:w="65" w:type="dxa"/>
              <w:end w:w="68" w:type="dxa"/>
            </w:tcMar>
          </w:tcPr>
          <w:p w14:paraId="13224182">
            <w:pPr>
              <w:spacing w:after="0" w:line="240" w:lineRule="auto" w:before="0"/>
            </w:pPr>
            <w:r>
              <w:rPr>
                <w:rFonts w:ascii="Times New Roman" w:hAnsi="Times New Roman" w:eastAsia="Times New Roman" w:cs="Times New Roman"/>
                <w:b w:val="0"/>
                <w:sz w:val="15"/>
              </w:rPr>
              <w:t>SCF-06</w:t>
            </w:r>
          </w:p>
        </w:tc>
        <w:tc>
          <w:tcPr>
            <w:tcW w:w="1966" w:type="dxa"/>
            <w:vAlign w:val="center"/>
            <w:tcMar>
              <w:top w:w="65" w:type="dxa"/>
              <w:start w:w="68" w:type="dxa"/>
              <w:bottom w:w="65" w:type="dxa"/>
              <w:end w:w="68" w:type="dxa"/>
            </w:tcMar>
          </w:tcPr>
          <w:p w14:paraId="10E2DC46">
            <w:pPr>
              <w:spacing w:after="0" w:line="240" w:lineRule="auto" w:before="0"/>
            </w:pPr>
            <w:r>
              <w:rPr>
                <w:rFonts w:ascii="Times New Roman" w:hAnsi="Times New Roman" w:eastAsia="Times New Roman" w:cs="Times New Roman"/>
                <w:b w:val="0"/>
                <w:sz w:val="15"/>
              </w:rPr>
              <w:t>3</w:t>
            </w:r>
          </w:p>
        </w:tc>
        <w:tc>
          <w:tcPr>
            <w:tcW w:w="1966" w:type="dxa"/>
            <w:vAlign w:val="center"/>
            <w:tcMar>
              <w:top w:w="65" w:type="dxa"/>
              <w:start w:w="68" w:type="dxa"/>
              <w:bottom w:w="65" w:type="dxa"/>
              <w:end w:w="68" w:type="dxa"/>
            </w:tcMar>
          </w:tcPr>
          <w:p w14:paraId="41B2E430">
            <w:pPr>
              <w:spacing w:after="0" w:line="240" w:lineRule="auto" w:before="0"/>
            </w:pPr>
            <w:r>
              <w:rPr>
                <w:rFonts w:ascii="Times New Roman" w:hAnsi="Times New Roman" w:eastAsia="Times New Roman" w:cs="Times New Roman"/>
                <w:b w:val="0"/>
                <w:sz w:val="15"/>
              </w:rPr>
              <w:t>0</w:t>
            </w:r>
          </w:p>
        </w:tc>
        <w:tc>
          <w:tcPr>
            <w:tcW w:w="1966" w:type="dxa"/>
            <w:vAlign w:val="center"/>
            <w:tcMar>
              <w:top w:w="65" w:type="dxa"/>
              <w:start w:w="68" w:type="dxa"/>
              <w:bottom w:w="65" w:type="dxa"/>
              <w:end w:w="68" w:type="dxa"/>
            </w:tcMar>
          </w:tcPr>
          <w:p w14:paraId="0F8E6CAF">
            <w:pPr>
              <w:spacing w:after="0" w:line="240" w:lineRule="auto" w:before="0"/>
            </w:pPr>
            <w:r>
              <w:rPr>
                <w:rFonts w:ascii="Times New Roman" w:hAnsi="Times New Roman" w:eastAsia="Times New Roman" w:cs="Times New Roman"/>
                <w:b w:val="0"/>
                <w:sz w:val="15"/>
              </w:rPr>
              <w:t>1</w:t>
            </w:r>
          </w:p>
        </w:tc>
        <w:tc>
          <w:tcPr>
            <w:tcW w:w="1966" w:type="dxa"/>
            <w:vAlign w:val="center"/>
            <w:tcMar>
              <w:top w:w="65" w:type="dxa"/>
              <w:start w:w="68" w:type="dxa"/>
              <w:bottom w:w="65" w:type="dxa"/>
              <w:end w:w="68" w:type="dxa"/>
            </w:tcMar>
          </w:tcPr>
          <w:p w14:paraId="1E76788E">
            <w:pPr>
              <w:spacing w:after="0" w:line="240" w:lineRule="auto" w:before="0"/>
            </w:pPr>
            <w:r>
              <w:rPr>
                <w:rFonts w:ascii="Times New Roman" w:hAnsi="Times New Roman" w:eastAsia="Times New Roman" w:cs="Times New Roman"/>
                <w:b w:val="0"/>
                <w:sz w:val="15"/>
              </w:rPr>
              <w:t>0.333</w:t>
            </w:r>
          </w:p>
        </w:tc>
      </w:tr>
      <w:tr w14:paraId="65928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966" w:type="dxa"/>
            <w:vAlign w:val="center"/>
            <w:tcMar>
              <w:top w:w="65" w:type="dxa"/>
              <w:start w:w="68" w:type="dxa"/>
              <w:bottom w:w="65" w:type="dxa"/>
              <w:end w:w="68" w:type="dxa"/>
            </w:tcMar>
          </w:tcPr>
          <w:p w14:paraId="6136F696">
            <w:pPr>
              <w:spacing w:after="0" w:line="240" w:lineRule="auto" w:before="0"/>
            </w:pPr>
            <w:r>
              <w:rPr>
                <w:rFonts w:ascii="Times New Roman" w:hAnsi="Times New Roman" w:eastAsia="Times New Roman" w:cs="Times New Roman"/>
                <w:b w:val="0"/>
                <w:sz w:val="15"/>
              </w:rPr>
              <w:t>SCF-07</w:t>
            </w:r>
          </w:p>
        </w:tc>
        <w:tc>
          <w:tcPr>
            <w:tcW w:w="1966" w:type="dxa"/>
            <w:vAlign w:val="center"/>
            <w:tcMar>
              <w:top w:w="65" w:type="dxa"/>
              <w:start w:w="68" w:type="dxa"/>
              <w:bottom w:w="65" w:type="dxa"/>
              <w:end w:w="68" w:type="dxa"/>
            </w:tcMar>
          </w:tcPr>
          <w:p w14:paraId="0B171508">
            <w:pPr>
              <w:spacing w:after="0" w:line="240" w:lineRule="auto" w:before="0"/>
            </w:pPr>
            <w:r>
              <w:rPr>
                <w:rFonts w:ascii="Times New Roman" w:hAnsi="Times New Roman" w:eastAsia="Times New Roman" w:cs="Times New Roman"/>
                <w:b w:val="0"/>
                <w:sz w:val="15"/>
              </w:rPr>
              <w:t>1</w:t>
            </w:r>
          </w:p>
        </w:tc>
        <w:tc>
          <w:tcPr>
            <w:tcW w:w="1966" w:type="dxa"/>
            <w:vAlign w:val="center"/>
            <w:tcMar>
              <w:top w:w="65" w:type="dxa"/>
              <w:start w:w="68" w:type="dxa"/>
              <w:bottom w:w="65" w:type="dxa"/>
              <w:end w:w="68" w:type="dxa"/>
            </w:tcMar>
          </w:tcPr>
          <w:p w14:paraId="2CBDD9EE">
            <w:pPr>
              <w:spacing w:after="0" w:line="240" w:lineRule="auto" w:before="0"/>
            </w:pPr>
            <w:r>
              <w:rPr>
                <w:rFonts w:ascii="Times New Roman" w:hAnsi="Times New Roman" w:eastAsia="Times New Roman" w:cs="Times New Roman"/>
                <w:b w:val="0"/>
                <w:sz w:val="15"/>
              </w:rPr>
              <w:t>0</w:t>
            </w:r>
          </w:p>
        </w:tc>
        <w:tc>
          <w:tcPr>
            <w:tcW w:w="1966" w:type="dxa"/>
            <w:vAlign w:val="center"/>
            <w:tcMar>
              <w:top w:w="65" w:type="dxa"/>
              <w:start w:w="68" w:type="dxa"/>
              <w:bottom w:w="65" w:type="dxa"/>
              <w:end w:w="68" w:type="dxa"/>
            </w:tcMar>
          </w:tcPr>
          <w:p w14:paraId="6C33FA0D">
            <w:pPr>
              <w:spacing w:after="0" w:line="240" w:lineRule="auto" w:before="0"/>
            </w:pPr>
            <w:r>
              <w:rPr>
                <w:rFonts w:ascii="Times New Roman" w:hAnsi="Times New Roman" w:eastAsia="Times New Roman" w:cs="Times New Roman"/>
                <w:b w:val="0"/>
                <w:sz w:val="15"/>
              </w:rPr>
              <w:t>0</w:t>
            </w:r>
          </w:p>
        </w:tc>
        <w:tc>
          <w:tcPr>
            <w:tcW w:w="1966" w:type="dxa"/>
            <w:vAlign w:val="center"/>
            <w:tcMar>
              <w:top w:w="65" w:type="dxa"/>
              <w:start w:w="68" w:type="dxa"/>
              <w:bottom w:w="65" w:type="dxa"/>
              <w:end w:w="68" w:type="dxa"/>
            </w:tcMar>
          </w:tcPr>
          <w:p w14:paraId="083395C6">
            <w:pPr>
              <w:spacing w:after="0" w:line="240" w:lineRule="auto" w:before="0"/>
            </w:pPr>
            <w:r>
              <w:rPr>
                <w:rFonts w:ascii="Times New Roman" w:hAnsi="Times New Roman" w:eastAsia="Times New Roman" w:cs="Times New Roman"/>
                <w:b w:val="0"/>
                <w:sz w:val="15"/>
              </w:rPr>
              <w:t>0.000</w:t>
            </w:r>
          </w:p>
        </w:tc>
      </w:tr>
      <w:tr w14:paraId="4013A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966" w:type="dxa"/>
            <w:vAlign w:val="center"/>
            <w:tcMar>
              <w:top w:w="65" w:type="dxa"/>
              <w:start w:w="68" w:type="dxa"/>
              <w:bottom w:w="65" w:type="dxa"/>
              <w:end w:w="68" w:type="dxa"/>
            </w:tcMar>
          </w:tcPr>
          <w:p w14:paraId="35551C60">
            <w:pPr>
              <w:spacing w:after="0" w:line="240" w:lineRule="auto" w:before="0"/>
            </w:pPr>
            <w:r>
              <w:rPr>
                <w:rFonts w:ascii="Times New Roman" w:hAnsi="Times New Roman" w:eastAsia="Times New Roman" w:cs="Times New Roman"/>
                <w:b w:val="0"/>
                <w:sz w:val="15"/>
              </w:rPr>
              <w:t>OVR-01</w:t>
            </w:r>
          </w:p>
        </w:tc>
        <w:tc>
          <w:tcPr>
            <w:tcW w:w="1966" w:type="dxa"/>
            <w:vAlign w:val="center"/>
            <w:tcMar>
              <w:top w:w="65" w:type="dxa"/>
              <w:start w:w="68" w:type="dxa"/>
              <w:bottom w:w="65" w:type="dxa"/>
              <w:end w:w="68" w:type="dxa"/>
            </w:tcMar>
          </w:tcPr>
          <w:p w14:paraId="0315A30A">
            <w:pPr>
              <w:spacing w:after="0" w:line="240" w:lineRule="auto" w:before="0"/>
            </w:pPr>
            <w:r>
              <w:rPr>
                <w:rFonts w:ascii="Times New Roman" w:hAnsi="Times New Roman" w:eastAsia="Times New Roman" w:cs="Times New Roman"/>
                <w:b w:val="0"/>
                <w:sz w:val="15"/>
              </w:rPr>
              <w:t>30</w:t>
            </w:r>
          </w:p>
        </w:tc>
        <w:tc>
          <w:tcPr>
            <w:tcW w:w="1966" w:type="dxa"/>
            <w:vAlign w:val="center"/>
            <w:tcMar>
              <w:top w:w="65" w:type="dxa"/>
              <w:start w:w="68" w:type="dxa"/>
              <w:bottom w:w="65" w:type="dxa"/>
              <w:end w:w="68" w:type="dxa"/>
            </w:tcMar>
          </w:tcPr>
          <w:p w14:paraId="031DC4AF">
            <w:pPr>
              <w:spacing w:after="0" w:line="240" w:lineRule="auto" w:before="0"/>
            </w:pPr>
            <w:r>
              <w:rPr>
                <w:rFonts w:ascii="Times New Roman" w:hAnsi="Times New Roman" w:eastAsia="Times New Roman" w:cs="Times New Roman"/>
                <w:b w:val="0"/>
                <w:sz w:val="15"/>
              </w:rPr>
              <w:t>3</w:t>
            </w:r>
          </w:p>
        </w:tc>
        <w:tc>
          <w:tcPr>
            <w:tcW w:w="1966" w:type="dxa"/>
            <w:vAlign w:val="center"/>
            <w:tcMar>
              <w:top w:w="65" w:type="dxa"/>
              <w:start w:w="68" w:type="dxa"/>
              <w:bottom w:w="65" w:type="dxa"/>
              <w:end w:w="68" w:type="dxa"/>
            </w:tcMar>
          </w:tcPr>
          <w:p w14:paraId="42A45CE6">
            <w:pPr>
              <w:spacing w:after="0" w:line="240" w:lineRule="auto" w:before="0"/>
            </w:pPr>
            <w:r>
              <w:rPr>
                <w:rFonts w:ascii="Times New Roman" w:hAnsi="Times New Roman" w:eastAsia="Times New Roman" w:cs="Times New Roman"/>
                <w:b w:val="0"/>
                <w:sz w:val="15"/>
              </w:rPr>
              <w:t>2</w:t>
            </w:r>
          </w:p>
        </w:tc>
        <w:tc>
          <w:tcPr>
            <w:tcW w:w="1966" w:type="dxa"/>
            <w:vAlign w:val="center"/>
            <w:tcMar>
              <w:top w:w="65" w:type="dxa"/>
              <w:start w:w="68" w:type="dxa"/>
              <w:bottom w:w="65" w:type="dxa"/>
              <w:end w:w="68" w:type="dxa"/>
            </w:tcMar>
          </w:tcPr>
          <w:p w14:paraId="1318D045">
            <w:pPr>
              <w:spacing w:after="0" w:line="240" w:lineRule="auto" w:before="0"/>
            </w:pPr>
            <w:r>
              <w:rPr>
                <w:rFonts w:ascii="Times New Roman" w:hAnsi="Times New Roman" w:eastAsia="Times New Roman" w:cs="Times New Roman"/>
                <w:b w:val="0"/>
                <w:sz w:val="15"/>
              </w:rPr>
              <w:t>0.367</w:t>
            </w:r>
          </w:p>
        </w:tc>
      </w:tr>
      <w:tr w14:paraId="2FCCD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966" w:type="dxa"/>
            <w:vAlign w:val="center"/>
            <w:tcMar>
              <w:top w:w="65" w:type="dxa"/>
              <w:start w:w="68" w:type="dxa"/>
              <w:bottom w:w="65" w:type="dxa"/>
              <w:end w:w="68" w:type="dxa"/>
            </w:tcMar>
          </w:tcPr>
          <w:p w14:paraId="3AD41BC9">
            <w:pPr>
              <w:spacing w:after="0" w:line="240" w:lineRule="auto" w:before="0"/>
            </w:pPr>
            <w:r>
              <w:rPr>
                <w:rFonts w:ascii="Times New Roman" w:hAnsi="Times New Roman" w:eastAsia="Times New Roman" w:cs="Times New Roman"/>
                <w:b w:val="0"/>
                <w:sz w:val="15"/>
              </w:rPr>
              <w:t>OVR-02</w:t>
            </w:r>
          </w:p>
        </w:tc>
        <w:tc>
          <w:tcPr>
            <w:tcW w:w="1966" w:type="dxa"/>
            <w:vAlign w:val="center"/>
            <w:tcMar>
              <w:top w:w="65" w:type="dxa"/>
              <w:start w:w="68" w:type="dxa"/>
              <w:bottom w:w="65" w:type="dxa"/>
              <w:end w:w="68" w:type="dxa"/>
            </w:tcMar>
          </w:tcPr>
          <w:p w14:paraId="4467B1C8">
            <w:pPr>
              <w:spacing w:after="0" w:line="240" w:lineRule="auto" w:before="0"/>
            </w:pPr>
            <w:r>
              <w:rPr>
                <w:rFonts w:ascii="Times New Roman" w:hAnsi="Times New Roman" w:eastAsia="Times New Roman" w:cs="Times New Roman"/>
                <w:b w:val="0"/>
                <w:sz w:val="15"/>
              </w:rPr>
              <w:t>197</w:t>
            </w:r>
          </w:p>
        </w:tc>
        <w:tc>
          <w:tcPr>
            <w:tcW w:w="1966" w:type="dxa"/>
            <w:vAlign w:val="center"/>
            <w:tcMar>
              <w:top w:w="65" w:type="dxa"/>
              <w:start w:w="68" w:type="dxa"/>
              <w:bottom w:w="65" w:type="dxa"/>
              <w:end w:w="68" w:type="dxa"/>
            </w:tcMar>
          </w:tcPr>
          <w:p w14:paraId="070F4C8B">
            <w:pPr>
              <w:spacing w:after="0" w:line="240" w:lineRule="auto" w:before="0"/>
            </w:pPr>
            <w:r>
              <w:rPr>
                <w:rFonts w:ascii="Times New Roman" w:hAnsi="Times New Roman" w:eastAsia="Times New Roman" w:cs="Times New Roman"/>
                <w:b w:val="0"/>
                <w:sz w:val="15"/>
              </w:rPr>
              <w:t>41</w:t>
            </w:r>
          </w:p>
        </w:tc>
        <w:tc>
          <w:tcPr>
            <w:tcW w:w="1966" w:type="dxa"/>
            <w:vAlign w:val="center"/>
            <w:tcMar>
              <w:top w:w="65" w:type="dxa"/>
              <w:start w:w="68" w:type="dxa"/>
              <w:bottom w:w="65" w:type="dxa"/>
              <w:end w:w="68" w:type="dxa"/>
            </w:tcMar>
          </w:tcPr>
          <w:p w14:paraId="2B5B8388">
            <w:pPr>
              <w:spacing w:after="0" w:line="240" w:lineRule="auto" w:before="0"/>
            </w:pPr>
            <w:r>
              <w:rPr>
                <w:rFonts w:ascii="Times New Roman" w:hAnsi="Times New Roman" w:eastAsia="Times New Roman" w:cs="Times New Roman"/>
                <w:b w:val="0"/>
                <w:sz w:val="15"/>
              </w:rPr>
              <w:t>11</w:t>
            </w:r>
          </w:p>
        </w:tc>
        <w:tc>
          <w:tcPr>
            <w:tcW w:w="1966" w:type="dxa"/>
            <w:vAlign w:val="center"/>
            <w:tcMar>
              <w:top w:w="65" w:type="dxa"/>
              <w:start w:w="68" w:type="dxa"/>
              <w:bottom w:w="65" w:type="dxa"/>
              <w:end w:w="68" w:type="dxa"/>
            </w:tcMar>
          </w:tcPr>
          <w:p w14:paraId="1F77FD07">
            <w:pPr>
              <w:spacing w:after="0" w:line="240" w:lineRule="auto" w:before="0"/>
            </w:pPr>
            <w:r>
              <w:rPr>
                <w:rFonts w:ascii="Times New Roman" w:hAnsi="Times New Roman" w:eastAsia="Times New Roman" w:cs="Times New Roman"/>
                <w:b w:val="0"/>
                <w:sz w:val="15"/>
              </w:rPr>
              <w:t>0.680</w:t>
            </w:r>
          </w:p>
        </w:tc>
      </w:tr>
      <w:tr w14:paraId="508E1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966" w:type="dxa"/>
            <w:vAlign w:val="center"/>
            <w:tcMar>
              <w:top w:w="65" w:type="dxa"/>
              <w:start w:w="68" w:type="dxa"/>
              <w:bottom w:w="65" w:type="dxa"/>
              <w:end w:w="68" w:type="dxa"/>
            </w:tcMar>
          </w:tcPr>
          <w:p w14:paraId="643431B1">
            <w:pPr>
              <w:spacing w:after="0" w:line="240" w:lineRule="auto" w:before="0"/>
            </w:pPr>
            <w:r>
              <w:rPr>
                <w:rFonts w:ascii="Times New Roman" w:hAnsi="Times New Roman" w:eastAsia="Times New Roman" w:cs="Times New Roman"/>
                <w:b w:val="0"/>
                <w:sz w:val="15"/>
              </w:rPr>
              <w:t>OVR-03</w:t>
            </w:r>
          </w:p>
        </w:tc>
        <w:tc>
          <w:tcPr>
            <w:tcW w:w="1966" w:type="dxa"/>
            <w:vAlign w:val="center"/>
            <w:tcMar>
              <w:top w:w="65" w:type="dxa"/>
              <w:start w:w="68" w:type="dxa"/>
              <w:bottom w:w="65" w:type="dxa"/>
              <w:end w:w="68" w:type="dxa"/>
            </w:tcMar>
          </w:tcPr>
          <w:p w14:paraId="751DF559">
            <w:pPr>
              <w:spacing w:after="0" w:line="240" w:lineRule="auto" w:before="0"/>
            </w:pPr>
            <w:r>
              <w:rPr>
                <w:rFonts w:ascii="Times New Roman" w:hAnsi="Times New Roman" w:eastAsia="Times New Roman" w:cs="Times New Roman"/>
                <w:b w:val="0"/>
                <w:sz w:val="15"/>
              </w:rPr>
              <w:t>60</w:t>
            </w:r>
          </w:p>
        </w:tc>
        <w:tc>
          <w:tcPr>
            <w:tcW w:w="1966" w:type="dxa"/>
            <w:vAlign w:val="center"/>
            <w:tcMar>
              <w:top w:w="65" w:type="dxa"/>
              <w:start w:w="68" w:type="dxa"/>
              <w:bottom w:w="65" w:type="dxa"/>
              <w:end w:w="68" w:type="dxa"/>
            </w:tcMar>
          </w:tcPr>
          <w:p w14:paraId="6E8B47CC">
            <w:pPr>
              <w:spacing w:after="0" w:line="240" w:lineRule="auto" w:before="0"/>
            </w:pPr>
            <w:r>
              <w:rPr>
                <w:rFonts w:ascii="Times New Roman" w:hAnsi="Times New Roman" w:eastAsia="Times New Roman" w:cs="Times New Roman"/>
                <w:b w:val="0"/>
                <w:sz w:val="15"/>
              </w:rPr>
              <w:t>11</w:t>
            </w:r>
          </w:p>
        </w:tc>
        <w:tc>
          <w:tcPr>
            <w:tcW w:w="1966" w:type="dxa"/>
            <w:vAlign w:val="center"/>
            <w:tcMar>
              <w:top w:w="65" w:type="dxa"/>
              <w:start w:w="68" w:type="dxa"/>
              <w:bottom w:w="65" w:type="dxa"/>
              <w:end w:w="68" w:type="dxa"/>
            </w:tcMar>
          </w:tcPr>
          <w:p w14:paraId="28B23F02">
            <w:pPr>
              <w:spacing w:after="0" w:line="240" w:lineRule="auto" w:before="0"/>
            </w:pPr>
            <w:r>
              <w:rPr>
                <w:rFonts w:ascii="Times New Roman" w:hAnsi="Times New Roman" w:eastAsia="Times New Roman" w:cs="Times New Roman"/>
                <w:b w:val="0"/>
                <w:sz w:val="15"/>
              </w:rPr>
              <w:t>4</w:t>
            </w:r>
          </w:p>
        </w:tc>
        <w:tc>
          <w:tcPr>
            <w:tcW w:w="1966" w:type="dxa"/>
            <w:vAlign w:val="center"/>
            <w:tcMar>
              <w:top w:w="65" w:type="dxa"/>
              <w:start w:w="68" w:type="dxa"/>
              <w:bottom w:w="65" w:type="dxa"/>
              <w:end w:w="68" w:type="dxa"/>
            </w:tcMar>
          </w:tcPr>
          <w:p w14:paraId="4ADD9A3A">
            <w:pPr>
              <w:spacing w:after="0" w:line="240" w:lineRule="auto" w:before="0"/>
            </w:pPr>
            <w:r>
              <w:rPr>
                <w:rFonts w:ascii="Times New Roman" w:hAnsi="Times New Roman" w:eastAsia="Times New Roman" w:cs="Times New Roman"/>
                <w:b w:val="0"/>
                <w:sz w:val="15"/>
              </w:rPr>
              <w:t>0.617</w:t>
            </w:r>
          </w:p>
        </w:tc>
      </w:tr>
      <w:tr w14:paraId="19454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966" w:type="dxa"/>
            <w:vAlign w:val="center"/>
            <w:tcMar>
              <w:top w:w="65" w:type="dxa"/>
              <w:start w:w="68" w:type="dxa"/>
              <w:bottom w:w="65" w:type="dxa"/>
              <w:end w:w="68" w:type="dxa"/>
            </w:tcMar>
          </w:tcPr>
          <w:p w14:paraId="13D28CD1">
            <w:pPr>
              <w:spacing w:after="0" w:line="240" w:lineRule="auto" w:before="0"/>
            </w:pPr>
            <w:r>
              <w:rPr>
                <w:rFonts w:ascii="Times New Roman" w:hAnsi="Times New Roman" w:eastAsia="Times New Roman" w:cs="Times New Roman"/>
                <w:b w:val="0"/>
                <w:sz w:val="15"/>
              </w:rPr>
              <w:t>OVR-04</w:t>
            </w:r>
          </w:p>
        </w:tc>
        <w:tc>
          <w:tcPr>
            <w:tcW w:w="1966" w:type="dxa"/>
            <w:vAlign w:val="center"/>
            <w:tcMar>
              <w:top w:w="65" w:type="dxa"/>
              <w:start w:w="68" w:type="dxa"/>
              <w:bottom w:w="65" w:type="dxa"/>
              <w:end w:w="68" w:type="dxa"/>
            </w:tcMar>
          </w:tcPr>
          <w:p w14:paraId="16C5F94F">
            <w:pPr>
              <w:spacing w:after="0" w:line="240" w:lineRule="auto" w:before="0"/>
            </w:pPr>
            <w:r>
              <w:rPr>
                <w:rFonts w:ascii="Times New Roman" w:hAnsi="Times New Roman" w:eastAsia="Times New Roman" w:cs="Times New Roman"/>
                <w:b w:val="0"/>
                <w:sz w:val="15"/>
              </w:rPr>
              <w:t>38</w:t>
            </w:r>
          </w:p>
        </w:tc>
        <w:tc>
          <w:tcPr>
            <w:tcW w:w="1966" w:type="dxa"/>
            <w:vAlign w:val="center"/>
            <w:tcMar>
              <w:top w:w="65" w:type="dxa"/>
              <w:start w:w="68" w:type="dxa"/>
              <w:bottom w:w="65" w:type="dxa"/>
              <w:end w:w="68" w:type="dxa"/>
            </w:tcMar>
          </w:tcPr>
          <w:p w14:paraId="6EBACC9C">
            <w:pPr>
              <w:spacing w:after="0" w:line="240" w:lineRule="auto" w:before="0"/>
            </w:pPr>
            <w:r>
              <w:rPr>
                <w:rFonts w:ascii="Times New Roman" w:hAnsi="Times New Roman" w:eastAsia="Times New Roman" w:cs="Times New Roman"/>
                <w:b w:val="0"/>
                <w:sz w:val="15"/>
              </w:rPr>
              <w:t>5</w:t>
            </w:r>
          </w:p>
        </w:tc>
        <w:tc>
          <w:tcPr>
            <w:tcW w:w="1966" w:type="dxa"/>
            <w:vAlign w:val="center"/>
            <w:tcMar>
              <w:top w:w="65" w:type="dxa"/>
              <w:start w:w="68" w:type="dxa"/>
              <w:bottom w:w="65" w:type="dxa"/>
              <w:end w:w="68" w:type="dxa"/>
            </w:tcMar>
          </w:tcPr>
          <w:p w14:paraId="47A50CAF">
            <w:pPr>
              <w:spacing w:after="0" w:line="240" w:lineRule="auto" w:before="0"/>
            </w:pPr>
            <w:r>
              <w:rPr>
                <w:rFonts w:ascii="Times New Roman" w:hAnsi="Times New Roman" w:eastAsia="Times New Roman" w:cs="Times New Roman"/>
                <w:b w:val="0"/>
                <w:sz w:val="15"/>
              </w:rPr>
              <w:t>9</w:t>
            </w:r>
          </w:p>
        </w:tc>
        <w:tc>
          <w:tcPr>
            <w:tcW w:w="1966" w:type="dxa"/>
            <w:vAlign w:val="center"/>
            <w:tcMar>
              <w:top w:w="65" w:type="dxa"/>
              <w:start w:w="68" w:type="dxa"/>
              <w:bottom w:w="65" w:type="dxa"/>
              <w:end w:w="68" w:type="dxa"/>
            </w:tcMar>
          </w:tcPr>
          <w:p w14:paraId="5F6B445B">
            <w:pPr>
              <w:spacing w:after="0" w:line="240" w:lineRule="auto" w:before="0"/>
            </w:pPr>
            <w:r>
              <w:rPr>
                <w:rFonts w:ascii="Times New Roman" w:hAnsi="Times New Roman" w:eastAsia="Times New Roman" w:cs="Times New Roman"/>
                <w:b w:val="0"/>
                <w:sz w:val="15"/>
              </w:rPr>
              <w:t>0.632</w:t>
            </w:r>
          </w:p>
        </w:tc>
      </w:tr>
      <w:tr w14:paraId="4E762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966" w:type="dxa"/>
            <w:vAlign w:val="center"/>
            <w:tcMar>
              <w:top w:w="65" w:type="dxa"/>
              <w:start w:w="68" w:type="dxa"/>
              <w:bottom w:w="65" w:type="dxa"/>
              <w:end w:w="68" w:type="dxa"/>
            </w:tcMar>
          </w:tcPr>
          <w:p w14:paraId="3ACEC0A3">
            <w:pPr>
              <w:spacing w:after="0" w:line="240" w:lineRule="auto" w:before="0"/>
            </w:pPr>
            <w:r>
              <w:rPr>
                <w:rFonts w:ascii="Times New Roman" w:hAnsi="Times New Roman" w:eastAsia="Times New Roman" w:cs="Times New Roman"/>
                <w:b w:val="0"/>
                <w:sz w:val="15"/>
              </w:rPr>
              <w:t>OVR-05</w:t>
            </w:r>
          </w:p>
        </w:tc>
        <w:tc>
          <w:tcPr>
            <w:tcW w:w="1966" w:type="dxa"/>
            <w:vAlign w:val="center"/>
            <w:tcMar>
              <w:top w:w="65" w:type="dxa"/>
              <w:start w:w="68" w:type="dxa"/>
              <w:bottom w:w="65" w:type="dxa"/>
              <w:end w:w="68" w:type="dxa"/>
            </w:tcMar>
          </w:tcPr>
          <w:p w14:paraId="40B69F4A">
            <w:pPr>
              <w:spacing w:after="0" w:line="240" w:lineRule="auto" w:before="0"/>
            </w:pPr>
            <w:r>
              <w:rPr>
                <w:rFonts w:ascii="Times New Roman" w:hAnsi="Times New Roman" w:eastAsia="Times New Roman" w:cs="Times New Roman"/>
                <w:b w:val="0"/>
                <w:sz w:val="15"/>
              </w:rPr>
              <w:t>10</w:t>
            </w:r>
          </w:p>
        </w:tc>
        <w:tc>
          <w:tcPr>
            <w:tcW w:w="1966" w:type="dxa"/>
            <w:vAlign w:val="center"/>
            <w:tcMar>
              <w:top w:w="65" w:type="dxa"/>
              <w:start w:w="68" w:type="dxa"/>
              <w:bottom w:w="65" w:type="dxa"/>
              <w:end w:w="68" w:type="dxa"/>
            </w:tcMar>
          </w:tcPr>
          <w:p w14:paraId="663870E5">
            <w:pPr>
              <w:spacing w:after="0" w:line="240" w:lineRule="auto" w:before="0"/>
            </w:pPr>
            <w:r>
              <w:rPr>
                <w:rFonts w:ascii="Times New Roman" w:hAnsi="Times New Roman" w:eastAsia="Times New Roman" w:cs="Times New Roman"/>
                <w:b w:val="0"/>
                <w:sz w:val="15"/>
              </w:rPr>
              <w:t>1</w:t>
            </w:r>
          </w:p>
        </w:tc>
        <w:tc>
          <w:tcPr>
            <w:tcW w:w="1966" w:type="dxa"/>
            <w:vAlign w:val="center"/>
            <w:tcMar>
              <w:top w:w="65" w:type="dxa"/>
              <w:start w:w="68" w:type="dxa"/>
              <w:bottom w:w="65" w:type="dxa"/>
              <w:end w:w="68" w:type="dxa"/>
            </w:tcMar>
          </w:tcPr>
          <w:p w14:paraId="55971674">
            <w:pPr>
              <w:spacing w:after="0" w:line="240" w:lineRule="auto" w:before="0"/>
            </w:pPr>
            <w:r>
              <w:rPr>
                <w:rFonts w:ascii="Times New Roman" w:hAnsi="Times New Roman" w:eastAsia="Times New Roman" w:cs="Times New Roman"/>
                <w:b w:val="0"/>
                <w:sz w:val="15"/>
              </w:rPr>
              <w:t>0</w:t>
            </w:r>
          </w:p>
        </w:tc>
        <w:tc>
          <w:tcPr>
            <w:tcW w:w="1966" w:type="dxa"/>
            <w:vAlign w:val="center"/>
            <w:tcMar>
              <w:top w:w="65" w:type="dxa"/>
              <w:start w:w="68" w:type="dxa"/>
              <w:bottom w:w="65" w:type="dxa"/>
              <w:end w:w="68" w:type="dxa"/>
            </w:tcMar>
          </w:tcPr>
          <w:p w14:paraId="2044B3BE">
            <w:pPr>
              <w:spacing w:after="0" w:line="240" w:lineRule="auto" w:before="0"/>
            </w:pPr>
            <w:r>
              <w:rPr>
                <w:rFonts w:ascii="Times New Roman" w:hAnsi="Times New Roman" w:eastAsia="Times New Roman" w:cs="Times New Roman"/>
                <w:b w:val="0"/>
                <w:sz w:val="15"/>
              </w:rPr>
              <w:t>0.300</w:t>
            </w:r>
          </w:p>
        </w:tc>
      </w:tr>
      <w:tr w14:paraId="6FC5A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966" w:type="dxa"/>
            <w:vAlign w:val="center"/>
            <w:tcMar>
              <w:top w:w="65" w:type="dxa"/>
              <w:start w:w="68" w:type="dxa"/>
              <w:bottom w:w="65" w:type="dxa"/>
              <w:end w:w="68" w:type="dxa"/>
            </w:tcMar>
          </w:tcPr>
          <w:p w14:paraId="7F3FB1F7">
            <w:pPr>
              <w:spacing w:after="0" w:line="240" w:lineRule="auto" w:before="0"/>
            </w:pPr>
            <w:r>
              <w:rPr>
                <w:rFonts w:ascii="Times New Roman" w:hAnsi="Times New Roman" w:eastAsia="Times New Roman" w:cs="Times New Roman"/>
                <w:b w:val="0"/>
                <w:sz w:val="15"/>
              </w:rPr>
              <w:t>OVR-06</w:t>
            </w:r>
          </w:p>
        </w:tc>
        <w:tc>
          <w:tcPr>
            <w:tcW w:w="1966" w:type="dxa"/>
            <w:vAlign w:val="center"/>
            <w:tcMar>
              <w:top w:w="65" w:type="dxa"/>
              <w:start w:w="68" w:type="dxa"/>
              <w:bottom w:w="65" w:type="dxa"/>
              <w:end w:w="68" w:type="dxa"/>
            </w:tcMar>
          </w:tcPr>
          <w:p w14:paraId="621930C4">
            <w:pPr>
              <w:spacing w:after="0" w:line="240" w:lineRule="auto" w:before="0"/>
            </w:pPr>
            <w:r>
              <w:rPr>
                <w:rFonts w:ascii="Times New Roman" w:hAnsi="Times New Roman" w:eastAsia="Times New Roman" w:cs="Times New Roman"/>
                <w:b w:val="0"/>
                <w:sz w:val="15"/>
              </w:rPr>
              <w:t>1</w:t>
            </w:r>
          </w:p>
        </w:tc>
        <w:tc>
          <w:tcPr>
            <w:tcW w:w="1966" w:type="dxa"/>
            <w:vAlign w:val="center"/>
            <w:tcMar>
              <w:top w:w="65" w:type="dxa"/>
              <w:start w:w="68" w:type="dxa"/>
              <w:bottom w:w="65" w:type="dxa"/>
              <w:end w:w="68" w:type="dxa"/>
            </w:tcMar>
          </w:tcPr>
          <w:p w14:paraId="5409455E">
            <w:pPr>
              <w:spacing w:after="0" w:line="240" w:lineRule="auto" w:before="0"/>
            </w:pPr>
            <w:r>
              <w:rPr>
                <w:rFonts w:ascii="Times New Roman" w:hAnsi="Times New Roman" w:eastAsia="Times New Roman" w:cs="Times New Roman"/>
                <w:b w:val="0"/>
                <w:sz w:val="15"/>
              </w:rPr>
              <w:t>0</w:t>
            </w:r>
          </w:p>
        </w:tc>
        <w:tc>
          <w:tcPr>
            <w:tcW w:w="1966" w:type="dxa"/>
            <w:vAlign w:val="center"/>
            <w:tcMar>
              <w:top w:w="65" w:type="dxa"/>
              <w:start w:w="68" w:type="dxa"/>
              <w:bottom w:w="65" w:type="dxa"/>
              <w:end w:w="68" w:type="dxa"/>
            </w:tcMar>
          </w:tcPr>
          <w:p w14:paraId="26824CC3">
            <w:pPr>
              <w:spacing w:after="0" w:line="240" w:lineRule="auto" w:before="0"/>
            </w:pPr>
            <w:r>
              <w:rPr>
                <w:rFonts w:ascii="Times New Roman" w:hAnsi="Times New Roman" w:eastAsia="Times New Roman" w:cs="Times New Roman"/>
                <w:b w:val="0"/>
                <w:sz w:val="15"/>
              </w:rPr>
              <w:t>0</w:t>
            </w:r>
          </w:p>
        </w:tc>
        <w:tc>
          <w:tcPr>
            <w:tcW w:w="1966" w:type="dxa"/>
            <w:vAlign w:val="center"/>
            <w:tcMar>
              <w:top w:w="65" w:type="dxa"/>
              <w:start w:w="68" w:type="dxa"/>
              <w:bottom w:w="65" w:type="dxa"/>
              <w:end w:w="68" w:type="dxa"/>
            </w:tcMar>
          </w:tcPr>
          <w:p w14:paraId="267EA22E">
            <w:pPr>
              <w:spacing w:after="0" w:line="240" w:lineRule="auto" w:before="0"/>
            </w:pPr>
            <w:r>
              <w:rPr>
                <w:rFonts w:ascii="Times New Roman" w:hAnsi="Times New Roman" w:eastAsia="Times New Roman" w:cs="Times New Roman"/>
                <w:b w:val="0"/>
                <w:sz w:val="15"/>
              </w:rPr>
              <w:t>0.000</w:t>
            </w:r>
          </w:p>
        </w:tc>
      </w:tr>
      <w:tr w14:paraId="00AE7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966" w:type="dxa"/>
            <w:vAlign w:val="center"/>
            <w:tcMar>
              <w:top w:w="65" w:type="dxa"/>
              <w:start w:w="68" w:type="dxa"/>
              <w:bottom w:w="65" w:type="dxa"/>
              <w:end w:w="68" w:type="dxa"/>
            </w:tcMar>
          </w:tcPr>
          <w:p w14:paraId="3C5D3166">
            <w:pPr>
              <w:spacing w:after="0" w:line="240" w:lineRule="auto" w:before="0"/>
            </w:pPr>
            <w:r>
              <w:rPr>
                <w:rFonts w:ascii="Times New Roman" w:hAnsi="Times New Roman" w:eastAsia="Times New Roman" w:cs="Times New Roman"/>
                <w:b w:val="0"/>
                <w:sz w:val="15"/>
              </w:rPr>
              <w:t>HREF</w:t>
            </w:r>
          </w:p>
        </w:tc>
        <w:tc>
          <w:tcPr>
            <w:tcW w:w="1966" w:type="dxa"/>
            <w:vAlign w:val="center"/>
            <w:tcMar>
              <w:top w:w="65" w:type="dxa"/>
              <w:start w:w="68" w:type="dxa"/>
              <w:bottom w:w="65" w:type="dxa"/>
              <w:end w:w="68" w:type="dxa"/>
            </w:tcMar>
          </w:tcPr>
          <w:p w14:paraId="2DC3CE10">
            <w:pPr>
              <w:spacing w:after="0" w:line="240" w:lineRule="auto" w:before="0"/>
            </w:pPr>
            <w:r>
              <w:rPr>
                <w:rFonts w:ascii="Times New Roman" w:hAnsi="Times New Roman" w:eastAsia="Times New Roman" w:cs="Times New Roman"/>
                <w:b w:val="0"/>
                <w:sz w:val="15"/>
              </w:rPr>
              <w:t>59</w:t>
            </w:r>
          </w:p>
        </w:tc>
        <w:tc>
          <w:tcPr>
            <w:tcW w:w="1966" w:type="dxa"/>
            <w:vAlign w:val="center"/>
            <w:tcMar>
              <w:top w:w="65" w:type="dxa"/>
              <w:start w:w="68" w:type="dxa"/>
              <w:bottom w:w="65" w:type="dxa"/>
              <w:end w:w="68" w:type="dxa"/>
            </w:tcMar>
          </w:tcPr>
          <w:p w14:paraId="315B7E09">
            <w:pPr>
              <w:spacing w:after="0" w:line="240" w:lineRule="auto" w:before="0"/>
            </w:pPr>
            <w:r>
              <w:rPr>
                <w:rFonts w:ascii="Times New Roman" w:hAnsi="Times New Roman" w:eastAsia="Times New Roman" w:cs="Times New Roman"/>
                <w:b w:val="0"/>
                <w:sz w:val="15"/>
              </w:rPr>
              <w:t>10</w:t>
            </w:r>
          </w:p>
        </w:tc>
        <w:tc>
          <w:tcPr>
            <w:tcW w:w="1966" w:type="dxa"/>
            <w:vAlign w:val="center"/>
            <w:tcMar>
              <w:top w:w="65" w:type="dxa"/>
              <w:start w:w="68" w:type="dxa"/>
              <w:bottom w:w="65" w:type="dxa"/>
              <w:end w:w="68" w:type="dxa"/>
            </w:tcMar>
          </w:tcPr>
          <w:p w14:paraId="669D7B50">
            <w:pPr>
              <w:spacing w:after="0" w:line="240" w:lineRule="auto" w:before="0"/>
            </w:pPr>
            <w:r>
              <w:rPr>
                <w:rFonts w:ascii="Times New Roman" w:hAnsi="Times New Roman" w:eastAsia="Times New Roman" w:cs="Times New Roman"/>
                <w:b w:val="0"/>
                <w:sz w:val="15"/>
              </w:rPr>
              <w:t>2</w:t>
            </w:r>
          </w:p>
        </w:tc>
        <w:tc>
          <w:tcPr>
            <w:tcW w:w="1966" w:type="dxa"/>
            <w:vAlign w:val="center"/>
            <w:tcMar>
              <w:top w:w="65" w:type="dxa"/>
              <w:start w:w="68" w:type="dxa"/>
              <w:bottom w:w="65" w:type="dxa"/>
              <w:end w:w="68" w:type="dxa"/>
            </w:tcMar>
          </w:tcPr>
          <w:p w14:paraId="63BA978A">
            <w:pPr>
              <w:spacing w:after="0" w:line="240" w:lineRule="auto" w:before="0"/>
            </w:pPr>
            <w:r>
              <w:rPr>
                <w:rFonts w:ascii="Times New Roman" w:hAnsi="Times New Roman" w:eastAsia="Times New Roman" w:cs="Times New Roman"/>
                <w:b w:val="0"/>
                <w:sz w:val="15"/>
              </w:rPr>
              <w:t>0.542</w:t>
            </w:r>
          </w:p>
        </w:tc>
      </w:tr>
    </w:tbl>
    <w:p>
      <w:pPr>
        <w:keepNext/>
      </w:pPr>
      <w:r>
        <w:t>Table S25. Pair-specific pre-resolution nominal reliability from locked A1–A3 ratings.</w:t>
      </w:r>
    </w:p>
    <w:tbl>
      <w:tblPr>
        <w:tblStyle w:val="35"/>
        <w:tblW w:type="auto" w:w="0"/>
        <w:jc w:val="center"/>
        <w:tblLayout w:type="autofit"/>
        <w:tblLook w:firstColumn="1" w:firstRow="1" w:lastColumn="0" w:lastRow="0" w:noHBand="0" w:noVBand="1" w:val="04A0"/>
        <w:tblBorders>
          <w:top w:val="single" w:sz="4" w:color="C7D4E2"/>
          <w:bottom w:val="single" w:sz="4" w:color="C7D4E2"/>
          <w:left w:val="single" w:sz="4" w:color="C7D4E2"/>
          <w:right w:val="single" w:sz="4" w:color="C7D4E2"/>
          <w:insideH w:val="single" w:sz="4" w:color="C7D4E2"/>
          <w:insideV w:val="single" w:sz="3" w:color="C7D4E2"/>
        </w:tblBorders>
      </w:tblPr>
      <w:tblGrid>
        <w:gridCol w:w="1639"/>
        <w:gridCol w:w="1639"/>
        <w:gridCol w:w="1639"/>
        <w:gridCol w:w="1639"/>
        <w:gridCol w:w="1639"/>
        <w:gridCol w:w="1639"/>
      </w:tblGrid>
      <w:tr>
        <w:trPr>
          <w:cantSplit/>
          <w:tblHeader w:val="true"/>
          <w:tblHeader w:val="true"/>
        </w:trPr>
        <w:tc>
          <w:tcPr>
            <w:tcW w:type="dxa" w:w="1728"/>
            <w:vAlign w:val="center"/>
            <w:tcMar>
              <w:top w:w="65" w:type="dxa"/>
              <w:start w:w="68" w:type="dxa"/>
              <w:bottom w:w="65" w:type="dxa"/>
              <w:end w:w="68" w:type="dxa"/>
            </w:tcMar>
            <w:shd w:val="clear" w:color="auto" w:fill="E8F0F8"/>
          </w:tcPr>
          <w:p>
            <w:pPr>
              <w:spacing w:before="0" w:after="0"/>
            </w:pPr>
            <w:r>
              <w:rPr>
                <w:rFonts w:ascii="Times New Roman" w:hAnsi="Times New Roman"/>
                <w:b/>
                <w:color w:val="1E364D"/>
                <w:sz w:val="15"/>
              </w:rPr>
            </w:r>
            <w:r>
              <w:rPr>
                <w:rFonts w:ascii="Times New Roman" w:hAnsi="Times New Roman"/>
                <w:b/>
                <w:color w:val="1E364D"/>
                <w:sz w:val="15"/>
              </w:rPr>
              <w:t>Dimension</w:t>
            </w:r>
          </w:p>
        </w:tc>
        <w:tc>
          <w:tcPr>
            <w:tcW w:type="dxa" w:w="1008"/>
            <w:vAlign w:val="center"/>
            <w:tcMar>
              <w:top w:w="65" w:type="dxa"/>
              <w:start w:w="68" w:type="dxa"/>
              <w:bottom w:w="65" w:type="dxa"/>
              <w:end w:w="68" w:type="dxa"/>
            </w:tcMar>
            <w:shd w:val="clear" w:color="auto" w:fill="E8F0F8"/>
          </w:tcPr>
          <w:p>
            <w:pPr>
              <w:spacing w:before="0" w:after="0"/>
            </w:pPr>
            <w:r>
              <w:rPr>
                <w:rFonts w:ascii="Times New Roman" w:hAnsi="Times New Roman"/>
                <w:b/>
                <w:color w:val="1E364D"/>
                <w:sz w:val="15"/>
              </w:rPr>
            </w:r>
            <w:r>
              <w:rPr>
                <w:rFonts w:ascii="Times New Roman" w:hAnsi="Times New Roman"/>
                <w:b/>
                <w:color w:val="1E364D"/>
                <w:sz w:val="15"/>
              </w:rPr>
              <w:t>Pair</w:t>
            </w:r>
          </w:p>
        </w:tc>
        <w:tc>
          <w:tcPr>
            <w:tcW w:type="dxa" w:w="936"/>
            <w:vAlign w:val="center"/>
            <w:tcMar>
              <w:top w:w="65" w:type="dxa"/>
              <w:start w:w="68" w:type="dxa"/>
              <w:bottom w:w="65" w:type="dxa"/>
              <w:end w:w="68" w:type="dxa"/>
            </w:tcMar>
            <w:shd w:val="clear" w:color="auto" w:fill="E8F0F8"/>
          </w:tcPr>
          <w:p>
            <w:pPr>
              <w:spacing w:before="0" w:after="0"/>
            </w:pPr>
            <w:r>
              <w:rPr>
                <w:rFonts w:ascii="Times New Roman" w:hAnsi="Times New Roman"/>
                <w:b/>
                <w:color w:val="1E364D"/>
                <w:sz w:val="15"/>
              </w:rPr>
            </w:r>
            <w:r>
              <w:rPr>
                <w:rFonts w:ascii="Times New Roman" w:hAnsi="Times New Roman"/>
                <w:b/>
                <w:color w:val="1E364D"/>
                <w:sz w:val="15"/>
              </w:rPr>
              <w:t>Exact</w:t>
            </w:r>
          </w:p>
        </w:tc>
        <w:tc>
          <w:tcPr>
            <w:tcW w:type="dxa" w:w="1512"/>
            <w:vAlign w:val="center"/>
            <w:tcMar>
              <w:top w:w="65" w:type="dxa"/>
              <w:start w:w="68" w:type="dxa"/>
              <w:bottom w:w="65" w:type="dxa"/>
              <w:end w:w="68" w:type="dxa"/>
            </w:tcMar>
            <w:shd w:val="clear" w:color="auto" w:fill="E8F0F8"/>
          </w:tcPr>
          <w:p>
            <w:pPr>
              <w:spacing w:before="0" w:after="0"/>
            </w:pPr>
            <w:r>
              <w:rPr>
                <w:rFonts w:ascii="Times New Roman" w:hAnsi="Times New Roman"/>
                <w:b/>
                <w:color w:val="1E364D"/>
                <w:sz w:val="15"/>
              </w:rPr>
            </w:r>
            <w:r>
              <w:rPr>
                <w:rFonts w:ascii="Times New Roman" w:hAnsi="Times New Roman"/>
                <w:b/>
                <w:color w:val="1E364D"/>
                <w:sz w:val="15"/>
              </w:rPr>
              <w:t>95% CI</w:t>
            </w:r>
          </w:p>
        </w:tc>
        <w:tc>
          <w:tcPr>
            <w:tcW w:type="dxa" w:w="936"/>
            <w:vAlign w:val="center"/>
            <w:tcMar>
              <w:top w:w="65" w:type="dxa"/>
              <w:start w:w="68" w:type="dxa"/>
              <w:bottom w:w="65" w:type="dxa"/>
              <w:end w:w="68" w:type="dxa"/>
            </w:tcMar>
            <w:shd w:val="clear" w:color="auto" w:fill="E8F0F8"/>
          </w:tcPr>
          <w:p>
            <w:pPr>
              <w:spacing w:before="0" w:after="0"/>
            </w:pPr>
            <w:r>
              <w:rPr>
                <w:rFonts w:ascii="Times New Roman" w:hAnsi="Times New Roman"/>
                <w:b/>
                <w:color w:val="1E364D"/>
                <w:sz w:val="15"/>
              </w:rPr>
            </w:r>
            <w:r>
              <w:rPr>
                <w:rFonts w:ascii="Times New Roman" w:hAnsi="Times New Roman"/>
                <w:b/>
                <w:color w:val="1E364D"/>
                <w:sz w:val="15"/>
              </w:rPr>
              <w:t>Cohen κ</w:t>
            </w:r>
          </w:p>
        </w:tc>
        <w:tc>
          <w:tcPr>
            <w:tcW w:type="dxa" w:w="1512"/>
            <w:vAlign w:val="center"/>
            <w:tcMar>
              <w:top w:w="65" w:type="dxa"/>
              <w:start w:w="68" w:type="dxa"/>
              <w:bottom w:w="65" w:type="dxa"/>
              <w:end w:w="68" w:type="dxa"/>
            </w:tcMar>
            <w:shd w:val="clear" w:color="auto" w:fill="E8F0F8"/>
          </w:tcPr>
          <w:p>
            <w:pPr>
              <w:spacing w:before="0" w:after="0"/>
            </w:pPr>
            <w:r>
              <w:rPr>
                <w:rFonts w:ascii="Times New Roman" w:hAnsi="Times New Roman"/>
                <w:b/>
                <w:color w:val="1E364D"/>
                <w:sz w:val="15"/>
              </w:rPr>
            </w:r>
            <w:r>
              <w:rPr>
                <w:rFonts w:ascii="Times New Roman" w:hAnsi="Times New Roman"/>
                <w:b/>
                <w:color w:val="1E364D"/>
                <w:sz w:val="15"/>
              </w:rPr>
              <w:t>95% CI</w:t>
            </w:r>
          </w:p>
        </w:tc>
      </w:tr>
      <w:tr>
        <w:trPr>
          <w:cantSplit/>
        </w:trPr>
        <w:tc>
          <w:tcPr>
            <w:tcW w:type="dxa" w:w="1728"/>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Fine labels</w:t>
            </w:r>
          </w:p>
        </w:tc>
        <w:tc>
          <w:tcPr>
            <w:tcW w:type="dxa" w:w="1008"/>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A1-A2</w:t>
            </w:r>
          </w:p>
        </w:tc>
        <w:tc>
          <w:tcPr>
            <w:tcW w:type="dxa" w:w="936"/>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80.0%</w:t>
            </w:r>
          </w:p>
        </w:tc>
        <w:tc>
          <w:tcPr>
            <w:tcW w:type="dxa" w:w="1512"/>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[.774, .826]</w:t>
            </w:r>
          </w:p>
        </w:tc>
        <w:tc>
          <w:tcPr>
            <w:tcW w:type="dxa" w:w="936"/>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.734</w:t>
            </w:r>
          </w:p>
        </w:tc>
        <w:tc>
          <w:tcPr>
            <w:tcW w:type="dxa" w:w="1512"/>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[.699, .767]</w:t>
            </w:r>
          </w:p>
        </w:tc>
      </w:tr>
      <w:tr>
        <w:trPr>
          <w:cantSplit/>
        </w:trPr>
        <w:tc>
          <w:tcPr>
            <w:tcW w:type="dxa" w:w="1728"/>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Fine labels</w:t>
            </w:r>
          </w:p>
        </w:tc>
        <w:tc>
          <w:tcPr>
            <w:tcW w:type="dxa" w:w="1008"/>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A1-A3</w:t>
            </w:r>
          </w:p>
        </w:tc>
        <w:tc>
          <w:tcPr>
            <w:tcW w:type="dxa" w:w="936"/>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79.0%</w:t>
            </w:r>
          </w:p>
        </w:tc>
        <w:tc>
          <w:tcPr>
            <w:tcW w:type="dxa" w:w="1512"/>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[.757, .822]</w:t>
            </w:r>
          </w:p>
        </w:tc>
        <w:tc>
          <w:tcPr>
            <w:tcW w:type="dxa" w:w="936"/>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.718</w:t>
            </w:r>
          </w:p>
        </w:tc>
        <w:tc>
          <w:tcPr>
            <w:tcW w:type="dxa" w:w="1512"/>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[.676, .760]</w:t>
            </w:r>
          </w:p>
        </w:tc>
      </w:tr>
      <w:tr>
        <w:trPr>
          <w:cantSplit/>
        </w:trPr>
        <w:tc>
          <w:tcPr>
            <w:tcW w:type="dxa" w:w="1728"/>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Fine labels</w:t>
            </w:r>
          </w:p>
        </w:tc>
        <w:tc>
          <w:tcPr>
            <w:tcW w:type="dxa" w:w="1008"/>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A2-A3</w:t>
            </w:r>
          </w:p>
        </w:tc>
        <w:tc>
          <w:tcPr>
            <w:tcW w:type="dxa" w:w="936"/>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73.6%</w:t>
            </w:r>
          </w:p>
        </w:tc>
        <w:tc>
          <w:tcPr>
            <w:tcW w:type="dxa" w:w="1512"/>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[.706, .767]</w:t>
            </w:r>
          </w:p>
        </w:tc>
        <w:tc>
          <w:tcPr>
            <w:tcW w:type="dxa" w:w="936"/>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.661</w:t>
            </w:r>
          </w:p>
        </w:tc>
        <w:tc>
          <w:tcPr>
            <w:tcW w:type="dxa" w:w="1512"/>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[.624, .698]</w:t>
            </w:r>
          </w:p>
        </w:tc>
      </w:tr>
      <w:tr>
        <w:trPr>
          <w:cantSplit/>
        </w:trPr>
        <w:tc>
          <w:tcPr>
            <w:tcW w:type="dxa" w:w="1728"/>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Families</w:t>
            </w:r>
          </w:p>
        </w:tc>
        <w:tc>
          <w:tcPr>
            <w:tcW w:type="dxa" w:w="1008"/>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A1-A2</w:t>
            </w:r>
          </w:p>
        </w:tc>
        <w:tc>
          <w:tcPr>
            <w:tcW w:type="dxa" w:w="936"/>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82.9%</w:t>
            </w:r>
          </w:p>
        </w:tc>
        <w:tc>
          <w:tcPr>
            <w:tcW w:type="dxa" w:w="1512"/>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[.804, .854]</w:t>
            </w:r>
          </w:p>
        </w:tc>
        <w:tc>
          <w:tcPr>
            <w:tcW w:type="dxa" w:w="936"/>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.733</w:t>
            </w:r>
          </w:p>
        </w:tc>
        <w:tc>
          <w:tcPr>
            <w:tcW w:type="dxa" w:w="1512"/>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[.696, .771]</w:t>
            </w:r>
          </w:p>
        </w:tc>
      </w:tr>
      <w:tr>
        <w:trPr>
          <w:cantSplit/>
        </w:trPr>
        <w:tc>
          <w:tcPr>
            <w:tcW w:type="dxa" w:w="1728"/>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Families</w:t>
            </w:r>
          </w:p>
        </w:tc>
        <w:tc>
          <w:tcPr>
            <w:tcW w:type="dxa" w:w="1008"/>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A1-A3</w:t>
            </w:r>
          </w:p>
        </w:tc>
        <w:tc>
          <w:tcPr>
            <w:tcW w:type="dxa" w:w="936"/>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82.8%</w:t>
            </w:r>
          </w:p>
        </w:tc>
        <w:tc>
          <w:tcPr>
            <w:tcW w:type="dxa" w:w="1512"/>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[.799, .857]</w:t>
            </w:r>
          </w:p>
        </w:tc>
        <w:tc>
          <w:tcPr>
            <w:tcW w:type="dxa" w:w="936"/>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.730</w:t>
            </w:r>
          </w:p>
        </w:tc>
        <w:tc>
          <w:tcPr>
            <w:tcW w:type="dxa" w:w="1512"/>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[.685, .775]</w:t>
            </w:r>
          </w:p>
        </w:tc>
      </w:tr>
      <w:tr>
        <w:trPr>
          <w:cantSplit/>
        </w:trPr>
        <w:tc>
          <w:tcPr>
            <w:tcW w:type="dxa" w:w="1728"/>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Families</w:t>
            </w:r>
          </w:p>
        </w:tc>
        <w:tc>
          <w:tcPr>
            <w:tcW w:type="dxa" w:w="1008"/>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A2-A3</w:t>
            </w:r>
          </w:p>
        </w:tc>
        <w:tc>
          <w:tcPr>
            <w:tcW w:type="dxa" w:w="936"/>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82.5%</w:t>
            </w:r>
          </w:p>
        </w:tc>
        <w:tc>
          <w:tcPr>
            <w:tcW w:type="dxa" w:w="1512"/>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[.797, .853]</w:t>
            </w:r>
          </w:p>
        </w:tc>
        <w:tc>
          <w:tcPr>
            <w:tcW w:type="dxa" w:w="936"/>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.730</w:t>
            </w:r>
          </w:p>
        </w:tc>
        <w:tc>
          <w:tcPr>
            <w:tcW w:type="dxa" w:w="1512"/>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[.688, .771]</w:t>
            </w:r>
          </w:p>
        </w:tc>
      </w:tr>
      <w:tr>
        <w:trPr>
          <w:cantSplit/>
        </w:trPr>
        <w:tc>
          <w:tcPr>
            <w:tcW w:type="dxa" w:w="1728"/>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Boundary</w:t>
            </w:r>
          </w:p>
        </w:tc>
        <w:tc>
          <w:tcPr>
            <w:tcW w:type="dxa" w:w="1008"/>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A1-A2</w:t>
            </w:r>
          </w:p>
        </w:tc>
        <w:tc>
          <w:tcPr>
            <w:tcW w:type="dxa" w:w="936"/>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81.5%</w:t>
            </w:r>
          </w:p>
        </w:tc>
        <w:tc>
          <w:tcPr>
            <w:tcW w:type="dxa" w:w="1512"/>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[.792, .839]</w:t>
            </w:r>
          </w:p>
        </w:tc>
        <w:tc>
          <w:tcPr>
            <w:tcW w:type="dxa" w:w="936"/>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.720</w:t>
            </w:r>
          </w:p>
        </w:tc>
        <w:tc>
          <w:tcPr>
            <w:tcW w:type="dxa" w:w="1512"/>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[.685, .754]</w:t>
            </w:r>
          </w:p>
        </w:tc>
      </w:tr>
      <w:tr>
        <w:trPr>
          <w:cantSplit/>
        </w:trPr>
        <w:tc>
          <w:tcPr>
            <w:tcW w:type="dxa" w:w="1728"/>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Boundary</w:t>
            </w:r>
          </w:p>
        </w:tc>
        <w:tc>
          <w:tcPr>
            <w:tcW w:type="dxa" w:w="1008"/>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A1-A3</w:t>
            </w:r>
          </w:p>
        </w:tc>
        <w:tc>
          <w:tcPr>
            <w:tcW w:type="dxa" w:w="936"/>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81.7%</w:t>
            </w:r>
          </w:p>
        </w:tc>
        <w:tc>
          <w:tcPr>
            <w:tcW w:type="dxa" w:w="1512"/>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[.787, .844]</w:t>
            </w:r>
          </w:p>
        </w:tc>
        <w:tc>
          <w:tcPr>
            <w:tcW w:type="dxa" w:w="936"/>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.721</w:t>
            </w:r>
          </w:p>
        </w:tc>
        <w:tc>
          <w:tcPr>
            <w:tcW w:type="dxa" w:w="1512"/>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[.679, .762]</w:t>
            </w:r>
          </w:p>
        </w:tc>
      </w:tr>
      <w:tr>
        <w:trPr>
          <w:cantSplit/>
        </w:trPr>
        <w:tc>
          <w:tcPr>
            <w:tcW w:type="dxa" w:w="1728"/>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Boundary</w:t>
            </w:r>
          </w:p>
        </w:tc>
        <w:tc>
          <w:tcPr>
            <w:tcW w:type="dxa" w:w="1008"/>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A2-A3</w:t>
            </w:r>
          </w:p>
        </w:tc>
        <w:tc>
          <w:tcPr>
            <w:tcW w:type="dxa" w:w="936"/>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81.9%</w:t>
            </w:r>
          </w:p>
        </w:tc>
        <w:tc>
          <w:tcPr>
            <w:tcW w:type="dxa" w:w="1512"/>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[.792, .847]</w:t>
            </w:r>
          </w:p>
        </w:tc>
        <w:tc>
          <w:tcPr>
            <w:tcW w:type="dxa" w:w="936"/>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.731</w:t>
            </w:r>
          </w:p>
        </w:tc>
        <w:tc>
          <w:tcPr>
            <w:tcW w:type="dxa" w:w="1512"/>
            <w:vAlign w:val="center"/>
            <w:tcMar>
              <w:top w:w="65" w:type="dxa"/>
              <w:start w:w="68" w:type="dxa"/>
              <w:bottom w:w="65" w:type="dxa"/>
              <w:end w:w="68" w:type="dxa"/>
            </w:tcMar>
          </w:tcPr>
          <w:p>
            <w:pPr>
              <w:spacing w:before="0" w:after="0"/>
            </w:pPr>
            <w:r>
              <w:rPr>
                <w:rFonts w:ascii="Times New Roman" w:hAnsi="Times New Roman"/>
                <w:sz w:val="15"/>
              </w:rPr>
            </w:r>
            <w:r>
              <w:rPr>
                <w:rFonts w:ascii="Times New Roman" w:hAnsi="Times New Roman"/>
                <w:b w:val="0"/>
                <w:sz w:val="15"/>
              </w:rPr>
              <w:t>[.691, .771]</w:t>
            </w:r>
          </w:p>
        </w:tc>
      </w:tr>
    </w:tbl>
    <w:p>
      <w:pPr>
        <w:keepNext/>
      </w:pPr>
      <w:r>
        <w:t>Table S26. Case-level agreement structure.</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2530"/>
        <w:gridCol w:w="2530"/>
        <w:gridCol w:w="2530"/>
        <w:gridCol w:w="2530"/>
      </w:tblGrid>
      <w:tr w14:paraId="7D9A9831">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tblHeader w:val="true"/>
          <w:jc w:val="center"/>
          <w:tblHeader w:val="true"/>
        </w:trPr>
        <w:tc>
          <w:tcPr>
            <w:tcW w:w="3168" w:type="dxa"/>
            <w:tcMar>
              <w:top w:w="65" w:type="dxa"/>
              <w:left w:w="70" w:type="dxa"/>
              <w:bottom w:w="65" w:type="dxa"/>
              <w:right w:w="70" w:type="dxa"/>
              <w:start w:w="68" w:type="dxa"/>
              <w:end w:w="68" w:type="dxa"/>
            </w:tcMar>
            <w:vAlign w:val="center"/>
            <w:shd w:val="clear" w:color="auto" w:fill="E8F0F8"/>
          </w:tcPr>
          <w:p w14:paraId="077AE9F5">
            <w:pPr>
              <w:spacing w:before="0" w:after="0" w:line="240" w:lineRule="auto"/>
              <w:jc w:val="center"/>
            </w:pPr>
            <w:r>
              <w:rPr>
                <w:rFonts w:ascii="Times New Roman" w:hAnsi="Times New Roman" w:eastAsia="Times New Roman" w:cs="Times New Roman"/>
                <w:b/>
                <w:color w:val="1E364D"/>
                <w:sz w:val="16"/>
              </w:rPr>
              <w:t>Target</w:t>
            </w:r>
          </w:p>
        </w:tc>
        <w:tc>
          <w:tcPr>
            <w:tcW w:w="2232" w:type="dxa"/>
            <w:tcMar>
              <w:top w:w="65" w:type="dxa"/>
              <w:left w:w="70" w:type="dxa"/>
              <w:bottom w:w="65" w:type="dxa"/>
              <w:right w:w="70" w:type="dxa"/>
              <w:start w:w="68" w:type="dxa"/>
              <w:end w:w="68" w:type="dxa"/>
            </w:tcMar>
            <w:vAlign w:val="center"/>
            <w:shd w:val="clear" w:color="auto" w:fill="E8F0F8"/>
          </w:tcPr>
          <w:p w14:paraId="598E034C">
            <w:pPr>
              <w:spacing w:before="0" w:after="0" w:line="240" w:lineRule="auto"/>
              <w:jc w:val="center"/>
            </w:pPr>
            <w:r>
              <w:rPr>
                <w:rFonts w:ascii="Times New Roman" w:hAnsi="Times New Roman" w:eastAsia="Times New Roman" w:cs="Times New Roman"/>
                <w:b/>
                <w:color w:val="1E364D"/>
                <w:sz w:val="16"/>
              </w:rPr>
              <w:t>Full agreement</w:t>
            </w:r>
          </w:p>
        </w:tc>
        <w:tc>
          <w:tcPr>
            <w:tcW w:w="2232" w:type="dxa"/>
            <w:tcMar>
              <w:top w:w="65" w:type="dxa"/>
              <w:left w:w="70" w:type="dxa"/>
              <w:bottom w:w="65" w:type="dxa"/>
              <w:right w:w="70" w:type="dxa"/>
              <w:start w:w="68" w:type="dxa"/>
              <w:end w:w="68" w:type="dxa"/>
            </w:tcMar>
            <w:vAlign w:val="center"/>
            <w:shd w:val="clear" w:color="auto" w:fill="E8F0F8"/>
          </w:tcPr>
          <w:p w14:paraId="35B5228B">
            <w:pPr>
              <w:spacing w:before="0" w:after="0" w:line="240" w:lineRule="auto"/>
              <w:jc w:val="center"/>
            </w:pPr>
            <w:r>
              <w:rPr>
                <w:rFonts w:ascii="Times New Roman" w:hAnsi="Times New Roman" w:eastAsia="Times New Roman" w:cs="Times New Roman"/>
                <w:b/>
                <w:color w:val="1E364D"/>
                <w:sz w:val="16"/>
              </w:rPr>
              <w:t>Two distinct ratings</w:t>
            </w:r>
          </w:p>
        </w:tc>
        <w:tc>
          <w:tcPr>
            <w:tcW w:w="2232" w:type="dxa"/>
            <w:tcMar>
              <w:top w:w="65" w:type="dxa"/>
              <w:left w:w="70" w:type="dxa"/>
              <w:bottom w:w="65" w:type="dxa"/>
              <w:right w:w="70" w:type="dxa"/>
              <w:start w:w="68" w:type="dxa"/>
              <w:end w:w="68" w:type="dxa"/>
            </w:tcMar>
            <w:vAlign w:val="center"/>
            <w:shd w:val="clear" w:color="auto" w:fill="E8F0F8"/>
          </w:tcPr>
          <w:p w14:paraId="3A72E848">
            <w:pPr>
              <w:spacing w:before="0" w:after="0" w:line="240" w:lineRule="auto"/>
              <w:jc w:val="center"/>
            </w:pPr>
            <w:r>
              <w:rPr>
                <w:rFonts w:ascii="Times New Roman" w:hAnsi="Times New Roman" w:eastAsia="Times New Roman" w:cs="Times New Roman"/>
                <w:b/>
                <w:color w:val="1E364D"/>
                <w:sz w:val="16"/>
              </w:rPr>
              <w:t>Three-way disagreement</w:t>
            </w:r>
          </w:p>
        </w:tc>
      </w:tr>
      <w:tr w14:paraId="44CAA40F">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3168" w:type="dxa"/>
            <w:tcMar>
              <w:top w:w="65" w:type="dxa"/>
              <w:left w:w="70" w:type="dxa"/>
              <w:bottom w:w="65" w:type="dxa"/>
              <w:right w:w="70" w:type="dxa"/>
              <w:start w:w="68" w:type="dxa"/>
              <w:end w:w="68" w:type="dxa"/>
            </w:tcMar>
            <w:vAlign w:val="center"/>
          </w:tcPr>
          <w:p w14:paraId="79DE83CD">
            <w:pPr>
              <w:spacing w:before="0" w:after="0" w:line="240" w:lineRule="auto"/>
              <w:jc w:val="left"/>
            </w:pPr>
            <w:r>
              <w:rPr>
                <w:rFonts w:ascii="Times New Roman" w:hAnsi="Times New Roman" w:eastAsia="Times New Roman" w:cs="Times New Roman"/>
                <w:b w:val="0"/>
                <w:color w:val="000000"/>
                <w:sz w:val="16"/>
              </w:rPr>
              <w:t>Fine-grained primary label</w:t>
            </w:r>
          </w:p>
        </w:tc>
        <w:tc>
          <w:tcPr>
            <w:tcW w:w="2232" w:type="dxa"/>
            <w:tcMar>
              <w:top w:w="65" w:type="dxa"/>
              <w:left w:w="70" w:type="dxa"/>
              <w:bottom w:w="65" w:type="dxa"/>
              <w:right w:w="70" w:type="dxa"/>
              <w:start w:w="68" w:type="dxa"/>
              <w:end w:w="68" w:type="dxa"/>
            </w:tcMar>
            <w:vAlign w:val="center"/>
          </w:tcPr>
          <w:p w14:paraId="678D7749">
            <w:pPr>
              <w:spacing w:before="0" w:after="0" w:line="240" w:lineRule="auto"/>
              <w:jc w:val="left"/>
            </w:pPr>
            <w:r>
              <w:rPr>
                <w:rFonts w:ascii="Times New Roman" w:hAnsi="Times New Roman" w:eastAsia="Times New Roman" w:cs="Times New Roman"/>
                <w:b w:val="0"/>
                <w:color w:val="000000"/>
                <w:sz w:val="16"/>
              </w:rPr>
              <w:t>509 (70.7%)</w:t>
            </w:r>
          </w:p>
        </w:tc>
        <w:tc>
          <w:tcPr>
            <w:tcW w:w="2232" w:type="dxa"/>
            <w:tcMar>
              <w:top w:w="65" w:type="dxa"/>
              <w:left w:w="70" w:type="dxa"/>
              <w:bottom w:w="65" w:type="dxa"/>
              <w:right w:w="70" w:type="dxa"/>
              <w:start w:w="68" w:type="dxa"/>
              <w:end w:w="68" w:type="dxa"/>
            </w:tcMar>
            <w:vAlign w:val="center"/>
          </w:tcPr>
          <w:p w14:paraId="309B6C8C">
            <w:pPr>
              <w:spacing w:before="0" w:after="0" w:line="240" w:lineRule="auto"/>
              <w:jc w:val="left"/>
            </w:pPr>
            <w:r>
              <w:rPr>
                <w:rFonts w:ascii="Times New Roman" w:hAnsi="Times New Roman" w:eastAsia="Times New Roman" w:cs="Times New Roman"/>
                <w:b w:val="0"/>
                <w:color w:val="000000"/>
                <w:sz w:val="16"/>
              </w:rPr>
              <w:t>148 (20.6%)</w:t>
            </w:r>
          </w:p>
        </w:tc>
        <w:tc>
          <w:tcPr>
            <w:tcW w:w="2232" w:type="dxa"/>
            <w:tcMar>
              <w:top w:w="65" w:type="dxa"/>
              <w:left w:w="70" w:type="dxa"/>
              <w:bottom w:w="65" w:type="dxa"/>
              <w:right w:w="70" w:type="dxa"/>
              <w:start w:w="68" w:type="dxa"/>
              <w:end w:w="68" w:type="dxa"/>
            </w:tcMar>
            <w:vAlign w:val="center"/>
          </w:tcPr>
          <w:p w14:paraId="3AAB19D1">
            <w:pPr>
              <w:spacing w:before="0" w:after="0" w:line="240" w:lineRule="auto"/>
              <w:jc w:val="left"/>
            </w:pPr>
            <w:r>
              <w:rPr>
                <w:rFonts w:ascii="Times New Roman" w:hAnsi="Times New Roman" w:eastAsia="Times New Roman" w:cs="Times New Roman"/>
                <w:b w:val="0"/>
                <w:color w:val="000000"/>
                <w:sz w:val="16"/>
              </w:rPr>
              <w:t>63 (8.8%)</w:t>
            </w:r>
          </w:p>
        </w:tc>
      </w:tr>
      <w:tr w14:paraId="01728924">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3168" w:type="dxa"/>
            <w:tcMar>
              <w:top w:w="65" w:type="dxa"/>
              <w:left w:w="70" w:type="dxa"/>
              <w:bottom w:w="65" w:type="dxa"/>
              <w:right w:w="70" w:type="dxa"/>
              <w:start w:w="68" w:type="dxa"/>
              <w:end w:w="68" w:type="dxa"/>
            </w:tcMar>
            <w:vAlign w:val="center"/>
          </w:tcPr>
          <w:p w14:paraId="46484FD6">
            <w:pPr>
              <w:spacing w:before="0" w:after="0" w:line="240" w:lineRule="auto"/>
              <w:jc w:val="left"/>
            </w:pPr>
            <w:r>
              <w:rPr>
                <w:rFonts w:ascii="Times New Roman" w:hAnsi="Times New Roman" w:eastAsia="Times New Roman" w:cs="Times New Roman"/>
                <w:b w:val="0"/>
                <w:color w:val="000000"/>
                <w:sz w:val="16"/>
              </w:rPr>
              <w:t>Collapsed family</w:t>
            </w:r>
          </w:p>
        </w:tc>
        <w:tc>
          <w:tcPr>
            <w:tcW w:w="2232" w:type="dxa"/>
            <w:tcMar>
              <w:top w:w="65" w:type="dxa"/>
              <w:left w:w="70" w:type="dxa"/>
              <w:bottom w:w="65" w:type="dxa"/>
              <w:right w:w="70" w:type="dxa"/>
              <w:start w:w="68" w:type="dxa"/>
              <w:end w:w="68" w:type="dxa"/>
            </w:tcMar>
            <w:vAlign w:val="center"/>
          </w:tcPr>
          <w:p w14:paraId="7E00902E">
            <w:pPr>
              <w:spacing w:before="0" w:after="0" w:line="240" w:lineRule="auto"/>
              <w:jc w:val="left"/>
            </w:pPr>
            <w:r>
              <w:rPr>
                <w:rFonts w:ascii="Times New Roman" w:hAnsi="Times New Roman" w:eastAsia="Times New Roman" w:cs="Times New Roman"/>
                <w:b w:val="0"/>
                <w:color w:val="000000"/>
                <w:sz w:val="16"/>
              </w:rPr>
              <w:t>546 (75.8%)</w:t>
            </w:r>
          </w:p>
        </w:tc>
        <w:tc>
          <w:tcPr>
            <w:tcW w:w="2232" w:type="dxa"/>
            <w:tcMar>
              <w:top w:w="65" w:type="dxa"/>
              <w:left w:w="70" w:type="dxa"/>
              <w:bottom w:w="65" w:type="dxa"/>
              <w:right w:w="70" w:type="dxa"/>
              <w:start w:w="68" w:type="dxa"/>
              <w:end w:w="68" w:type="dxa"/>
            </w:tcMar>
            <w:vAlign w:val="center"/>
          </w:tcPr>
          <w:p w14:paraId="6CED1C7C">
            <w:pPr>
              <w:spacing w:before="0" w:after="0" w:line="240" w:lineRule="auto"/>
              <w:jc w:val="left"/>
            </w:pPr>
            <w:r>
              <w:rPr>
                <w:rFonts w:ascii="Times New Roman" w:hAnsi="Times New Roman" w:eastAsia="Times New Roman" w:cs="Times New Roman"/>
                <w:b w:val="0"/>
                <w:color w:val="000000"/>
                <w:sz w:val="16"/>
              </w:rPr>
              <w:t>149 (20.7%)</w:t>
            </w:r>
          </w:p>
        </w:tc>
        <w:tc>
          <w:tcPr>
            <w:tcW w:w="2232" w:type="dxa"/>
            <w:tcMar>
              <w:top w:w="65" w:type="dxa"/>
              <w:left w:w="70" w:type="dxa"/>
              <w:bottom w:w="65" w:type="dxa"/>
              <w:right w:w="70" w:type="dxa"/>
              <w:start w:w="68" w:type="dxa"/>
              <w:end w:w="68" w:type="dxa"/>
            </w:tcMar>
            <w:vAlign w:val="center"/>
          </w:tcPr>
          <w:p w14:paraId="393881B0">
            <w:pPr>
              <w:spacing w:before="0" w:after="0" w:line="240" w:lineRule="auto"/>
              <w:jc w:val="left"/>
            </w:pPr>
            <w:r>
              <w:rPr>
                <w:rFonts w:ascii="Times New Roman" w:hAnsi="Times New Roman" w:eastAsia="Times New Roman" w:cs="Times New Roman"/>
                <w:b w:val="0"/>
                <w:color w:val="000000"/>
                <w:sz w:val="16"/>
              </w:rPr>
              <w:t>25 (3.5%)</w:t>
            </w:r>
          </w:p>
        </w:tc>
      </w:tr>
      <w:tr w14:paraId="6E4AD579">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3168" w:type="dxa"/>
            <w:tcMar>
              <w:top w:w="65" w:type="dxa"/>
              <w:left w:w="70" w:type="dxa"/>
              <w:bottom w:w="65" w:type="dxa"/>
              <w:right w:w="70" w:type="dxa"/>
              <w:start w:w="68" w:type="dxa"/>
              <w:end w:w="68" w:type="dxa"/>
            </w:tcMar>
            <w:vAlign w:val="center"/>
          </w:tcPr>
          <w:p w14:paraId="6B8F05D4">
            <w:pPr>
              <w:spacing w:before="0" w:after="0" w:line="240" w:lineRule="auto"/>
              <w:jc w:val="left"/>
            </w:pPr>
            <w:r>
              <w:rPr>
                <w:rFonts w:ascii="Times New Roman" w:hAnsi="Times New Roman" w:eastAsia="Times New Roman" w:cs="Times New Roman"/>
                <w:b w:val="0"/>
                <w:color w:val="000000"/>
                <w:sz w:val="16"/>
              </w:rPr>
              <w:t>Boundary zone</w:t>
            </w:r>
          </w:p>
        </w:tc>
        <w:tc>
          <w:tcPr>
            <w:tcW w:w="2232" w:type="dxa"/>
            <w:tcMar>
              <w:top w:w="65" w:type="dxa"/>
              <w:left w:w="70" w:type="dxa"/>
              <w:bottom w:w="65" w:type="dxa"/>
              <w:right w:w="70" w:type="dxa"/>
              <w:start w:w="68" w:type="dxa"/>
              <w:end w:w="68" w:type="dxa"/>
            </w:tcMar>
            <w:vAlign w:val="center"/>
          </w:tcPr>
          <w:p w14:paraId="7C312E49">
            <w:pPr>
              <w:spacing w:before="0" w:after="0" w:line="240" w:lineRule="auto"/>
              <w:jc w:val="left"/>
            </w:pPr>
            <w:r>
              <w:rPr>
                <w:rFonts w:ascii="Times New Roman" w:hAnsi="Times New Roman" w:eastAsia="Times New Roman" w:cs="Times New Roman"/>
                <w:b w:val="0"/>
                <w:color w:val="000000"/>
                <w:sz w:val="16"/>
              </w:rPr>
              <w:t>536 (74.4%)</w:t>
            </w:r>
          </w:p>
        </w:tc>
        <w:tc>
          <w:tcPr>
            <w:tcW w:w="2232" w:type="dxa"/>
            <w:tcMar>
              <w:top w:w="65" w:type="dxa"/>
              <w:left w:w="70" w:type="dxa"/>
              <w:bottom w:w="65" w:type="dxa"/>
              <w:right w:w="70" w:type="dxa"/>
              <w:start w:w="68" w:type="dxa"/>
              <w:end w:w="68" w:type="dxa"/>
            </w:tcMar>
            <w:vAlign w:val="center"/>
          </w:tcPr>
          <w:p w14:paraId="43B3B241">
            <w:pPr>
              <w:spacing w:before="0" w:after="0" w:line="240" w:lineRule="auto"/>
              <w:jc w:val="left"/>
            </w:pPr>
            <w:r>
              <w:rPr>
                <w:rFonts w:ascii="Times New Roman" w:hAnsi="Times New Roman" w:eastAsia="Times New Roman" w:cs="Times New Roman"/>
                <w:b w:val="0"/>
                <w:color w:val="000000"/>
                <w:sz w:val="16"/>
              </w:rPr>
              <w:t>157 (21.8%)</w:t>
            </w:r>
          </w:p>
        </w:tc>
        <w:tc>
          <w:tcPr>
            <w:tcW w:w="2232" w:type="dxa"/>
            <w:tcMar>
              <w:top w:w="65" w:type="dxa"/>
              <w:left w:w="70" w:type="dxa"/>
              <w:bottom w:w="65" w:type="dxa"/>
              <w:right w:w="70" w:type="dxa"/>
              <w:start w:w="68" w:type="dxa"/>
              <w:end w:w="68" w:type="dxa"/>
            </w:tcMar>
            <w:vAlign w:val="center"/>
          </w:tcPr>
          <w:p w14:paraId="6DB0AAFB">
            <w:pPr>
              <w:spacing w:before="0" w:after="0" w:line="240" w:lineRule="auto"/>
              <w:jc w:val="left"/>
            </w:pPr>
            <w:r>
              <w:rPr>
                <w:rFonts w:ascii="Times New Roman" w:hAnsi="Times New Roman" w:eastAsia="Times New Roman" w:cs="Times New Roman"/>
                <w:b w:val="0"/>
                <w:color w:val="000000"/>
                <w:sz w:val="16"/>
              </w:rPr>
              <w:t>27 (3.8%)</w:t>
            </w:r>
          </w:p>
        </w:tc>
      </w:tr>
      <w:tr w14:paraId="444AB249">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3168" w:type="dxa"/>
            <w:tcMar>
              <w:top w:w="65" w:type="dxa"/>
              <w:left w:w="70" w:type="dxa"/>
              <w:bottom w:w="65" w:type="dxa"/>
              <w:right w:w="70" w:type="dxa"/>
              <w:start w:w="68" w:type="dxa"/>
              <w:end w:w="68" w:type="dxa"/>
            </w:tcMar>
            <w:vAlign w:val="center"/>
          </w:tcPr>
          <w:p w14:paraId="1CC2989D">
            <w:pPr>
              <w:spacing w:before="0" w:after="0" w:line="240" w:lineRule="auto"/>
              <w:jc w:val="left"/>
            </w:pPr>
            <w:r>
              <w:rPr>
                <w:rFonts w:ascii="Times New Roman" w:hAnsi="Times New Roman" w:eastAsia="Times New Roman" w:cs="Times New Roman"/>
                <w:b w:val="0"/>
                <w:color w:val="000000"/>
                <w:sz w:val="16"/>
              </w:rPr>
              <w:t>Severity score</w:t>
            </w:r>
          </w:p>
        </w:tc>
        <w:tc>
          <w:tcPr>
            <w:tcW w:w="2232" w:type="dxa"/>
            <w:tcMar>
              <w:top w:w="65" w:type="dxa"/>
              <w:left w:w="70" w:type="dxa"/>
              <w:bottom w:w="65" w:type="dxa"/>
              <w:right w:w="70" w:type="dxa"/>
              <w:start w:w="68" w:type="dxa"/>
              <w:end w:w="68" w:type="dxa"/>
            </w:tcMar>
            <w:vAlign w:val="center"/>
          </w:tcPr>
          <w:p w14:paraId="74A8D66B">
            <w:pPr>
              <w:spacing w:before="0" w:after="0" w:line="240" w:lineRule="auto"/>
              <w:jc w:val="left"/>
            </w:pPr>
            <w:r>
              <w:rPr>
                <w:rFonts w:ascii="Times New Roman" w:hAnsi="Times New Roman" w:eastAsia="Times New Roman" w:cs="Times New Roman"/>
                <w:b w:val="0"/>
                <w:color w:val="000000"/>
                <w:sz w:val="16"/>
              </w:rPr>
              <w:t>436 (60.6%)</w:t>
            </w:r>
          </w:p>
        </w:tc>
        <w:tc>
          <w:tcPr>
            <w:tcW w:w="2232" w:type="dxa"/>
            <w:tcMar>
              <w:top w:w="65" w:type="dxa"/>
              <w:left w:w="70" w:type="dxa"/>
              <w:bottom w:w="65" w:type="dxa"/>
              <w:right w:w="70" w:type="dxa"/>
              <w:start w:w="68" w:type="dxa"/>
              <w:end w:w="68" w:type="dxa"/>
            </w:tcMar>
            <w:vAlign w:val="center"/>
          </w:tcPr>
          <w:p w14:paraId="11282C83">
            <w:pPr>
              <w:spacing w:before="0" w:after="0" w:line="240" w:lineRule="auto"/>
              <w:jc w:val="left"/>
            </w:pPr>
            <w:r>
              <w:rPr>
                <w:rFonts w:ascii="Times New Roman" w:hAnsi="Times New Roman" w:eastAsia="Times New Roman" w:cs="Times New Roman"/>
                <w:b w:val="0"/>
                <w:color w:val="000000"/>
                <w:sz w:val="16"/>
              </w:rPr>
              <w:t>242 (33.6%)</w:t>
            </w:r>
          </w:p>
        </w:tc>
        <w:tc>
          <w:tcPr>
            <w:tcW w:w="2232" w:type="dxa"/>
            <w:tcMar>
              <w:top w:w="65" w:type="dxa"/>
              <w:left w:w="70" w:type="dxa"/>
              <w:bottom w:w="65" w:type="dxa"/>
              <w:right w:w="70" w:type="dxa"/>
              <w:start w:w="68" w:type="dxa"/>
              <w:end w:w="68" w:type="dxa"/>
            </w:tcMar>
            <w:vAlign w:val="center"/>
          </w:tcPr>
          <w:p w14:paraId="19A12079">
            <w:pPr>
              <w:spacing w:before="0" w:after="0" w:line="240" w:lineRule="auto"/>
              <w:jc w:val="left"/>
            </w:pPr>
            <w:r>
              <w:rPr>
                <w:rFonts w:ascii="Times New Roman" w:hAnsi="Times New Roman" w:eastAsia="Times New Roman" w:cs="Times New Roman"/>
                <w:b w:val="0"/>
                <w:color w:val="000000"/>
                <w:sz w:val="16"/>
              </w:rPr>
              <w:t>42 (5.8%)</w:t>
            </w:r>
          </w:p>
        </w:tc>
      </w:tr>
    </w:tbl>
    <w:p>
      <w:pPr>
        <w:keepNext/>
      </w:pPr>
      <w:r>
        <w:t>Table S27. Sensitivity to explicit ambiguity status.</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1446"/>
        <w:gridCol w:w="1446"/>
        <w:gridCol w:w="1446"/>
        <w:gridCol w:w="1446"/>
        <w:gridCol w:w="1446"/>
        <w:gridCol w:w="1446"/>
        <w:gridCol w:w="1446"/>
      </w:tblGrid>
      <w:tr w14:paraId="419A6F64">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tblHeader w:val="true"/>
          <w:jc w:val="center"/>
          <w:tblHeader w:val="true"/>
        </w:trPr>
        <w:tc>
          <w:tcPr>
            <w:tcW w:w="1800" w:type="dxa"/>
            <w:tcMar>
              <w:top w:w="65" w:type="dxa"/>
              <w:left w:w="70" w:type="dxa"/>
              <w:bottom w:w="65" w:type="dxa"/>
              <w:right w:w="70" w:type="dxa"/>
              <w:start w:w="68" w:type="dxa"/>
              <w:end w:w="68" w:type="dxa"/>
            </w:tcMar>
            <w:vAlign w:val="center"/>
            <w:shd w:val="clear" w:color="auto" w:fill="E8F0F8"/>
          </w:tcPr>
          <w:p w14:paraId="024538FF">
            <w:pPr>
              <w:spacing w:before="0" w:after="0" w:line="240" w:lineRule="auto"/>
              <w:jc w:val="center"/>
            </w:pPr>
            <w:r>
              <w:rPr>
                <w:rFonts w:ascii="Times New Roman" w:hAnsi="Times New Roman" w:eastAsia="Times New Roman" w:cs="Times New Roman"/>
                <w:b/>
                <w:color w:val="1E364D"/>
                <w:sz w:val="14"/>
              </w:rPr>
              <w:t>Subset</w:t>
            </w:r>
          </w:p>
        </w:tc>
        <w:tc>
          <w:tcPr>
            <w:tcW w:w="1944" w:type="dxa"/>
            <w:tcMar>
              <w:top w:w="65" w:type="dxa"/>
              <w:left w:w="70" w:type="dxa"/>
              <w:bottom w:w="65" w:type="dxa"/>
              <w:right w:w="70" w:type="dxa"/>
              <w:start w:w="68" w:type="dxa"/>
              <w:end w:w="68" w:type="dxa"/>
            </w:tcMar>
            <w:vAlign w:val="center"/>
            <w:shd w:val="clear" w:color="auto" w:fill="E8F0F8"/>
          </w:tcPr>
          <w:p w14:paraId="5AA6E52A">
            <w:pPr>
              <w:spacing w:before="0" w:after="0" w:line="240" w:lineRule="auto"/>
              <w:jc w:val="center"/>
            </w:pPr>
            <w:r>
              <w:rPr>
                <w:rFonts w:ascii="Times New Roman" w:hAnsi="Times New Roman" w:eastAsia="Times New Roman" w:cs="Times New Roman"/>
                <w:b/>
                <w:color w:val="1E364D"/>
                <w:sz w:val="14"/>
              </w:rPr>
              <w:t>Target</w:t>
            </w:r>
          </w:p>
        </w:tc>
        <w:tc>
          <w:tcPr>
            <w:tcW w:w="648" w:type="dxa"/>
            <w:tcMar>
              <w:top w:w="65" w:type="dxa"/>
              <w:left w:w="70" w:type="dxa"/>
              <w:bottom w:w="65" w:type="dxa"/>
              <w:right w:w="70" w:type="dxa"/>
              <w:start w:w="68" w:type="dxa"/>
              <w:end w:w="68" w:type="dxa"/>
            </w:tcMar>
            <w:vAlign w:val="center"/>
            <w:shd w:val="clear" w:color="auto" w:fill="E8F0F8"/>
          </w:tcPr>
          <w:p w14:paraId="5F81EC3E">
            <w:pPr>
              <w:spacing w:before="0" w:after="0" w:line="240" w:lineRule="auto"/>
              <w:jc w:val="center"/>
            </w:pPr>
            <w:r>
              <w:rPr>
                <w:rFonts w:ascii="Times New Roman" w:hAnsi="Times New Roman" w:eastAsia="Times New Roman" w:cs="Times New Roman"/>
                <w:b/>
                <w:color w:val="1E364D"/>
                <w:sz w:val="14"/>
              </w:rPr>
              <w:t>N</w:t>
            </w:r>
          </w:p>
        </w:tc>
        <w:tc>
          <w:tcPr>
            <w:tcW w:w="936" w:type="dxa"/>
            <w:tcMar>
              <w:top w:w="65" w:type="dxa"/>
              <w:left w:w="70" w:type="dxa"/>
              <w:bottom w:w="65" w:type="dxa"/>
              <w:right w:w="70" w:type="dxa"/>
              <w:start w:w="68" w:type="dxa"/>
              <w:end w:w="68" w:type="dxa"/>
            </w:tcMar>
            <w:vAlign w:val="center"/>
            <w:shd w:val="clear" w:color="auto" w:fill="E8F0F8"/>
          </w:tcPr>
          <w:p w14:paraId="1D0A1062">
            <w:pPr>
              <w:spacing w:before="0" w:after="0" w:line="240" w:lineRule="auto"/>
              <w:jc w:val="center"/>
            </w:pPr>
            <w:r>
              <w:rPr>
                <w:rFonts w:ascii="Times New Roman" w:hAnsi="Times New Roman" w:eastAsia="Times New Roman" w:cs="Times New Roman"/>
                <w:b/>
                <w:color w:val="1E364D"/>
                <w:sz w:val="14"/>
              </w:rPr>
              <w:t>Exact</w:t>
            </w:r>
          </w:p>
        </w:tc>
        <w:tc>
          <w:tcPr>
            <w:tcW w:w="936" w:type="dxa"/>
            <w:tcMar>
              <w:top w:w="65" w:type="dxa"/>
              <w:left w:w="70" w:type="dxa"/>
              <w:bottom w:w="65" w:type="dxa"/>
              <w:right w:w="70" w:type="dxa"/>
              <w:start w:w="68" w:type="dxa"/>
              <w:end w:w="68" w:type="dxa"/>
            </w:tcMar>
            <w:vAlign w:val="center"/>
            <w:shd w:val="clear" w:color="auto" w:fill="E8F0F8"/>
          </w:tcPr>
          <w:p w14:paraId="28B405AE">
            <w:pPr>
              <w:spacing w:before="0" w:after="0" w:line="240" w:lineRule="auto"/>
              <w:jc w:val="center"/>
            </w:pPr>
            <w:r>
              <w:rPr>
                <w:rFonts w:ascii="Times New Roman" w:hAnsi="Times New Roman" w:eastAsia="Times New Roman" w:cs="Times New Roman"/>
                <w:b/>
                <w:color w:val="1E364D"/>
                <w:sz w:val="14"/>
              </w:rPr>
              <w:t>Kappa</w:t>
            </w:r>
          </w:p>
        </w:tc>
        <w:tc>
          <w:tcPr>
            <w:tcW w:w="936" w:type="dxa"/>
            <w:tcMar>
              <w:top w:w="65" w:type="dxa"/>
              <w:left w:w="70" w:type="dxa"/>
              <w:bottom w:w="65" w:type="dxa"/>
              <w:right w:w="70" w:type="dxa"/>
              <w:start w:w="68" w:type="dxa"/>
              <w:end w:w="68" w:type="dxa"/>
            </w:tcMar>
            <w:vAlign w:val="center"/>
            <w:shd w:val="clear" w:color="auto" w:fill="E8F0F8"/>
          </w:tcPr>
          <w:p w14:paraId="1DF86ABD">
            <w:pPr>
              <w:spacing w:before="0" w:after="0" w:line="240" w:lineRule="auto"/>
              <w:jc w:val="center"/>
            </w:pPr>
            <w:r>
              <w:rPr>
                <w:rFonts w:ascii="Times New Roman" w:hAnsi="Times New Roman" w:eastAsia="Times New Roman" w:cs="Times New Roman"/>
                <w:b/>
                <w:color w:val="1E364D"/>
                <w:sz w:val="14"/>
              </w:rPr>
              <w:t>Alpha</w:t>
            </w:r>
          </w:p>
        </w:tc>
        <w:tc>
          <w:tcPr>
            <w:tcW w:w="936" w:type="dxa"/>
            <w:tcMar>
              <w:top w:w="65" w:type="dxa"/>
              <w:left w:w="70" w:type="dxa"/>
              <w:bottom w:w="65" w:type="dxa"/>
              <w:right w:w="70" w:type="dxa"/>
              <w:start w:w="68" w:type="dxa"/>
              <w:end w:w="68" w:type="dxa"/>
            </w:tcMar>
            <w:vAlign w:val="center"/>
            <w:shd w:val="clear" w:color="auto" w:fill="E8F0F8"/>
          </w:tcPr>
          <w:p w14:paraId="565833C4">
            <w:pPr>
              <w:spacing w:before="0" w:after="0" w:line="240" w:lineRule="auto"/>
              <w:jc w:val="center"/>
            </w:pPr>
            <w:r>
              <w:rPr>
                <w:rFonts w:ascii="Times New Roman" w:hAnsi="Times New Roman" w:eastAsia="Times New Roman" w:cs="Times New Roman"/>
                <w:b/>
                <w:color w:val="1E364D"/>
                <w:sz w:val="14"/>
              </w:rPr>
              <w:t>AC1</w:t>
            </w:r>
          </w:p>
        </w:tc>
      </w:tr>
      <w:tr w14:paraId="1CE13BDF">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1800" w:type="dxa"/>
            <w:tcMar>
              <w:top w:w="65" w:type="dxa"/>
              <w:left w:w="70" w:type="dxa"/>
              <w:bottom w:w="65" w:type="dxa"/>
              <w:right w:w="70" w:type="dxa"/>
              <w:start w:w="68" w:type="dxa"/>
              <w:end w:w="68" w:type="dxa"/>
            </w:tcMar>
            <w:vAlign w:val="center"/>
          </w:tcPr>
          <w:p w14:paraId="49F3E4B7">
            <w:pPr>
              <w:spacing w:before="0" w:after="0" w:line="240" w:lineRule="auto"/>
              <w:jc w:val="left"/>
            </w:pPr>
            <w:r>
              <w:rPr>
                <w:rFonts w:ascii="Times New Roman" w:hAnsi="Times New Roman" w:eastAsia="Times New Roman" w:cs="Times New Roman"/>
                <w:b w:val="0"/>
                <w:color w:val="000000"/>
                <w:sz w:val="14"/>
              </w:rPr>
              <w:t>All</w:t>
            </w:r>
          </w:p>
        </w:tc>
        <w:tc>
          <w:tcPr>
            <w:tcW w:w="1944" w:type="dxa"/>
            <w:tcMar>
              <w:top w:w="65" w:type="dxa"/>
              <w:left w:w="70" w:type="dxa"/>
              <w:bottom w:w="65" w:type="dxa"/>
              <w:right w:w="70" w:type="dxa"/>
              <w:start w:w="68" w:type="dxa"/>
              <w:end w:w="68" w:type="dxa"/>
            </w:tcMar>
            <w:vAlign w:val="center"/>
          </w:tcPr>
          <w:p w14:paraId="369ADED0">
            <w:pPr>
              <w:spacing w:before="0" w:after="0" w:line="240" w:lineRule="auto"/>
              <w:jc w:val="left"/>
            </w:pPr>
            <w:r>
              <w:rPr>
                <w:rFonts w:ascii="Times New Roman" w:hAnsi="Times New Roman" w:eastAsia="Times New Roman" w:cs="Times New Roman"/>
                <w:b w:val="0"/>
                <w:color w:val="000000"/>
                <w:sz w:val="14"/>
              </w:rPr>
              <w:t>Fine labels</w:t>
            </w:r>
          </w:p>
        </w:tc>
        <w:tc>
          <w:tcPr>
            <w:tcW w:w="648" w:type="dxa"/>
            <w:tcMar>
              <w:top w:w="65" w:type="dxa"/>
              <w:left w:w="70" w:type="dxa"/>
              <w:bottom w:w="65" w:type="dxa"/>
              <w:right w:w="70" w:type="dxa"/>
              <w:start w:w="68" w:type="dxa"/>
              <w:end w:w="68" w:type="dxa"/>
            </w:tcMar>
            <w:vAlign w:val="center"/>
          </w:tcPr>
          <w:p w14:paraId="29787144">
            <w:pPr>
              <w:spacing w:before="0" w:after="0" w:line="240" w:lineRule="auto"/>
              <w:jc w:val="left"/>
            </w:pPr>
            <w:r>
              <w:rPr>
                <w:rFonts w:ascii="Times New Roman" w:hAnsi="Times New Roman" w:eastAsia="Times New Roman" w:cs="Times New Roman"/>
                <w:b w:val="0"/>
                <w:color w:val="000000"/>
                <w:sz w:val="14"/>
              </w:rPr>
              <w:t>720</w:t>
            </w:r>
          </w:p>
        </w:tc>
        <w:tc>
          <w:tcPr>
            <w:tcW w:w="936" w:type="dxa"/>
            <w:tcMar>
              <w:top w:w="65" w:type="dxa"/>
              <w:left w:w="70" w:type="dxa"/>
              <w:bottom w:w="65" w:type="dxa"/>
              <w:right w:w="70" w:type="dxa"/>
              <w:start w:w="68" w:type="dxa"/>
              <w:end w:w="68" w:type="dxa"/>
            </w:tcMar>
            <w:vAlign w:val="center"/>
          </w:tcPr>
          <w:p w14:paraId="724DD3C8">
            <w:pPr>
              <w:spacing w:before="0" w:after="0" w:line="240" w:lineRule="auto"/>
              <w:jc w:val="left"/>
            </w:pPr>
            <w:r>
              <w:rPr>
                <w:rFonts w:ascii="Times New Roman" w:hAnsi="Times New Roman" w:eastAsia="Times New Roman" w:cs="Times New Roman"/>
                <w:b w:val="0"/>
                <w:color w:val="000000"/>
                <w:sz w:val="14"/>
              </w:rPr>
              <w:t>70.7%</w:t>
            </w:r>
          </w:p>
        </w:tc>
        <w:tc>
          <w:tcPr>
            <w:tcW w:w="936" w:type="dxa"/>
            <w:tcMar>
              <w:top w:w="65" w:type="dxa"/>
              <w:left w:w="70" w:type="dxa"/>
              <w:bottom w:w="65" w:type="dxa"/>
              <w:right w:w="70" w:type="dxa"/>
              <w:start w:w="68" w:type="dxa"/>
              <w:end w:w="68" w:type="dxa"/>
            </w:tcMar>
            <w:vAlign w:val="center"/>
          </w:tcPr>
          <w:p w14:paraId="4FB0AB16">
            <w:pPr>
              <w:spacing w:before="0" w:after="0" w:line="240" w:lineRule="auto"/>
              <w:jc w:val="left"/>
            </w:pPr>
            <w:r>
              <w:rPr>
                <w:rFonts w:ascii="Times New Roman" w:hAnsi="Times New Roman" w:eastAsia="Times New Roman" w:cs="Times New Roman"/>
                <w:b w:val="0"/>
                <w:color w:val="000000"/>
                <w:sz w:val="14"/>
              </w:rPr>
              <w:t>0.703</w:t>
            </w:r>
          </w:p>
        </w:tc>
        <w:tc>
          <w:tcPr>
            <w:tcW w:w="936" w:type="dxa"/>
            <w:tcMar>
              <w:top w:w="65" w:type="dxa"/>
              <w:left w:w="70" w:type="dxa"/>
              <w:bottom w:w="65" w:type="dxa"/>
              <w:right w:w="70" w:type="dxa"/>
              <w:start w:w="68" w:type="dxa"/>
              <w:end w:w="68" w:type="dxa"/>
            </w:tcMar>
            <w:vAlign w:val="center"/>
          </w:tcPr>
          <w:p w14:paraId="1828B109">
            <w:pPr>
              <w:spacing w:before="0" w:after="0" w:line="240" w:lineRule="auto"/>
              <w:jc w:val="left"/>
            </w:pPr>
            <w:r>
              <w:rPr>
                <w:rFonts w:ascii="Times New Roman" w:hAnsi="Times New Roman" w:eastAsia="Times New Roman" w:cs="Times New Roman"/>
                <w:b w:val="0"/>
                <w:color w:val="000000"/>
                <w:sz w:val="14"/>
              </w:rPr>
              <w:t>0.703</w:t>
            </w:r>
          </w:p>
        </w:tc>
        <w:tc>
          <w:tcPr>
            <w:tcW w:w="936" w:type="dxa"/>
            <w:tcMar>
              <w:top w:w="65" w:type="dxa"/>
              <w:left w:w="70" w:type="dxa"/>
              <w:bottom w:w="65" w:type="dxa"/>
              <w:right w:w="70" w:type="dxa"/>
              <w:start w:w="68" w:type="dxa"/>
              <w:end w:w="68" w:type="dxa"/>
            </w:tcMar>
            <w:vAlign w:val="center"/>
          </w:tcPr>
          <w:p w14:paraId="5BCB8822">
            <w:pPr>
              <w:spacing w:before="0" w:after="0" w:line="240" w:lineRule="auto"/>
              <w:jc w:val="left"/>
            </w:pPr>
            <w:r>
              <w:rPr>
                <w:rFonts w:ascii="Times New Roman" w:hAnsi="Times New Roman" w:eastAsia="Times New Roman" w:cs="Times New Roman"/>
                <w:b w:val="0"/>
                <w:color w:val="000000"/>
                <w:sz w:val="14"/>
              </w:rPr>
              <w:t>0.763</w:t>
            </w:r>
          </w:p>
        </w:tc>
      </w:tr>
      <w:tr w14:paraId="16AC527F">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1800" w:type="dxa"/>
            <w:tcMar>
              <w:top w:w="65" w:type="dxa"/>
              <w:left w:w="70" w:type="dxa"/>
              <w:bottom w:w="65" w:type="dxa"/>
              <w:right w:w="70" w:type="dxa"/>
              <w:start w:w="68" w:type="dxa"/>
              <w:end w:w="68" w:type="dxa"/>
            </w:tcMar>
            <w:vAlign w:val="center"/>
          </w:tcPr>
          <w:p w14:paraId="3178B798">
            <w:pPr>
              <w:spacing w:before="0" w:after="0" w:line="240" w:lineRule="auto"/>
              <w:jc w:val="left"/>
            </w:pPr>
            <w:r>
              <w:rPr>
                <w:rFonts w:ascii="Times New Roman" w:hAnsi="Times New Roman" w:eastAsia="Times New Roman" w:cs="Times New Roman"/>
                <w:b w:val="0"/>
                <w:color w:val="000000"/>
                <w:sz w:val="14"/>
              </w:rPr>
              <w:t>All</w:t>
            </w:r>
          </w:p>
        </w:tc>
        <w:tc>
          <w:tcPr>
            <w:tcW w:w="1944" w:type="dxa"/>
            <w:tcMar>
              <w:top w:w="65" w:type="dxa"/>
              <w:left w:w="70" w:type="dxa"/>
              <w:bottom w:w="65" w:type="dxa"/>
              <w:right w:w="70" w:type="dxa"/>
              <w:start w:w="68" w:type="dxa"/>
              <w:end w:w="68" w:type="dxa"/>
            </w:tcMar>
            <w:vAlign w:val="center"/>
          </w:tcPr>
          <w:p w14:paraId="5D15D2B4">
            <w:pPr>
              <w:spacing w:before="0" w:after="0" w:line="240" w:lineRule="auto"/>
              <w:jc w:val="left"/>
            </w:pPr>
            <w:r>
              <w:rPr>
                <w:rFonts w:ascii="Times New Roman" w:hAnsi="Times New Roman" w:eastAsia="Times New Roman" w:cs="Times New Roman"/>
                <w:b w:val="0"/>
                <w:color w:val="000000"/>
                <w:sz w:val="14"/>
              </w:rPr>
              <w:t>Families</w:t>
            </w:r>
          </w:p>
        </w:tc>
        <w:tc>
          <w:tcPr>
            <w:tcW w:w="648" w:type="dxa"/>
            <w:tcMar>
              <w:top w:w="65" w:type="dxa"/>
              <w:left w:w="70" w:type="dxa"/>
              <w:bottom w:w="65" w:type="dxa"/>
              <w:right w:w="70" w:type="dxa"/>
              <w:start w:w="68" w:type="dxa"/>
              <w:end w:w="68" w:type="dxa"/>
            </w:tcMar>
            <w:vAlign w:val="center"/>
          </w:tcPr>
          <w:p w14:paraId="18D4F589">
            <w:pPr>
              <w:spacing w:before="0" w:after="0" w:line="240" w:lineRule="auto"/>
              <w:jc w:val="left"/>
            </w:pPr>
            <w:r>
              <w:rPr>
                <w:rFonts w:ascii="Times New Roman" w:hAnsi="Times New Roman" w:eastAsia="Times New Roman" w:cs="Times New Roman"/>
                <w:b w:val="0"/>
                <w:color w:val="000000"/>
                <w:sz w:val="14"/>
              </w:rPr>
              <w:t>720</w:t>
            </w:r>
          </w:p>
        </w:tc>
        <w:tc>
          <w:tcPr>
            <w:tcW w:w="936" w:type="dxa"/>
            <w:tcMar>
              <w:top w:w="65" w:type="dxa"/>
              <w:left w:w="70" w:type="dxa"/>
              <w:bottom w:w="65" w:type="dxa"/>
              <w:right w:w="70" w:type="dxa"/>
              <w:start w:w="68" w:type="dxa"/>
              <w:end w:w="68" w:type="dxa"/>
            </w:tcMar>
            <w:vAlign w:val="center"/>
          </w:tcPr>
          <w:p w14:paraId="26CA0366">
            <w:pPr>
              <w:spacing w:before="0" w:after="0" w:line="240" w:lineRule="auto"/>
              <w:jc w:val="left"/>
            </w:pPr>
            <w:r>
              <w:rPr>
                <w:rFonts w:ascii="Times New Roman" w:hAnsi="Times New Roman" w:eastAsia="Times New Roman" w:cs="Times New Roman"/>
                <w:b w:val="0"/>
                <w:color w:val="000000"/>
                <w:sz w:val="14"/>
              </w:rPr>
              <w:t>75.8%</w:t>
            </w:r>
          </w:p>
        </w:tc>
        <w:tc>
          <w:tcPr>
            <w:tcW w:w="936" w:type="dxa"/>
            <w:tcMar>
              <w:top w:w="65" w:type="dxa"/>
              <w:left w:w="70" w:type="dxa"/>
              <w:bottom w:w="65" w:type="dxa"/>
              <w:right w:w="70" w:type="dxa"/>
              <w:start w:w="68" w:type="dxa"/>
              <w:end w:w="68" w:type="dxa"/>
            </w:tcMar>
            <w:vAlign w:val="center"/>
          </w:tcPr>
          <w:p w14:paraId="6198E6C4">
            <w:pPr>
              <w:spacing w:before="0" w:after="0" w:line="240" w:lineRule="auto"/>
              <w:jc w:val="left"/>
            </w:pPr>
            <w:r>
              <w:rPr>
                <w:rFonts w:ascii="Times New Roman" w:hAnsi="Times New Roman" w:eastAsia="Times New Roman" w:cs="Times New Roman"/>
                <w:b w:val="0"/>
                <w:color w:val="000000"/>
                <w:sz w:val="14"/>
              </w:rPr>
              <w:t>0.730</w:t>
            </w:r>
          </w:p>
        </w:tc>
        <w:tc>
          <w:tcPr>
            <w:tcW w:w="936" w:type="dxa"/>
            <w:tcMar>
              <w:top w:w="65" w:type="dxa"/>
              <w:left w:w="70" w:type="dxa"/>
              <w:bottom w:w="65" w:type="dxa"/>
              <w:right w:w="70" w:type="dxa"/>
              <w:start w:w="68" w:type="dxa"/>
              <w:end w:w="68" w:type="dxa"/>
            </w:tcMar>
            <w:vAlign w:val="center"/>
          </w:tcPr>
          <w:p w14:paraId="5A633542">
            <w:pPr>
              <w:spacing w:before="0" w:after="0" w:line="240" w:lineRule="auto"/>
              <w:jc w:val="left"/>
            </w:pPr>
            <w:r>
              <w:rPr>
                <w:rFonts w:ascii="Times New Roman" w:hAnsi="Times New Roman" w:eastAsia="Times New Roman" w:cs="Times New Roman"/>
                <w:b w:val="0"/>
                <w:color w:val="000000"/>
                <w:sz w:val="14"/>
              </w:rPr>
              <w:t>0.731</w:t>
            </w:r>
          </w:p>
        </w:tc>
        <w:tc>
          <w:tcPr>
            <w:tcW w:w="936" w:type="dxa"/>
            <w:tcMar>
              <w:top w:w="65" w:type="dxa"/>
              <w:left w:w="70" w:type="dxa"/>
              <w:bottom w:w="65" w:type="dxa"/>
              <w:right w:w="70" w:type="dxa"/>
              <w:start w:w="68" w:type="dxa"/>
              <w:end w:w="68" w:type="dxa"/>
            </w:tcMar>
            <w:vAlign w:val="center"/>
          </w:tcPr>
          <w:p w14:paraId="4D1C14BD">
            <w:pPr>
              <w:spacing w:before="0" w:after="0" w:line="240" w:lineRule="auto"/>
              <w:jc w:val="left"/>
            </w:pPr>
            <w:r>
              <w:rPr>
                <w:rFonts w:ascii="Times New Roman" w:hAnsi="Times New Roman" w:eastAsia="Times New Roman" w:cs="Times New Roman"/>
                <w:b w:val="0"/>
                <w:color w:val="000000"/>
                <w:sz w:val="14"/>
              </w:rPr>
              <w:t>0.780</w:t>
            </w:r>
          </w:p>
        </w:tc>
      </w:tr>
      <w:tr w14:paraId="0CD95F98">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1800" w:type="dxa"/>
            <w:tcMar>
              <w:top w:w="65" w:type="dxa"/>
              <w:left w:w="70" w:type="dxa"/>
              <w:bottom w:w="65" w:type="dxa"/>
              <w:right w:w="70" w:type="dxa"/>
              <w:start w:w="68" w:type="dxa"/>
              <w:end w:w="68" w:type="dxa"/>
            </w:tcMar>
            <w:vAlign w:val="center"/>
          </w:tcPr>
          <w:p w14:paraId="38FF4A7E">
            <w:pPr>
              <w:spacing w:before="0" w:after="0" w:line="240" w:lineRule="auto"/>
              <w:jc w:val="left"/>
            </w:pPr>
            <w:r>
              <w:rPr>
                <w:rFonts w:ascii="Times New Roman" w:hAnsi="Times New Roman" w:eastAsia="Times New Roman" w:cs="Times New Roman"/>
                <w:b w:val="0"/>
                <w:color w:val="000000"/>
                <w:sz w:val="14"/>
              </w:rPr>
              <w:t>All</w:t>
            </w:r>
          </w:p>
        </w:tc>
        <w:tc>
          <w:tcPr>
            <w:tcW w:w="1944" w:type="dxa"/>
            <w:tcMar>
              <w:top w:w="65" w:type="dxa"/>
              <w:left w:w="70" w:type="dxa"/>
              <w:bottom w:w="65" w:type="dxa"/>
              <w:right w:w="70" w:type="dxa"/>
              <w:start w:w="68" w:type="dxa"/>
              <w:end w:w="68" w:type="dxa"/>
            </w:tcMar>
            <w:vAlign w:val="center"/>
          </w:tcPr>
          <w:p w14:paraId="7F012925">
            <w:pPr>
              <w:spacing w:before="0" w:after="0" w:line="240" w:lineRule="auto"/>
              <w:jc w:val="left"/>
            </w:pPr>
            <w:r>
              <w:rPr>
                <w:rFonts w:ascii="Times New Roman" w:hAnsi="Times New Roman" w:eastAsia="Times New Roman" w:cs="Times New Roman"/>
                <w:b w:val="0"/>
                <w:color w:val="000000"/>
                <w:sz w:val="14"/>
              </w:rPr>
              <w:t>Boundary</w:t>
            </w:r>
          </w:p>
        </w:tc>
        <w:tc>
          <w:tcPr>
            <w:tcW w:w="648" w:type="dxa"/>
            <w:tcMar>
              <w:top w:w="65" w:type="dxa"/>
              <w:left w:w="70" w:type="dxa"/>
              <w:bottom w:w="65" w:type="dxa"/>
              <w:right w:w="70" w:type="dxa"/>
              <w:start w:w="68" w:type="dxa"/>
              <w:end w:w="68" w:type="dxa"/>
            </w:tcMar>
            <w:vAlign w:val="center"/>
          </w:tcPr>
          <w:p w14:paraId="0EBA53DE">
            <w:pPr>
              <w:spacing w:before="0" w:after="0" w:line="240" w:lineRule="auto"/>
              <w:jc w:val="left"/>
            </w:pPr>
            <w:r>
              <w:rPr>
                <w:rFonts w:ascii="Times New Roman" w:hAnsi="Times New Roman" w:eastAsia="Times New Roman" w:cs="Times New Roman"/>
                <w:b w:val="0"/>
                <w:color w:val="000000"/>
                <w:sz w:val="14"/>
              </w:rPr>
              <w:t>720</w:t>
            </w:r>
          </w:p>
        </w:tc>
        <w:tc>
          <w:tcPr>
            <w:tcW w:w="936" w:type="dxa"/>
            <w:tcMar>
              <w:top w:w="65" w:type="dxa"/>
              <w:left w:w="70" w:type="dxa"/>
              <w:bottom w:w="65" w:type="dxa"/>
              <w:right w:w="70" w:type="dxa"/>
              <w:start w:w="68" w:type="dxa"/>
              <w:end w:w="68" w:type="dxa"/>
            </w:tcMar>
            <w:vAlign w:val="center"/>
          </w:tcPr>
          <w:p w14:paraId="4A65DC0E">
            <w:pPr>
              <w:spacing w:before="0" w:after="0" w:line="240" w:lineRule="auto"/>
              <w:jc w:val="left"/>
            </w:pPr>
            <w:r>
              <w:rPr>
                <w:rFonts w:ascii="Times New Roman" w:hAnsi="Times New Roman" w:eastAsia="Times New Roman" w:cs="Times New Roman"/>
                <w:b w:val="0"/>
                <w:color w:val="000000"/>
                <w:sz w:val="14"/>
              </w:rPr>
              <w:t>74.4%</w:t>
            </w:r>
          </w:p>
        </w:tc>
        <w:tc>
          <w:tcPr>
            <w:tcW w:w="936" w:type="dxa"/>
            <w:tcMar>
              <w:top w:w="65" w:type="dxa"/>
              <w:left w:w="70" w:type="dxa"/>
              <w:bottom w:w="65" w:type="dxa"/>
              <w:right w:w="70" w:type="dxa"/>
              <w:start w:w="68" w:type="dxa"/>
              <w:end w:w="68" w:type="dxa"/>
            </w:tcMar>
            <w:vAlign w:val="center"/>
          </w:tcPr>
          <w:p w14:paraId="6341E76A">
            <w:pPr>
              <w:spacing w:before="0" w:after="0" w:line="240" w:lineRule="auto"/>
              <w:jc w:val="left"/>
            </w:pPr>
            <w:r>
              <w:rPr>
                <w:rFonts w:ascii="Times New Roman" w:hAnsi="Times New Roman" w:eastAsia="Times New Roman" w:cs="Times New Roman"/>
                <w:b w:val="0"/>
                <w:color w:val="000000"/>
                <w:sz w:val="14"/>
              </w:rPr>
              <w:t>0.723</w:t>
            </w:r>
          </w:p>
        </w:tc>
        <w:tc>
          <w:tcPr>
            <w:tcW w:w="936" w:type="dxa"/>
            <w:tcMar>
              <w:top w:w="65" w:type="dxa"/>
              <w:left w:w="70" w:type="dxa"/>
              <w:bottom w:w="65" w:type="dxa"/>
              <w:right w:w="70" w:type="dxa"/>
              <w:start w:w="68" w:type="dxa"/>
              <w:end w:w="68" w:type="dxa"/>
            </w:tcMar>
            <w:vAlign w:val="center"/>
          </w:tcPr>
          <w:p w14:paraId="0D095BDC">
            <w:pPr>
              <w:spacing w:before="0" w:after="0" w:line="240" w:lineRule="auto"/>
              <w:jc w:val="left"/>
            </w:pPr>
            <w:r>
              <w:rPr>
                <w:rFonts w:ascii="Times New Roman" w:hAnsi="Times New Roman" w:eastAsia="Times New Roman" w:cs="Times New Roman"/>
                <w:b w:val="0"/>
                <w:color w:val="000000"/>
                <w:sz w:val="14"/>
              </w:rPr>
              <w:t>0.723</w:t>
            </w:r>
          </w:p>
        </w:tc>
        <w:tc>
          <w:tcPr>
            <w:tcW w:w="936" w:type="dxa"/>
            <w:tcMar>
              <w:top w:w="65" w:type="dxa"/>
              <w:left w:w="70" w:type="dxa"/>
              <w:bottom w:w="65" w:type="dxa"/>
              <w:right w:w="70" w:type="dxa"/>
              <w:start w:w="68" w:type="dxa"/>
              <w:end w:w="68" w:type="dxa"/>
            </w:tcMar>
            <w:vAlign w:val="center"/>
          </w:tcPr>
          <w:p w14:paraId="52B98B1E">
            <w:pPr>
              <w:spacing w:before="0" w:after="0" w:line="240" w:lineRule="auto"/>
              <w:jc w:val="left"/>
            </w:pPr>
            <w:r>
              <w:rPr>
                <w:rFonts w:ascii="Times New Roman" w:hAnsi="Times New Roman" w:eastAsia="Times New Roman" w:cs="Times New Roman"/>
                <w:b w:val="0"/>
                <w:color w:val="000000"/>
                <w:sz w:val="14"/>
              </w:rPr>
              <w:t>0.766</w:t>
            </w:r>
          </w:p>
        </w:tc>
      </w:tr>
      <w:tr w14:paraId="7AF3BB02">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1800" w:type="dxa"/>
            <w:tcMar>
              <w:top w:w="65" w:type="dxa"/>
              <w:left w:w="70" w:type="dxa"/>
              <w:bottom w:w="65" w:type="dxa"/>
              <w:right w:w="70" w:type="dxa"/>
              <w:start w:w="68" w:type="dxa"/>
              <w:end w:w="68" w:type="dxa"/>
            </w:tcMar>
            <w:vAlign w:val="center"/>
          </w:tcPr>
          <w:p w14:paraId="7E7F73F0">
            <w:pPr>
              <w:spacing w:before="0" w:after="0" w:line="240" w:lineRule="auto"/>
              <w:jc w:val="left"/>
            </w:pPr>
            <w:r>
              <w:rPr>
                <w:rFonts w:ascii="Times New Roman" w:hAnsi="Times New Roman" w:eastAsia="Times New Roman" w:cs="Times New Roman"/>
                <w:b w:val="0"/>
                <w:color w:val="000000"/>
                <w:sz w:val="14"/>
              </w:rPr>
              <w:t>Non-ambiguous</w:t>
            </w:r>
          </w:p>
        </w:tc>
        <w:tc>
          <w:tcPr>
            <w:tcW w:w="1944" w:type="dxa"/>
            <w:tcMar>
              <w:top w:w="65" w:type="dxa"/>
              <w:left w:w="70" w:type="dxa"/>
              <w:bottom w:w="65" w:type="dxa"/>
              <w:right w:w="70" w:type="dxa"/>
              <w:start w:w="68" w:type="dxa"/>
              <w:end w:w="68" w:type="dxa"/>
            </w:tcMar>
            <w:vAlign w:val="center"/>
          </w:tcPr>
          <w:p w14:paraId="3CF7F769">
            <w:pPr>
              <w:spacing w:before="0" w:after="0" w:line="240" w:lineRule="auto"/>
              <w:jc w:val="left"/>
            </w:pPr>
            <w:r>
              <w:rPr>
                <w:rFonts w:ascii="Times New Roman" w:hAnsi="Times New Roman" w:eastAsia="Times New Roman" w:cs="Times New Roman"/>
                <w:b w:val="0"/>
                <w:color w:val="000000"/>
                <w:sz w:val="14"/>
              </w:rPr>
              <w:t>Fine labels</w:t>
            </w:r>
          </w:p>
        </w:tc>
        <w:tc>
          <w:tcPr>
            <w:tcW w:w="648" w:type="dxa"/>
            <w:tcMar>
              <w:top w:w="65" w:type="dxa"/>
              <w:left w:w="70" w:type="dxa"/>
              <w:bottom w:w="65" w:type="dxa"/>
              <w:right w:w="70" w:type="dxa"/>
              <w:start w:w="68" w:type="dxa"/>
              <w:end w:w="68" w:type="dxa"/>
            </w:tcMar>
            <w:vAlign w:val="center"/>
          </w:tcPr>
          <w:p w14:paraId="1FD8446D">
            <w:pPr>
              <w:spacing w:before="0" w:after="0" w:line="240" w:lineRule="auto"/>
              <w:jc w:val="left"/>
            </w:pPr>
            <w:r>
              <w:rPr>
                <w:rFonts w:ascii="Times New Roman" w:hAnsi="Times New Roman" w:eastAsia="Times New Roman" w:cs="Times New Roman"/>
                <w:b w:val="0"/>
                <w:color w:val="000000"/>
                <w:sz w:val="14"/>
              </w:rPr>
              <w:t>684</w:t>
            </w:r>
          </w:p>
        </w:tc>
        <w:tc>
          <w:tcPr>
            <w:tcW w:w="936" w:type="dxa"/>
            <w:tcMar>
              <w:top w:w="65" w:type="dxa"/>
              <w:left w:w="70" w:type="dxa"/>
              <w:bottom w:w="65" w:type="dxa"/>
              <w:right w:w="70" w:type="dxa"/>
              <w:start w:w="68" w:type="dxa"/>
              <w:end w:w="68" w:type="dxa"/>
            </w:tcMar>
            <w:vAlign w:val="center"/>
          </w:tcPr>
          <w:p w14:paraId="1E6CEEBF">
            <w:pPr>
              <w:spacing w:before="0" w:after="0" w:line="240" w:lineRule="auto"/>
              <w:jc w:val="left"/>
            </w:pPr>
            <w:r>
              <w:rPr>
                <w:rFonts w:ascii="Times New Roman" w:hAnsi="Times New Roman" w:eastAsia="Times New Roman" w:cs="Times New Roman"/>
                <w:b w:val="0"/>
                <w:color w:val="000000"/>
                <w:sz w:val="14"/>
              </w:rPr>
              <w:t>71.9%</w:t>
            </w:r>
          </w:p>
        </w:tc>
        <w:tc>
          <w:tcPr>
            <w:tcW w:w="936" w:type="dxa"/>
            <w:tcMar>
              <w:top w:w="65" w:type="dxa"/>
              <w:left w:w="70" w:type="dxa"/>
              <w:bottom w:w="65" w:type="dxa"/>
              <w:right w:w="70" w:type="dxa"/>
              <w:start w:w="68" w:type="dxa"/>
              <w:end w:w="68" w:type="dxa"/>
            </w:tcMar>
            <w:vAlign w:val="center"/>
          </w:tcPr>
          <w:p w14:paraId="5CAB2F8C">
            <w:pPr>
              <w:spacing w:before="0" w:after="0" w:line="240" w:lineRule="auto"/>
              <w:jc w:val="left"/>
            </w:pPr>
            <w:r>
              <w:rPr>
                <w:rFonts w:ascii="Times New Roman" w:hAnsi="Times New Roman" w:eastAsia="Times New Roman" w:cs="Times New Roman"/>
                <w:b w:val="0"/>
                <w:color w:val="000000"/>
                <w:sz w:val="14"/>
              </w:rPr>
              <w:t>0.713</w:t>
            </w:r>
          </w:p>
        </w:tc>
        <w:tc>
          <w:tcPr>
            <w:tcW w:w="936" w:type="dxa"/>
            <w:tcMar>
              <w:top w:w="65" w:type="dxa"/>
              <w:left w:w="70" w:type="dxa"/>
              <w:bottom w:w="65" w:type="dxa"/>
              <w:right w:w="70" w:type="dxa"/>
              <w:start w:w="68" w:type="dxa"/>
              <w:end w:w="68" w:type="dxa"/>
            </w:tcMar>
            <w:vAlign w:val="center"/>
          </w:tcPr>
          <w:p w14:paraId="3F4D6B90">
            <w:pPr>
              <w:spacing w:before="0" w:after="0" w:line="240" w:lineRule="auto"/>
              <w:jc w:val="left"/>
            </w:pPr>
            <w:r>
              <w:rPr>
                <w:rFonts w:ascii="Times New Roman" w:hAnsi="Times New Roman" w:eastAsia="Times New Roman" w:cs="Times New Roman"/>
                <w:b w:val="0"/>
                <w:color w:val="000000"/>
                <w:sz w:val="14"/>
              </w:rPr>
              <w:t>0.713</w:t>
            </w:r>
          </w:p>
        </w:tc>
        <w:tc>
          <w:tcPr>
            <w:tcW w:w="936" w:type="dxa"/>
            <w:tcMar>
              <w:top w:w="65" w:type="dxa"/>
              <w:left w:w="70" w:type="dxa"/>
              <w:bottom w:w="65" w:type="dxa"/>
              <w:right w:w="70" w:type="dxa"/>
              <w:start w:w="68" w:type="dxa"/>
              <w:end w:w="68" w:type="dxa"/>
            </w:tcMar>
            <w:vAlign w:val="center"/>
          </w:tcPr>
          <w:p w14:paraId="6F84E051">
            <w:pPr>
              <w:spacing w:before="0" w:after="0" w:line="240" w:lineRule="auto"/>
              <w:jc w:val="left"/>
            </w:pPr>
            <w:r>
              <w:rPr>
                <w:rFonts w:ascii="Times New Roman" w:hAnsi="Times New Roman" w:eastAsia="Times New Roman" w:cs="Times New Roman"/>
                <w:b w:val="0"/>
                <w:color w:val="000000"/>
                <w:sz w:val="14"/>
              </w:rPr>
              <w:t>0.773</w:t>
            </w:r>
          </w:p>
        </w:tc>
      </w:tr>
      <w:tr w14:paraId="1C98F341">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1800" w:type="dxa"/>
            <w:tcMar>
              <w:top w:w="65" w:type="dxa"/>
              <w:left w:w="70" w:type="dxa"/>
              <w:bottom w:w="65" w:type="dxa"/>
              <w:right w:w="70" w:type="dxa"/>
              <w:start w:w="68" w:type="dxa"/>
              <w:end w:w="68" w:type="dxa"/>
            </w:tcMar>
            <w:vAlign w:val="center"/>
          </w:tcPr>
          <w:p w14:paraId="3C460F43">
            <w:pPr>
              <w:spacing w:before="0" w:after="0" w:line="240" w:lineRule="auto"/>
              <w:jc w:val="left"/>
            </w:pPr>
            <w:r>
              <w:rPr>
                <w:rFonts w:ascii="Times New Roman" w:hAnsi="Times New Roman" w:eastAsia="Times New Roman" w:cs="Times New Roman"/>
                <w:b w:val="0"/>
                <w:color w:val="000000"/>
                <w:sz w:val="14"/>
              </w:rPr>
              <w:t>Non-ambiguous</w:t>
            </w:r>
          </w:p>
        </w:tc>
        <w:tc>
          <w:tcPr>
            <w:tcW w:w="1944" w:type="dxa"/>
            <w:tcMar>
              <w:top w:w="65" w:type="dxa"/>
              <w:left w:w="70" w:type="dxa"/>
              <w:bottom w:w="65" w:type="dxa"/>
              <w:right w:w="70" w:type="dxa"/>
              <w:start w:w="68" w:type="dxa"/>
              <w:end w:w="68" w:type="dxa"/>
            </w:tcMar>
            <w:vAlign w:val="center"/>
          </w:tcPr>
          <w:p w14:paraId="6F03E34E">
            <w:pPr>
              <w:spacing w:before="0" w:after="0" w:line="240" w:lineRule="auto"/>
              <w:jc w:val="left"/>
            </w:pPr>
            <w:r>
              <w:rPr>
                <w:rFonts w:ascii="Times New Roman" w:hAnsi="Times New Roman" w:eastAsia="Times New Roman" w:cs="Times New Roman"/>
                <w:b w:val="0"/>
                <w:color w:val="000000"/>
                <w:sz w:val="14"/>
              </w:rPr>
              <w:t>Families</w:t>
            </w:r>
          </w:p>
        </w:tc>
        <w:tc>
          <w:tcPr>
            <w:tcW w:w="648" w:type="dxa"/>
            <w:tcMar>
              <w:top w:w="65" w:type="dxa"/>
              <w:left w:w="70" w:type="dxa"/>
              <w:bottom w:w="65" w:type="dxa"/>
              <w:right w:w="70" w:type="dxa"/>
              <w:start w:w="68" w:type="dxa"/>
              <w:end w:w="68" w:type="dxa"/>
            </w:tcMar>
            <w:vAlign w:val="center"/>
          </w:tcPr>
          <w:p w14:paraId="0324C141">
            <w:pPr>
              <w:spacing w:before="0" w:after="0" w:line="240" w:lineRule="auto"/>
              <w:jc w:val="left"/>
            </w:pPr>
            <w:r>
              <w:rPr>
                <w:rFonts w:ascii="Times New Roman" w:hAnsi="Times New Roman" w:eastAsia="Times New Roman" w:cs="Times New Roman"/>
                <w:b w:val="0"/>
                <w:color w:val="000000"/>
                <w:sz w:val="14"/>
              </w:rPr>
              <w:t>684</w:t>
            </w:r>
          </w:p>
        </w:tc>
        <w:tc>
          <w:tcPr>
            <w:tcW w:w="936" w:type="dxa"/>
            <w:tcMar>
              <w:top w:w="65" w:type="dxa"/>
              <w:left w:w="70" w:type="dxa"/>
              <w:bottom w:w="65" w:type="dxa"/>
              <w:right w:w="70" w:type="dxa"/>
              <w:start w:w="68" w:type="dxa"/>
              <w:end w:w="68" w:type="dxa"/>
            </w:tcMar>
            <w:vAlign w:val="center"/>
          </w:tcPr>
          <w:p w14:paraId="19281327">
            <w:pPr>
              <w:spacing w:before="0" w:after="0" w:line="240" w:lineRule="auto"/>
              <w:jc w:val="left"/>
            </w:pPr>
            <w:r>
              <w:rPr>
                <w:rFonts w:ascii="Times New Roman" w:hAnsi="Times New Roman" w:eastAsia="Times New Roman" w:cs="Times New Roman"/>
                <w:b w:val="0"/>
                <w:color w:val="000000"/>
                <w:sz w:val="14"/>
              </w:rPr>
              <w:t>77.0%</w:t>
            </w:r>
          </w:p>
        </w:tc>
        <w:tc>
          <w:tcPr>
            <w:tcW w:w="936" w:type="dxa"/>
            <w:tcMar>
              <w:top w:w="65" w:type="dxa"/>
              <w:left w:w="70" w:type="dxa"/>
              <w:bottom w:w="65" w:type="dxa"/>
              <w:right w:w="70" w:type="dxa"/>
              <w:start w:w="68" w:type="dxa"/>
              <w:end w:w="68" w:type="dxa"/>
            </w:tcMar>
            <w:vAlign w:val="center"/>
          </w:tcPr>
          <w:p w14:paraId="01780B16">
            <w:pPr>
              <w:spacing w:before="0" w:after="0" w:line="240" w:lineRule="auto"/>
              <w:jc w:val="left"/>
            </w:pPr>
            <w:r>
              <w:rPr>
                <w:rFonts w:ascii="Times New Roman" w:hAnsi="Times New Roman" w:eastAsia="Times New Roman" w:cs="Times New Roman"/>
                <w:b w:val="0"/>
                <w:color w:val="000000"/>
                <w:sz w:val="14"/>
              </w:rPr>
              <w:t>0.741</w:t>
            </w:r>
          </w:p>
        </w:tc>
        <w:tc>
          <w:tcPr>
            <w:tcW w:w="936" w:type="dxa"/>
            <w:tcMar>
              <w:top w:w="65" w:type="dxa"/>
              <w:left w:w="70" w:type="dxa"/>
              <w:bottom w:w="65" w:type="dxa"/>
              <w:right w:w="70" w:type="dxa"/>
              <w:start w:w="68" w:type="dxa"/>
              <w:end w:w="68" w:type="dxa"/>
            </w:tcMar>
            <w:vAlign w:val="center"/>
          </w:tcPr>
          <w:p w14:paraId="65FC6ADE">
            <w:pPr>
              <w:spacing w:before="0" w:after="0" w:line="240" w:lineRule="auto"/>
              <w:jc w:val="left"/>
            </w:pPr>
            <w:r>
              <w:rPr>
                <w:rFonts w:ascii="Times New Roman" w:hAnsi="Times New Roman" w:eastAsia="Times New Roman" w:cs="Times New Roman"/>
                <w:b w:val="0"/>
                <w:color w:val="000000"/>
                <w:sz w:val="14"/>
              </w:rPr>
              <w:t>0.741</w:t>
            </w:r>
          </w:p>
        </w:tc>
        <w:tc>
          <w:tcPr>
            <w:tcW w:w="936" w:type="dxa"/>
            <w:tcMar>
              <w:top w:w="65" w:type="dxa"/>
              <w:left w:w="70" w:type="dxa"/>
              <w:bottom w:w="65" w:type="dxa"/>
              <w:right w:w="70" w:type="dxa"/>
              <w:start w:w="68" w:type="dxa"/>
              <w:end w:w="68" w:type="dxa"/>
            </w:tcMar>
            <w:vAlign w:val="center"/>
          </w:tcPr>
          <w:p w14:paraId="2C1BBD28">
            <w:pPr>
              <w:spacing w:before="0" w:after="0" w:line="240" w:lineRule="auto"/>
              <w:jc w:val="left"/>
            </w:pPr>
            <w:r>
              <w:rPr>
                <w:rFonts w:ascii="Times New Roman" w:hAnsi="Times New Roman" w:eastAsia="Times New Roman" w:cs="Times New Roman"/>
                <w:b w:val="0"/>
                <w:color w:val="000000"/>
                <w:sz w:val="14"/>
              </w:rPr>
              <w:t>0.793</w:t>
            </w:r>
          </w:p>
        </w:tc>
      </w:tr>
      <w:tr w14:paraId="0CA82B9B">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1800" w:type="dxa"/>
            <w:tcMar>
              <w:top w:w="65" w:type="dxa"/>
              <w:left w:w="70" w:type="dxa"/>
              <w:bottom w:w="65" w:type="dxa"/>
              <w:right w:w="70" w:type="dxa"/>
              <w:start w:w="68" w:type="dxa"/>
              <w:end w:w="68" w:type="dxa"/>
            </w:tcMar>
            <w:vAlign w:val="center"/>
          </w:tcPr>
          <w:p w14:paraId="359C6476">
            <w:pPr>
              <w:spacing w:before="0" w:after="0" w:line="240" w:lineRule="auto"/>
              <w:jc w:val="left"/>
            </w:pPr>
            <w:r>
              <w:rPr>
                <w:rFonts w:ascii="Times New Roman" w:hAnsi="Times New Roman" w:eastAsia="Times New Roman" w:cs="Times New Roman"/>
                <w:b w:val="0"/>
                <w:color w:val="000000"/>
                <w:sz w:val="14"/>
              </w:rPr>
              <w:t>Non-ambiguous</w:t>
            </w:r>
          </w:p>
        </w:tc>
        <w:tc>
          <w:tcPr>
            <w:tcW w:w="1944" w:type="dxa"/>
            <w:tcMar>
              <w:top w:w="65" w:type="dxa"/>
              <w:left w:w="70" w:type="dxa"/>
              <w:bottom w:w="65" w:type="dxa"/>
              <w:right w:w="70" w:type="dxa"/>
              <w:start w:w="68" w:type="dxa"/>
              <w:end w:w="68" w:type="dxa"/>
            </w:tcMar>
            <w:vAlign w:val="center"/>
          </w:tcPr>
          <w:p w14:paraId="5F06BCF7">
            <w:pPr>
              <w:spacing w:before="0" w:after="0" w:line="240" w:lineRule="auto"/>
              <w:jc w:val="left"/>
            </w:pPr>
            <w:r>
              <w:rPr>
                <w:rFonts w:ascii="Times New Roman" w:hAnsi="Times New Roman" w:eastAsia="Times New Roman" w:cs="Times New Roman"/>
                <w:b w:val="0"/>
                <w:color w:val="000000"/>
                <w:sz w:val="14"/>
              </w:rPr>
              <w:t>Boundary</w:t>
            </w:r>
          </w:p>
        </w:tc>
        <w:tc>
          <w:tcPr>
            <w:tcW w:w="648" w:type="dxa"/>
            <w:tcMar>
              <w:top w:w="65" w:type="dxa"/>
              <w:left w:w="70" w:type="dxa"/>
              <w:bottom w:w="65" w:type="dxa"/>
              <w:right w:w="70" w:type="dxa"/>
              <w:start w:w="68" w:type="dxa"/>
              <w:end w:w="68" w:type="dxa"/>
            </w:tcMar>
            <w:vAlign w:val="center"/>
          </w:tcPr>
          <w:p w14:paraId="772D9197">
            <w:pPr>
              <w:spacing w:before="0" w:after="0" w:line="240" w:lineRule="auto"/>
              <w:jc w:val="left"/>
            </w:pPr>
            <w:r>
              <w:rPr>
                <w:rFonts w:ascii="Times New Roman" w:hAnsi="Times New Roman" w:eastAsia="Times New Roman" w:cs="Times New Roman"/>
                <w:b w:val="0"/>
                <w:color w:val="000000"/>
                <w:sz w:val="14"/>
              </w:rPr>
              <w:t>684</w:t>
            </w:r>
          </w:p>
        </w:tc>
        <w:tc>
          <w:tcPr>
            <w:tcW w:w="936" w:type="dxa"/>
            <w:tcMar>
              <w:top w:w="65" w:type="dxa"/>
              <w:left w:w="70" w:type="dxa"/>
              <w:bottom w:w="65" w:type="dxa"/>
              <w:right w:w="70" w:type="dxa"/>
              <w:start w:w="68" w:type="dxa"/>
              <w:end w:w="68" w:type="dxa"/>
            </w:tcMar>
            <w:vAlign w:val="center"/>
          </w:tcPr>
          <w:p w14:paraId="18A31A55">
            <w:pPr>
              <w:spacing w:before="0" w:after="0" w:line="240" w:lineRule="auto"/>
              <w:jc w:val="left"/>
            </w:pPr>
            <w:r>
              <w:rPr>
                <w:rFonts w:ascii="Times New Roman" w:hAnsi="Times New Roman" w:eastAsia="Times New Roman" w:cs="Times New Roman"/>
                <w:b w:val="0"/>
                <w:color w:val="000000"/>
                <w:sz w:val="14"/>
              </w:rPr>
              <w:t>75.3%</w:t>
            </w:r>
          </w:p>
        </w:tc>
        <w:tc>
          <w:tcPr>
            <w:tcW w:w="936" w:type="dxa"/>
            <w:tcMar>
              <w:top w:w="65" w:type="dxa"/>
              <w:left w:w="70" w:type="dxa"/>
              <w:bottom w:w="65" w:type="dxa"/>
              <w:right w:w="70" w:type="dxa"/>
              <w:start w:w="68" w:type="dxa"/>
              <w:end w:w="68" w:type="dxa"/>
            </w:tcMar>
            <w:vAlign w:val="center"/>
          </w:tcPr>
          <w:p w14:paraId="401F184E">
            <w:pPr>
              <w:spacing w:before="0" w:after="0" w:line="240" w:lineRule="auto"/>
              <w:jc w:val="left"/>
            </w:pPr>
            <w:r>
              <w:rPr>
                <w:rFonts w:ascii="Times New Roman" w:hAnsi="Times New Roman" w:eastAsia="Times New Roman" w:cs="Times New Roman"/>
                <w:b w:val="0"/>
                <w:color w:val="000000"/>
                <w:sz w:val="14"/>
              </w:rPr>
              <w:t>0.729</w:t>
            </w:r>
          </w:p>
        </w:tc>
        <w:tc>
          <w:tcPr>
            <w:tcW w:w="936" w:type="dxa"/>
            <w:tcMar>
              <w:top w:w="65" w:type="dxa"/>
              <w:left w:w="70" w:type="dxa"/>
              <w:bottom w:w="65" w:type="dxa"/>
              <w:right w:w="70" w:type="dxa"/>
              <w:start w:w="68" w:type="dxa"/>
              <w:end w:w="68" w:type="dxa"/>
            </w:tcMar>
            <w:vAlign w:val="center"/>
          </w:tcPr>
          <w:p w14:paraId="17830EC8">
            <w:pPr>
              <w:spacing w:before="0" w:after="0" w:line="240" w:lineRule="auto"/>
              <w:jc w:val="left"/>
            </w:pPr>
            <w:r>
              <w:rPr>
                <w:rFonts w:ascii="Times New Roman" w:hAnsi="Times New Roman" w:eastAsia="Times New Roman" w:cs="Times New Roman"/>
                <w:b w:val="0"/>
                <w:color w:val="000000"/>
                <w:sz w:val="14"/>
              </w:rPr>
              <w:t>0.729</w:t>
            </w:r>
          </w:p>
        </w:tc>
        <w:tc>
          <w:tcPr>
            <w:tcW w:w="936" w:type="dxa"/>
            <w:tcMar>
              <w:top w:w="65" w:type="dxa"/>
              <w:left w:w="70" w:type="dxa"/>
              <w:bottom w:w="65" w:type="dxa"/>
              <w:right w:w="70" w:type="dxa"/>
              <w:start w:w="68" w:type="dxa"/>
              <w:end w:w="68" w:type="dxa"/>
            </w:tcMar>
            <w:vAlign w:val="center"/>
          </w:tcPr>
          <w:p w14:paraId="0020A89B">
            <w:pPr>
              <w:spacing w:before="0" w:after="0" w:line="240" w:lineRule="auto"/>
              <w:jc w:val="left"/>
            </w:pPr>
            <w:r>
              <w:rPr>
                <w:rFonts w:ascii="Times New Roman" w:hAnsi="Times New Roman" w:eastAsia="Times New Roman" w:cs="Times New Roman"/>
                <w:b w:val="0"/>
                <w:color w:val="000000"/>
                <w:sz w:val="14"/>
              </w:rPr>
              <w:t>0.774</w:t>
            </w:r>
          </w:p>
        </w:tc>
      </w:tr>
      <w:tr w14:paraId="359B8D2F">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1800" w:type="dxa"/>
            <w:tcMar>
              <w:top w:w="65" w:type="dxa"/>
              <w:left w:w="70" w:type="dxa"/>
              <w:bottom w:w="65" w:type="dxa"/>
              <w:right w:w="70" w:type="dxa"/>
              <w:start w:w="68" w:type="dxa"/>
              <w:end w:w="68" w:type="dxa"/>
            </w:tcMar>
            <w:vAlign w:val="center"/>
          </w:tcPr>
          <w:p w14:paraId="745B25F8">
            <w:pPr>
              <w:spacing w:before="0" w:after="0" w:line="240" w:lineRule="auto"/>
              <w:jc w:val="left"/>
            </w:pPr>
            <w:r>
              <w:rPr>
                <w:rFonts w:ascii="Times New Roman" w:hAnsi="Times New Roman" w:eastAsia="Times New Roman" w:cs="Times New Roman"/>
                <w:b w:val="0"/>
                <w:color w:val="000000"/>
                <w:sz w:val="14"/>
              </w:rPr>
              <w:t>Ambiguous</w:t>
            </w:r>
          </w:p>
        </w:tc>
        <w:tc>
          <w:tcPr>
            <w:tcW w:w="1944" w:type="dxa"/>
            <w:tcMar>
              <w:top w:w="65" w:type="dxa"/>
              <w:left w:w="70" w:type="dxa"/>
              <w:bottom w:w="65" w:type="dxa"/>
              <w:right w:w="70" w:type="dxa"/>
              <w:start w:w="68" w:type="dxa"/>
              <w:end w:w="68" w:type="dxa"/>
            </w:tcMar>
            <w:vAlign w:val="center"/>
          </w:tcPr>
          <w:p w14:paraId="12137F97">
            <w:pPr>
              <w:spacing w:before="0" w:after="0" w:line="240" w:lineRule="auto"/>
              <w:jc w:val="left"/>
            </w:pPr>
            <w:r>
              <w:rPr>
                <w:rFonts w:ascii="Times New Roman" w:hAnsi="Times New Roman" w:eastAsia="Times New Roman" w:cs="Times New Roman"/>
                <w:b w:val="0"/>
                <w:color w:val="000000"/>
                <w:sz w:val="14"/>
              </w:rPr>
              <w:t>Fine labels</w:t>
            </w:r>
          </w:p>
        </w:tc>
        <w:tc>
          <w:tcPr>
            <w:tcW w:w="648" w:type="dxa"/>
            <w:tcMar>
              <w:top w:w="65" w:type="dxa"/>
              <w:left w:w="70" w:type="dxa"/>
              <w:bottom w:w="65" w:type="dxa"/>
              <w:right w:w="70" w:type="dxa"/>
              <w:start w:w="68" w:type="dxa"/>
              <w:end w:w="68" w:type="dxa"/>
            </w:tcMar>
            <w:vAlign w:val="center"/>
          </w:tcPr>
          <w:p w14:paraId="7A2A12A9">
            <w:pPr>
              <w:spacing w:before="0" w:after="0" w:line="240" w:lineRule="auto"/>
              <w:jc w:val="left"/>
            </w:pPr>
            <w:r>
              <w:rPr>
                <w:rFonts w:ascii="Times New Roman" w:hAnsi="Times New Roman" w:eastAsia="Times New Roman" w:cs="Times New Roman"/>
                <w:b w:val="0"/>
                <w:color w:val="000000"/>
                <w:sz w:val="14"/>
              </w:rPr>
              <w:t>36</w:t>
            </w:r>
          </w:p>
        </w:tc>
        <w:tc>
          <w:tcPr>
            <w:tcW w:w="936" w:type="dxa"/>
            <w:tcMar>
              <w:top w:w="65" w:type="dxa"/>
              <w:left w:w="70" w:type="dxa"/>
              <w:bottom w:w="65" w:type="dxa"/>
              <w:right w:w="70" w:type="dxa"/>
              <w:start w:w="68" w:type="dxa"/>
              <w:end w:w="68" w:type="dxa"/>
            </w:tcMar>
            <w:vAlign w:val="center"/>
          </w:tcPr>
          <w:p w14:paraId="64433E7A">
            <w:pPr>
              <w:spacing w:before="0" w:after="0" w:line="240" w:lineRule="auto"/>
              <w:jc w:val="left"/>
            </w:pPr>
            <w:r>
              <w:rPr>
                <w:rFonts w:ascii="Times New Roman" w:hAnsi="Times New Roman" w:eastAsia="Times New Roman" w:cs="Times New Roman"/>
                <w:b w:val="0"/>
                <w:color w:val="000000"/>
                <w:sz w:val="14"/>
              </w:rPr>
              <w:t>47.2%</w:t>
            </w:r>
          </w:p>
        </w:tc>
        <w:tc>
          <w:tcPr>
            <w:tcW w:w="936" w:type="dxa"/>
            <w:tcMar>
              <w:top w:w="65" w:type="dxa"/>
              <w:left w:w="70" w:type="dxa"/>
              <w:bottom w:w="65" w:type="dxa"/>
              <w:right w:w="70" w:type="dxa"/>
              <w:start w:w="68" w:type="dxa"/>
              <w:end w:w="68" w:type="dxa"/>
            </w:tcMar>
            <w:vAlign w:val="center"/>
          </w:tcPr>
          <w:p w14:paraId="74AEB7A8">
            <w:pPr>
              <w:spacing w:before="0" w:after="0" w:line="240" w:lineRule="auto"/>
              <w:jc w:val="left"/>
            </w:pPr>
            <w:r>
              <w:rPr>
                <w:rFonts w:ascii="Times New Roman" w:hAnsi="Times New Roman" w:eastAsia="Times New Roman" w:cs="Times New Roman"/>
                <w:b w:val="0"/>
                <w:color w:val="000000"/>
                <w:sz w:val="14"/>
              </w:rPr>
              <w:t>0.451</w:t>
            </w:r>
          </w:p>
        </w:tc>
        <w:tc>
          <w:tcPr>
            <w:tcW w:w="936" w:type="dxa"/>
            <w:tcMar>
              <w:top w:w="65" w:type="dxa"/>
              <w:left w:w="70" w:type="dxa"/>
              <w:bottom w:w="65" w:type="dxa"/>
              <w:right w:w="70" w:type="dxa"/>
              <w:start w:w="68" w:type="dxa"/>
              <w:end w:w="68" w:type="dxa"/>
            </w:tcMar>
            <w:vAlign w:val="center"/>
          </w:tcPr>
          <w:p w14:paraId="52C637BD">
            <w:pPr>
              <w:spacing w:before="0" w:after="0" w:line="240" w:lineRule="auto"/>
              <w:jc w:val="left"/>
            </w:pPr>
            <w:r>
              <w:rPr>
                <w:rFonts w:ascii="Times New Roman" w:hAnsi="Times New Roman" w:eastAsia="Times New Roman" w:cs="Times New Roman"/>
                <w:b w:val="0"/>
                <w:color w:val="000000"/>
                <w:sz w:val="14"/>
              </w:rPr>
              <w:t>0.457</w:t>
            </w:r>
          </w:p>
        </w:tc>
        <w:tc>
          <w:tcPr>
            <w:tcW w:w="936" w:type="dxa"/>
            <w:tcMar>
              <w:top w:w="65" w:type="dxa"/>
              <w:left w:w="70" w:type="dxa"/>
              <w:bottom w:w="65" w:type="dxa"/>
              <w:right w:w="70" w:type="dxa"/>
              <w:start w:w="68" w:type="dxa"/>
              <w:end w:w="68" w:type="dxa"/>
            </w:tcMar>
            <w:vAlign w:val="center"/>
          </w:tcPr>
          <w:p w14:paraId="19D20B6E">
            <w:pPr>
              <w:spacing w:before="0" w:after="0" w:line="240" w:lineRule="auto"/>
              <w:jc w:val="left"/>
            </w:pPr>
            <w:r>
              <w:rPr>
                <w:rFonts w:ascii="Times New Roman" w:hAnsi="Times New Roman" w:eastAsia="Times New Roman" w:cs="Times New Roman"/>
                <w:b w:val="0"/>
                <w:color w:val="000000"/>
                <w:sz w:val="14"/>
              </w:rPr>
              <w:t>0.559</w:t>
            </w:r>
          </w:p>
        </w:tc>
      </w:tr>
      <w:tr w14:paraId="764B4D61">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1800" w:type="dxa"/>
            <w:tcMar>
              <w:top w:w="65" w:type="dxa"/>
              <w:left w:w="70" w:type="dxa"/>
              <w:bottom w:w="65" w:type="dxa"/>
              <w:right w:w="70" w:type="dxa"/>
              <w:start w:w="68" w:type="dxa"/>
              <w:end w:w="68" w:type="dxa"/>
            </w:tcMar>
            <w:vAlign w:val="center"/>
          </w:tcPr>
          <w:p w14:paraId="362B9037">
            <w:pPr>
              <w:spacing w:before="0" w:after="0" w:line="240" w:lineRule="auto"/>
              <w:jc w:val="left"/>
            </w:pPr>
            <w:r>
              <w:rPr>
                <w:rFonts w:ascii="Times New Roman" w:hAnsi="Times New Roman" w:eastAsia="Times New Roman" w:cs="Times New Roman"/>
                <w:b w:val="0"/>
                <w:color w:val="000000"/>
                <w:sz w:val="14"/>
              </w:rPr>
              <w:t>Ambiguous</w:t>
            </w:r>
          </w:p>
        </w:tc>
        <w:tc>
          <w:tcPr>
            <w:tcW w:w="1944" w:type="dxa"/>
            <w:tcMar>
              <w:top w:w="65" w:type="dxa"/>
              <w:left w:w="70" w:type="dxa"/>
              <w:bottom w:w="65" w:type="dxa"/>
              <w:right w:w="70" w:type="dxa"/>
              <w:start w:w="68" w:type="dxa"/>
              <w:end w:w="68" w:type="dxa"/>
            </w:tcMar>
            <w:vAlign w:val="center"/>
          </w:tcPr>
          <w:p w14:paraId="52CE3EF3">
            <w:pPr>
              <w:spacing w:before="0" w:after="0" w:line="240" w:lineRule="auto"/>
              <w:jc w:val="left"/>
            </w:pPr>
            <w:r>
              <w:rPr>
                <w:rFonts w:ascii="Times New Roman" w:hAnsi="Times New Roman" w:eastAsia="Times New Roman" w:cs="Times New Roman"/>
                <w:b w:val="0"/>
                <w:color w:val="000000"/>
                <w:sz w:val="14"/>
              </w:rPr>
              <w:t>Families</w:t>
            </w:r>
          </w:p>
        </w:tc>
        <w:tc>
          <w:tcPr>
            <w:tcW w:w="648" w:type="dxa"/>
            <w:tcMar>
              <w:top w:w="65" w:type="dxa"/>
              <w:left w:w="70" w:type="dxa"/>
              <w:bottom w:w="65" w:type="dxa"/>
              <w:right w:w="70" w:type="dxa"/>
              <w:start w:w="68" w:type="dxa"/>
              <w:end w:w="68" w:type="dxa"/>
            </w:tcMar>
            <w:vAlign w:val="center"/>
          </w:tcPr>
          <w:p w14:paraId="53CBB146">
            <w:pPr>
              <w:spacing w:before="0" w:after="0" w:line="240" w:lineRule="auto"/>
              <w:jc w:val="left"/>
            </w:pPr>
            <w:r>
              <w:rPr>
                <w:rFonts w:ascii="Times New Roman" w:hAnsi="Times New Roman" w:eastAsia="Times New Roman" w:cs="Times New Roman"/>
                <w:b w:val="0"/>
                <w:color w:val="000000"/>
                <w:sz w:val="14"/>
              </w:rPr>
              <w:t>36</w:t>
            </w:r>
          </w:p>
        </w:tc>
        <w:tc>
          <w:tcPr>
            <w:tcW w:w="936" w:type="dxa"/>
            <w:tcMar>
              <w:top w:w="65" w:type="dxa"/>
              <w:left w:w="70" w:type="dxa"/>
              <w:bottom w:w="65" w:type="dxa"/>
              <w:right w:w="70" w:type="dxa"/>
              <w:start w:w="68" w:type="dxa"/>
              <w:end w:w="68" w:type="dxa"/>
            </w:tcMar>
            <w:vAlign w:val="center"/>
          </w:tcPr>
          <w:p w14:paraId="3BD74CEB">
            <w:pPr>
              <w:spacing w:before="0" w:after="0" w:line="240" w:lineRule="auto"/>
              <w:jc w:val="left"/>
            </w:pPr>
            <w:r>
              <w:rPr>
                <w:rFonts w:ascii="Times New Roman" w:hAnsi="Times New Roman" w:eastAsia="Times New Roman" w:cs="Times New Roman"/>
                <w:b w:val="0"/>
                <w:color w:val="000000"/>
                <w:sz w:val="14"/>
              </w:rPr>
              <w:t>52.8%</w:t>
            </w:r>
          </w:p>
        </w:tc>
        <w:tc>
          <w:tcPr>
            <w:tcW w:w="936" w:type="dxa"/>
            <w:tcMar>
              <w:top w:w="65" w:type="dxa"/>
              <w:left w:w="70" w:type="dxa"/>
              <w:bottom w:w="65" w:type="dxa"/>
              <w:right w:w="70" w:type="dxa"/>
              <w:start w:w="68" w:type="dxa"/>
              <w:end w:w="68" w:type="dxa"/>
            </w:tcMar>
            <w:vAlign w:val="center"/>
          </w:tcPr>
          <w:p w14:paraId="4D02437C">
            <w:pPr>
              <w:spacing w:before="0" w:after="0" w:line="240" w:lineRule="auto"/>
              <w:jc w:val="left"/>
            </w:pPr>
            <w:r>
              <w:rPr>
                <w:rFonts w:ascii="Times New Roman" w:hAnsi="Times New Roman" w:eastAsia="Times New Roman" w:cs="Times New Roman"/>
                <w:b w:val="0"/>
                <w:color w:val="000000"/>
                <w:sz w:val="14"/>
              </w:rPr>
              <w:t>0.470</w:t>
            </w:r>
          </w:p>
        </w:tc>
        <w:tc>
          <w:tcPr>
            <w:tcW w:w="936" w:type="dxa"/>
            <w:tcMar>
              <w:top w:w="65" w:type="dxa"/>
              <w:left w:w="70" w:type="dxa"/>
              <w:bottom w:w="65" w:type="dxa"/>
              <w:right w:w="70" w:type="dxa"/>
              <w:start w:w="68" w:type="dxa"/>
              <w:end w:w="68" w:type="dxa"/>
            </w:tcMar>
            <w:vAlign w:val="center"/>
          </w:tcPr>
          <w:p w14:paraId="72DFB942">
            <w:pPr>
              <w:spacing w:before="0" w:after="0" w:line="240" w:lineRule="auto"/>
              <w:jc w:val="left"/>
            </w:pPr>
            <w:r>
              <w:rPr>
                <w:rFonts w:ascii="Times New Roman" w:hAnsi="Times New Roman" w:eastAsia="Times New Roman" w:cs="Times New Roman"/>
                <w:b w:val="0"/>
                <w:color w:val="000000"/>
                <w:sz w:val="14"/>
              </w:rPr>
              <w:t>0.475</w:t>
            </w:r>
          </w:p>
        </w:tc>
        <w:tc>
          <w:tcPr>
            <w:tcW w:w="936" w:type="dxa"/>
            <w:tcMar>
              <w:top w:w="65" w:type="dxa"/>
              <w:left w:w="70" w:type="dxa"/>
              <w:bottom w:w="65" w:type="dxa"/>
              <w:right w:w="70" w:type="dxa"/>
              <w:start w:w="68" w:type="dxa"/>
              <w:end w:w="68" w:type="dxa"/>
            </w:tcMar>
            <w:vAlign w:val="center"/>
          </w:tcPr>
          <w:p w14:paraId="7A358D9E">
            <w:pPr>
              <w:spacing w:before="0" w:after="0" w:line="240" w:lineRule="auto"/>
              <w:jc w:val="left"/>
            </w:pPr>
            <w:r>
              <w:rPr>
                <w:rFonts w:ascii="Times New Roman" w:hAnsi="Times New Roman" w:eastAsia="Times New Roman" w:cs="Times New Roman"/>
                <w:b w:val="0"/>
                <w:color w:val="000000"/>
                <w:sz w:val="14"/>
              </w:rPr>
              <w:t>0.563</w:t>
            </w:r>
          </w:p>
        </w:tc>
      </w:tr>
      <w:tr w14:paraId="76D26885">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1800" w:type="dxa"/>
            <w:tcMar>
              <w:top w:w="65" w:type="dxa"/>
              <w:left w:w="70" w:type="dxa"/>
              <w:bottom w:w="65" w:type="dxa"/>
              <w:right w:w="70" w:type="dxa"/>
              <w:start w:w="68" w:type="dxa"/>
              <w:end w:w="68" w:type="dxa"/>
            </w:tcMar>
            <w:vAlign w:val="center"/>
          </w:tcPr>
          <w:p w14:paraId="572CB8FE">
            <w:pPr>
              <w:spacing w:before="0" w:after="0" w:line="240" w:lineRule="auto"/>
              <w:jc w:val="left"/>
            </w:pPr>
            <w:r>
              <w:rPr>
                <w:rFonts w:ascii="Times New Roman" w:hAnsi="Times New Roman" w:eastAsia="Times New Roman" w:cs="Times New Roman"/>
                <w:b w:val="0"/>
                <w:color w:val="000000"/>
                <w:sz w:val="14"/>
              </w:rPr>
              <w:t>Ambiguous</w:t>
            </w:r>
          </w:p>
        </w:tc>
        <w:tc>
          <w:tcPr>
            <w:tcW w:w="1944" w:type="dxa"/>
            <w:tcMar>
              <w:top w:w="65" w:type="dxa"/>
              <w:left w:w="70" w:type="dxa"/>
              <w:bottom w:w="65" w:type="dxa"/>
              <w:right w:w="70" w:type="dxa"/>
              <w:start w:w="68" w:type="dxa"/>
              <w:end w:w="68" w:type="dxa"/>
            </w:tcMar>
            <w:vAlign w:val="center"/>
          </w:tcPr>
          <w:p w14:paraId="09EFF04D">
            <w:pPr>
              <w:spacing w:before="0" w:after="0" w:line="240" w:lineRule="auto"/>
              <w:jc w:val="left"/>
            </w:pPr>
            <w:r>
              <w:rPr>
                <w:rFonts w:ascii="Times New Roman" w:hAnsi="Times New Roman" w:eastAsia="Times New Roman" w:cs="Times New Roman"/>
                <w:b w:val="0"/>
                <w:color w:val="000000"/>
                <w:sz w:val="14"/>
              </w:rPr>
              <w:t>Boundary</w:t>
            </w:r>
          </w:p>
        </w:tc>
        <w:tc>
          <w:tcPr>
            <w:tcW w:w="648" w:type="dxa"/>
            <w:tcMar>
              <w:top w:w="65" w:type="dxa"/>
              <w:left w:w="70" w:type="dxa"/>
              <w:bottom w:w="65" w:type="dxa"/>
              <w:right w:w="70" w:type="dxa"/>
              <w:start w:w="68" w:type="dxa"/>
              <w:end w:w="68" w:type="dxa"/>
            </w:tcMar>
            <w:vAlign w:val="center"/>
          </w:tcPr>
          <w:p w14:paraId="6C243D0E">
            <w:pPr>
              <w:spacing w:before="0" w:after="0" w:line="240" w:lineRule="auto"/>
              <w:jc w:val="left"/>
            </w:pPr>
            <w:r>
              <w:rPr>
                <w:rFonts w:ascii="Times New Roman" w:hAnsi="Times New Roman" w:eastAsia="Times New Roman" w:cs="Times New Roman"/>
                <w:b w:val="0"/>
                <w:color w:val="000000"/>
                <w:sz w:val="14"/>
              </w:rPr>
              <w:t>36</w:t>
            </w:r>
          </w:p>
        </w:tc>
        <w:tc>
          <w:tcPr>
            <w:tcW w:w="936" w:type="dxa"/>
            <w:tcMar>
              <w:top w:w="65" w:type="dxa"/>
              <w:left w:w="70" w:type="dxa"/>
              <w:bottom w:w="65" w:type="dxa"/>
              <w:right w:w="70" w:type="dxa"/>
              <w:start w:w="68" w:type="dxa"/>
              <w:end w:w="68" w:type="dxa"/>
            </w:tcMar>
            <w:vAlign w:val="center"/>
          </w:tcPr>
          <w:p w14:paraId="6B832B89">
            <w:pPr>
              <w:spacing w:before="0" w:after="0" w:line="240" w:lineRule="auto"/>
              <w:jc w:val="left"/>
            </w:pPr>
            <w:r>
              <w:rPr>
                <w:rFonts w:ascii="Times New Roman" w:hAnsi="Times New Roman" w:eastAsia="Times New Roman" w:cs="Times New Roman"/>
                <w:b w:val="0"/>
                <w:color w:val="000000"/>
                <w:sz w:val="14"/>
              </w:rPr>
              <w:t>58.3%</w:t>
            </w:r>
          </w:p>
        </w:tc>
        <w:tc>
          <w:tcPr>
            <w:tcW w:w="936" w:type="dxa"/>
            <w:tcMar>
              <w:top w:w="65" w:type="dxa"/>
              <w:left w:w="70" w:type="dxa"/>
              <w:bottom w:w="65" w:type="dxa"/>
              <w:right w:w="70" w:type="dxa"/>
              <w:start w:w="68" w:type="dxa"/>
              <w:end w:w="68" w:type="dxa"/>
            </w:tcMar>
            <w:vAlign w:val="center"/>
          </w:tcPr>
          <w:p w14:paraId="31B9782B">
            <w:pPr>
              <w:spacing w:before="0" w:after="0" w:line="240" w:lineRule="auto"/>
              <w:jc w:val="left"/>
            </w:pPr>
            <w:r>
              <w:rPr>
                <w:rFonts w:ascii="Times New Roman" w:hAnsi="Times New Roman" w:eastAsia="Times New Roman" w:cs="Times New Roman"/>
                <w:b w:val="0"/>
                <w:color w:val="000000"/>
                <w:sz w:val="14"/>
              </w:rPr>
              <w:t>0.524</w:t>
            </w:r>
          </w:p>
        </w:tc>
        <w:tc>
          <w:tcPr>
            <w:tcW w:w="936" w:type="dxa"/>
            <w:tcMar>
              <w:top w:w="65" w:type="dxa"/>
              <w:left w:w="70" w:type="dxa"/>
              <w:bottom w:w="65" w:type="dxa"/>
              <w:right w:w="70" w:type="dxa"/>
              <w:start w:w="68" w:type="dxa"/>
              <w:end w:w="68" w:type="dxa"/>
            </w:tcMar>
            <w:vAlign w:val="center"/>
          </w:tcPr>
          <w:p w14:paraId="51535B0E">
            <w:pPr>
              <w:spacing w:before="0" w:after="0" w:line="240" w:lineRule="auto"/>
              <w:jc w:val="left"/>
            </w:pPr>
            <w:r>
              <w:rPr>
                <w:rFonts w:ascii="Times New Roman" w:hAnsi="Times New Roman" w:eastAsia="Times New Roman" w:cs="Times New Roman"/>
                <w:b w:val="0"/>
                <w:color w:val="000000"/>
                <w:sz w:val="14"/>
              </w:rPr>
              <w:t>0.529</w:t>
            </w:r>
          </w:p>
        </w:tc>
        <w:tc>
          <w:tcPr>
            <w:tcW w:w="936" w:type="dxa"/>
            <w:tcMar>
              <w:top w:w="65" w:type="dxa"/>
              <w:left w:w="70" w:type="dxa"/>
              <w:bottom w:w="65" w:type="dxa"/>
              <w:right w:w="70" w:type="dxa"/>
              <w:start w:w="68" w:type="dxa"/>
              <w:end w:w="68" w:type="dxa"/>
            </w:tcMar>
            <w:vAlign w:val="center"/>
          </w:tcPr>
          <w:p w14:paraId="266B16E9">
            <w:pPr>
              <w:spacing w:before="0" w:after="0" w:line="240" w:lineRule="auto"/>
              <w:jc w:val="left"/>
            </w:pPr>
            <w:r>
              <w:rPr>
                <w:rFonts w:ascii="Times New Roman" w:hAnsi="Times New Roman" w:eastAsia="Times New Roman" w:cs="Times New Roman"/>
                <w:b w:val="0"/>
                <w:color w:val="000000"/>
                <w:sz w:val="14"/>
              </w:rPr>
              <w:t>0.626</w:t>
            </w:r>
          </w:p>
        </w:tc>
      </w:tr>
    </w:tbl>
    <w:p>
      <w:pPr>
        <w:keepNext/>
      </w:pPr>
      <w:r>
        <w:t>Table S28. Explicit-ambiguity sensitivity for ordinal severity.</w:t>
      </w:r>
    </w:p>
    <w:tbl>
      <w:tblPr>
        <w:tblStyle w:val="35"/>
        <w:tblW w:type="auto" w:w="0"/>
        <w:jc w:val="center"/>
        <w:tblLayout w:type="autofit"/>
        <w:tblLook w:firstColumn="1" w:firstRow="1" w:lastColumn="0" w:lastRow="0" w:noHBand="0" w:noVBand="1" w:val="04A0"/>
        <w:tblBorders>
          <w:top w:val="single" w:sz="4" w:color="C7D4E2"/>
          <w:bottom w:val="single" w:sz="4" w:color="C7D4E2"/>
          <w:left w:val="single" w:sz="4" w:color="C7D4E2"/>
          <w:right w:val="single" w:sz="4" w:color="C7D4E2"/>
          <w:insideH w:val="single" w:sz="4" w:color="C7D4E2"/>
          <w:insideV w:val="single" w:sz="3" w:color="C7D4E2"/>
        </w:tblBorders>
      </w:tblPr>
      <w:tblGrid>
        <w:gridCol w:w="1966"/>
        <w:gridCol w:w="1966"/>
        <w:gridCol w:w="1966"/>
        <w:gridCol w:w="1966"/>
        <w:gridCol w:w="1966"/>
      </w:tblGrid>
      <w:tr>
        <w:trPr>
          <w:cantSplit/>
          <w:tblHeader w:val="true"/>
          <w:tblHeader w:val="true"/>
        </w:trPr>
        <w:tc>
          <w:tcPr>
            <w:tcW w:type="dxa" w:w="1966"/>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r>
            <w:r>
              <w:rPr>
                <w:rFonts w:ascii="Times New Roman" w:hAnsi="Times New Roman"/>
                <w:b/>
                <w:color w:val="1E364D"/>
                <w:sz w:val="15"/>
              </w:rPr>
              <w:t>Analysis set</w:t>
            </w:r>
          </w:p>
        </w:tc>
        <w:tc>
          <w:tcPr>
            <w:tcW w:type="dxa" w:w="1966"/>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r>
            <w:r>
              <w:rPr>
                <w:rFonts w:ascii="Times New Roman" w:hAnsi="Times New Roman"/>
                <w:b/>
                <w:color w:val="1E364D"/>
                <w:sz w:val="15"/>
              </w:rPr>
              <w:t>N</w:t>
            </w:r>
          </w:p>
        </w:tc>
        <w:tc>
          <w:tcPr>
            <w:tcW w:type="dxa" w:w="1966"/>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r>
            <w:r>
              <w:rPr>
                <w:rFonts w:ascii="Times New Roman" w:hAnsi="Times New Roman"/>
                <w:b/>
                <w:color w:val="1E364D"/>
                <w:sz w:val="15"/>
              </w:rPr>
              <w:t>Exact agreement</w:t>
            </w:r>
          </w:p>
        </w:tc>
        <w:tc>
          <w:tcPr>
            <w:tcW w:type="dxa" w:w="1966"/>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r>
            <w:r>
              <w:rPr>
                <w:rFonts w:ascii="Times New Roman" w:hAnsi="Times New Roman"/>
                <w:b/>
                <w:color w:val="1E364D"/>
                <w:sz w:val="15"/>
              </w:rPr>
              <w:t>Krippendorff ordinal α</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r>
            <w:r>
              <w:rPr>
                <w:rFonts w:ascii="Times New Roman" w:hAnsi="Times New Roman"/>
                <w:b w:val="0"/>
                <w:sz w:val="15"/>
              </w:rPr>
              <w:t>All cases</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r>
            <w:r>
              <w:rPr>
                <w:rFonts w:ascii="Times New Roman" w:hAnsi="Times New Roman"/>
                <w:b w:val="0"/>
                <w:sz w:val="15"/>
              </w:rPr>
              <w:t>720</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r>
            <w:r>
              <w:rPr>
                <w:rFonts w:ascii="Times New Roman" w:hAnsi="Times New Roman"/>
                <w:b w:val="0"/>
                <w:sz w:val="15"/>
              </w:rPr>
              <w:t>60.6%</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r>
            <w:r>
              <w:rPr>
                <w:rFonts w:ascii="Times New Roman" w:hAnsi="Times New Roman"/>
                <w:b w:val="0"/>
                <w:sz w:val="15"/>
              </w:rPr>
              <w:t>.784</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r>
            <w:r>
              <w:rPr>
                <w:rFonts w:ascii="Times New Roman" w:hAnsi="Times New Roman"/>
                <w:b w:val="0"/>
                <w:sz w:val="15"/>
              </w:rPr>
              <w:t>Non-ambiguous cases</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r>
            <w:r>
              <w:rPr>
                <w:rFonts w:ascii="Times New Roman" w:hAnsi="Times New Roman"/>
                <w:b w:val="0"/>
                <w:sz w:val="15"/>
              </w:rPr>
              <w:t>684</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r>
            <w:r>
              <w:rPr>
                <w:rFonts w:ascii="Times New Roman" w:hAnsi="Times New Roman"/>
                <w:b w:val="0"/>
                <w:sz w:val="15"/>
              </w:rPr>
              <w:t>62.1%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r>
            <w:r>
              <w:rPr>
                <w:rFonts w:ascii="Times New Roman" w:hAnsi="Times New Roman"/>
                <w:b w:val="0"/>
                <w:sz w:val="15"/>
              </w:rPr>
              <w:t>.793</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r>
            <w:r>
              <w:rPr>
                <w:rFonts w:ascii="Times New Roman" w:hAnsi="Times New Roman"/>
                <w:b w:val="0"/>
                <w:sz w:val="15"/>
              </w:rPr>
              <w:t>Explicitly ambiguous cases</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r>
            <w:r>
              <w:rPr>
                <w:rFonts w:ascii="Times New Roman" w:hAnsi="Times New Roman"/>
                <w:b w:val="0"/>
                <w:sz w:val="15"/>
              </w:rPr>
              <w:t>36</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r>
            <w:r>
              <w:rPr>
                <w:rFonts w:ascii="Times New Roman" w:hAnsi="Times New Roman"/>
                <w:b w:val="0"/>
                <w:sz w:val="15"/>
              </w:rPr>
              <w:t>30.6%</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r>
            <w:r>
              <w:rPr>
                <w:rFonts w:ascii="Times New Roman" w:hAnsi="Times New Roman"/>
                <w:b w:val="0"/>
                <w:sz w:val="15"/>
              </w:rPr>
              <w:t>.560</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r>
            <w:r>
              <w:rPr>
                <w:rFonts w:ascii="Times New Roman" w:hAnsi="Times New Roman"/>
                <w:b w:val="0"/>
                <w:sz w:val="15"/>
              </w:rPr>
              <w:t>Majority-failure subset</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r>
            <w:r>
              <w:rPr>
                <w:rFonts w:ascii="Times New Roman" w:hAnsi="Times New Roman"/>
                <w:b w:val="0"/>
                <w:sz w:val="15"/>
              </w:rPr>
              <w:t>445</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r>
            <w:r>
              <w:rPr>
                <w:rFonts w:ascii="Times New Roman" w:hAnsi="Times New Roman"/>
                <w:b w:val="0"/>
                <w:sz w:val="15"/>
              </w:rPr>
              <w:t>50.1%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r>
            <w:r>
              <w:rPr>
                <w:rFonts w:ascii="Times New Roman" w:hAnsi="Times New Roman"/>
                <w:b w:val="0"/>
                <w:sz w:val="15"/>
              </w:rPr>
              <w:t>.528</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r>
            <w:r>
              <w:rPr>
                <w:rFonts w:ascii="Times New Roman" w:hAnsi="Times New Roman"/>
                <w:b w:val="0"/>
                <w:sz w:val="15"/>
              </w:rPr>
              <w:t>Majority-failure subset excluding explicit ambiguity</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r>
            <w:r>
              <w:rPr>
                <w:rFonts w:ascii="Times New Roman" w:hAnsi="Times New Roman"/>
                <w:b w:val="0"/>
                <w:sz w:val="15"/>
              </w:rPr>
              <w:t>414</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r>
            <w:r>
              <w:rPr>
                <w:rFonts w:ascii="Times New Roman" w:hAnsi="Times New Roman"/>
                <w:b w:val="0"/>
                <w:sz w:val="15"/>
              </w:rPr>
              <w:t>51.2%</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r>
            <w:r>
              <w:rPr>
                <w:rFonts w:ascii="Times New Roman" w:hAnsi="Times New Roman"/>
                <w:b w:val="0"/>
                <w:sz w:val="15"/>
              </w:rPr>
              <w:t>.532</w:t>
            </w:r>
          </w:p>
        </w:tc>
      </w:tr>
    </w:tbl>
    <w:p>
      <w:pPr>
        <w:widowControl/>
      </w:pPr>
      <w:r>
        <w:t>Tables S23–S28 decompose the framework-level human results without changing the primary estimands. Per-label positive agreement and pair-specific exact agreement/κ show where sparse labels or rater-pair heterogeneity contribute to the aggregate coefficients. Case-level rating multiplicity localises two-label and three-way disagreements, while explicit-ambiguity exclusion tests whether flagged cases alone explain lower agreement. These diagnostics complement rather than replace the three-rater framework-level reliability reported in the main article.</w:t>
      </w:r>
    </w:p>
    <w:p>
      <w:pPr/>
      <w:r>
        <w:t>Ambiguity-flag sensitivity is endogenous to the annotators: the 36 cases carrying any ambiguity flag were selected by their own judgments, not by an independent difficult-case criterion. Excluding them and observing small changes in aggregate α cannot establish that all remaining cases are unambiguous or that the rubric has removed intrinsic construct uncertainty. Positive agreement for very rare labels remains too sparse to support code-specific reliability claims.</w:t>
      </w:r>
    </w:p>
    <w:p w14:paraId="5A5790A6">
      <w:pPr>
        <w:pStyle w:val="3"/>
        <w:keepNext/>
        <w:keepLines/>
        <w:pageBreakBefore w:val="0"/>
        <w:spacing w:before="140" w:after="80"/>
      </w:pPr>
      <w:r>
        <w:rPr>
          <w:color w:val="000000"/>
        </w:rPr>
        <w:t>S5.4 Final-reference consistency and quality-control audit</w:t>
      </w:r>
    </w:p>
    <w:p w14:paraId="51052ECB">
      <w:pPr>
        <w:pStyle w:val="16"/>
        <w:keepNext/>
        <w:keepLines/>
        <w:spacing w:before="120" w:after="60"/>
        <w:jc w:val="left"/>
      </w:pPr>
      <w:r>
        <w:t>Table S29. FINAL GOLD v1.0 quality-control and consistency audit.</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1687"/>
        <w:gridCol w:w="1687"/>
        <w:gridCol w:w="1687"/>
        <w:gridCol w:w="1687"/>
        <w:gridCol w:w="1687"/>
        <w:gridCol w:w="1687"/>
      </w:tblGrid>
      <w:tr w14:paraId="78651C0C">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tblHeader w:val="true"/>
          <w:jc w:val="center"/>
          <w:tblHeader w:val="true"/>
        </w:trPr>
        <w:tc>
          <w:tcPr>
            <w:tcW w:w="1440"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5"/>
              </w:rPr>
              <w:t>Check</w:t>
            </w:r>
          </w:p>
        </w:tc>
        <w:tc>
          <w:tcPr>
            <w:tcW w:w="2232"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5"/>
              </w:rPr>
              <w:t>Cases</w:t>
            </w:r>
          </w:p>
        </w:tc>
        <w:tc>
          <w:tcPr>
            <w:tcW w:w="792"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5"/>
              </w:rPr>
              <w:t>Observed outcome</w:t>
            </w:r>
          </w:p>
        </w:tc>
        <w:tc>
          <w:tcPr>
            <w:tcW w:w="1152"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5"/>
              </w:rPr>
              <w:t>Changed fields</w:t>
            </w:r>
          </w:p>
        </w:tc>
        <w:tc>
          <w:tcPr>
            <w:tcW w:w="1368"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5"/>
              </w:rPr>
              <w:t>Numerical effect</w:t>
            </w:r>
          </w:p>
        </w:tc>
        <w:tc>
          <w:tcPr>
            <w:tcW w:w="1800"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5"/>
              </w:rPr>
              <w:t>Interpretation</w:t>
            </w:r>
          </w:p>
        </w:tc>
      </w:tr>
      <w:tr w14:paraId="4F9BD083">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1440"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Senior adjudication round 1</w:t>
            </w:r>
          </w:p>
        </w:tc>
        <w:tc>
          <w:tcPr>
            <w:tcW w:w="2232"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423</w:t>
            </w:r>
          </w:p>
        </w:tc>
        <w:tc>
          <w:tcPr>
            <w:tcW w:w="792"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Human decisions recorded under locked manual</w:t>
            </w:r>
          </w:p>
        </w:tc>
        <w:tc>
          <w:tcPr>
            <w:tcW w:w="1152"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Final reference fields</w:t>
            </w:r>
          </w:p>
        </w:tc>
        <w:tc>
          <w:tcPr>
            <w:tcW w:w="1368"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Supersedes earlier project-lead publication layer for current study</w:t>
            </w:r>
          </w:p>
        </w:tc>
        <w:tc>
          <w:tcPr>
            <w:tcW w:w="1800"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Does not enter IAA</w:t>
            </w:r>
          </w:p>
        </w:tc>
      </w:tr>
      <w:tr w14:paraId="5A8DA703">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1440" w:type="dxa"/>
            <w:tcMar>
              <w:top w:w="65" w:type="dxa"/>
              <w:left w:w="70" w:type="dxa"/>
              <w:bottom w:w="65" w:type="dxa"/>
              <w:right w:w="70" w:type="dxa"/>
              <w:start w:w="68" w:type="dxa"/>
              <w:end w:w="68" w:type="dxa"/>
            </w:tcMar>
            <w:vAlign w:val="center"/>
          </w:tcPr>
          <w:p>
            <w:pPr>
              <w:spacing w:before="0" w:after="0"/>
            </w:pPr>
            <w:r>
              <w:rPr>
                <w:rFonts w:ascii="Times New Roman" w:hAnsi="Times New Roman"/>
                <w:sz w:val="15"/>
              </w:rPr>
              <w:t>Targeted manual-consistency re-review</w:t>
            </w:r>
          </w:p>
        </w:tc>
        <w:tc>
          <w:tcPr>
            <w:tcW w:w="2232"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29</w:t>
            </w:r>
          </w:p>
        </w:tc>
        <w:tc>
          <w:tcPr>
            <w:tcW w:w="792"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27 REVISE_TO_REREVIEW; 2 CONFIRM_CURRENT</w:t>
            </w:r>
          </w:p>
        </w:tc>
        <w:tc>
          <w:tcPr>
            <w:tcW w:w="1152"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Primary 23; secondary 12; boundary 15; severity 21; HREF subtype 4</w:t>
            </w:r>
          </w:p>
        </w:tc>
        <w:tc>
          <w:tcPr>
            <w:tcW w:w="1368"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9 failure → no_failure within targeted set</w:t>
            </w:r>
          </w:p>
        </w:tc>
        <w:tc>
          <w:tcPr>
            <w:tcW w:w="1800" w:type="dxa"/>
            <w:tcMar>
              <w:top w:w="65" w:type="dxa"/>
              <w:left w:w="70" w:type="dxa"/>
              <w:bottom w:w="65" w:type="dxa"/>
              <w:right w:w="70" w:type="dxa"/>
              <w:start w:w="68" w:type="dxa"/>
              <w:end w:w="68" w:type="dxa"/>
            </w:tcMar>
            <w:vAlign w:val="center"/>
          </w:tcPr>
          <w:p>
            <w:pPr>
              <w:spacing w:before="0" w:after="0"/>
            </w:pPr>
            <w:r>
              <w:rPr>
                <w:rFonts w:ascii="Times New Roman" w:hAnsi="Times New Roman"/>
                <w:sz w:val="15"/>
              </w:rPr>
              <w:t>Same-adjudicator pre-freeze manual-consistency QC, not a new reliability study</w:t>
            </w:r>
          </w:p>
        </w:tc>
      </w:tr>
      <w:tr w14:paraId="62B740F1">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1440"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Rule-consistency normalisation</w:t>
            </w:r>
          </w:p>
        </w:tc>
        <w:tc>
          <w:tcPr>
            <w:tcW w:w="2232"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4</w:t>
            </w:r>
          </w:p>
        </w:tc>
        <w:tc>
          <w:tcPr>
            <w:tcW w:w="792"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HREF-primary overlap records swapped to semantic-primary + HREF-secondary</w:t>
            </w:r>
          </w:p>
        </w:tc>
        <w:tc>
          <w:tcPr>
            <w:tcW w:w="1152"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Primary/secondary only</w:t>
            </w:r>
          </w:p>
        </w:tc>
        <w:tc>
          <w:tcPr>
            <w:tcW w:w="1368"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0 changes to failure, boundary, severity, or HREF subtype</w:t>
            </w:r>
          </w:p>
        </w:tc>
        <w:tc>
          <w:tcPr>
            <w:tcW w:w="1800"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Deterministic application of published overlap rule</w:t>
            </w:r>
          </w:p>
        </w:tc>
      </w:tr>
      <w:tr w14:paraId="476A1551">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1440"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Remaining primary × boundary violations</w:t>
            </w:r>
          </w:p>
        </w:tc>
        <w:tc>
          <w:tcPr>
            <w:tcW w:w="2232"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0</w:t>
            </w:r>
          </w:p>
        </w:tc>
        <w:tc>
          <w:tcPr>
            <w:tcW w:w="792"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All 720 final records satisfy published combinations</w:t>
            </w:r>
          </w:p>
        </w:tc>
        <w:tc>
          <w:tcPr>
            <w:tcW w:w="1152"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None</w:t>
            </w:r>
          </w:p>
        </w:tc>
        <w:tc>
          <w:tcPr>
            <w:tcW w:w="1368"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None</w:t>
            </w:r>
          </w:p>
        </w:tc>
        <w:tc>
          <w:tcPr>
            <w:tcW w:w="1800"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Consistency gate passed</w:t>
            </w:r>
          </w:p>
        </w:tc>
      </w:tr>
      <w:tr w14:paraId="14B68518">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1440"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Original A1–A3 workbooks</w:t>
            </w:r>
          </w:p>
        </w:tc>
        <w:tc>
          <w:tcPr>
            <w:tcW w:w="2232"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2,160 ratings</w:t>
            </w:r>
          </w:p>
        </w:tc>
        <w:tc>
          <w:tcPr>
            <w:tcW w:w="792"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Preserved unchanged</w:t>
            </w:r>
          </w:p>
        </w:tc>
        <w:tc>
          <w:tcPr>
            <w:tcW w:w="1152"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None</w:t>
            </w:r>
          </w:p>
        </w:tc>
        <w:tc>
          <w:tcPr>
            <w:tcW w:w="1368"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IAA unchanged</w:t>
            </w:r>
          </w:p>
        </w:tc>
        <w:tc>
          <w:tcPr>
            <w:tcW w:w="1800"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Sole source of reliability coefficients</w:t>
            </w:r>
          </w:p>
        </w:tc>
      </w:tr>
      <w:tr w14:paraId="022255F0">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1440"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FINAL GOLD v1.0</w:t>
            </w:r>
          </w:p>
        </w:tc>
        <w:tc>
          <w:tcPr>
            <w:tcW w:w="2232"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720</w:t>
            </w:r>
          </w:p>
        </w:tc>
        <w:tc>
          <w:tcPr>
            <w:tcW w:w="792"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474 failure; 246 no_failure</w:t>
            </w:r>
          </w:p>
        </w:tc>
        <w:tc>
          <w:tcPr>
            <w:tcW w:w="1152"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Frozen downstream reference layer</w:t>
            </w:r>
          </w:p>
        </w:tc>
        <w:tc>
          <w:tcPr>
            <w:tcW w:w="1368"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Families 333/127/14/246; severity 246/66/196/212</w:t>
            </w:r>
          </w:p>
        </w:tc>
        <w:tc>
          <w:tcPr>
            <w:tcW w:w="1800"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Used for final description and computational targets</w:t>
            </w:r>
          </w:p>
        </w:tc>
      </w:tr>
    </w:tbl>
    <w:p w14:paraId="4ECF3B9B">
      <w:pPr>
        <w:pStyle w:val="3"/>
        <w:keepNext/>
        <w:keepLines/>
        <w:pageBreakBefore w:val="0"/>
        <w:spacing w:before="140" w:after="80"/>
      </w:pPr>
      <w:r>
        <w:rPr>
          <w:rFonts w:ascii="Times New Roman" w:hAnsi="Times New Roman" w:eastAsia="Times New Roman"/>
          <w:color w:val="000000"/>
        </w:rPr>
        <w:t>S5.5 Severity</w:t>
      </w:r>
    </w:p>
    <w:p w14:paraId="543EDE70">
      <w:pPr>
        <w:widowControl/>
        <w:spacing w:after="100" w:line="276" w:lineRule="auto"/>
        <w:jc w:val="both"/>
      </w:pPr>
      <w:r>
        <w:t>The severity analysis follows a deliberate hierarchy: Krippendorff’s ordinal alpha is the primary coefficient; Gwet’s AC2 assesses robustness to skewed marginals; mean pairwise quadratic-weighted kappa provides a familiar pairwise sensitivity summary; exact agreement requires three identical scores; within-one agreement requires a case-level score range no greater than one; and mean spread is the mean case-level score range. These are locked A1–A3 measures and are not recalculated after adjudication. ICC is reported separately as an approximate-interval sensitivity analysis and does not replace ordinal alpha or AC2. Tables S30–S33 report the severity agreement, ICC sensitivity, pair-specific diagnostics, and final adjudicated distribution. Table S32 additionally reports pair-specific exact/within-one agreement and QWK so that systematic severity-threshold differences are visible rather than absorbed into a single three-rater summary.</w:t>
      </w:r>
    </w:p>
    <w:p w14:paraId="11EB17DE">
      <w:pPr>
        <w:pStyle w:val="16"/>
        <w:keepNext/>
        <w:keepLines/>
        <w:spacing w:before="120" w:after="60"/>
        <w:jc w:val="left"/>
      </w:pPr>
      <w:r>
        <w:t>Table S30. Authoritative final locked pre-resolution severity agreement.</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1265"/>
        <w:gridCol w:w="1265"/>
        <w:gridCol w:w="1265"/>
        <w:gridCol w:w="1265"/>
        <w:gridCol w:w="1265"/>
        <w:gridCol w:w="1265"/>
        <w:gridCol w:w="1265"/>
        <w:gridCol w:w="1265"/>
      </w:tblGrid>
      <w:tr w14:paraId="195CE6AA">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tblHeader w:val="true"/>
          <w:jc w:val="center"/>
          <w:tblHeader w:val="true"/>
        </w:trPr>
        <w:tc>
          <w:tcPr>
            <w:tcW w:w="1440" w:type="dxa"/>
            <w:tcMar>
              <w:top w:w="65" w:type="dxa"/>
              <w:left w:w="70" w:type="dxa"/>
              <w:bottom w:w="65" w:type="dxa"/>
              <w:right w:w="70" w:type="dxa"/>
              <w:start w:w="68" w:type="dxa"/>
              <w:end w:w="68" w:type="dxa"/>
            </w:tcMar>
            <w:vAlign w:val="center"/>
            <w:shd w:val="clear" w:color="auto" w:fill="E8F0F8"/>
          </w:tcPr>
          <w:p w14:paraId="63CB09CF">
            <w:pPr>
              <w:spacing w:before="0" w:after="0" w:line="240" w:lineRule="auto"/>
              <w:jc w:val="center"/>
            </w:pPr>
            <w:r>
              <w:rPr>
                <w:rFonts w:ascii="Times New Roman" w:hAnsi="Times New Roman" w:eastAsia="Times New Roman" w:cs="Times New Roman"/>
                <w:b/>
                <w:color w:val="1E364D"/>
                <w:sz w:val="14"/>
              </w:rPr>
              <w:t>Analysis set</w:t>
            </w:r>
          </w:p>
        </w:tc>
        <w:tc>
          <w:tcPr>
            <w:tcW w:w="576" w:type="dxa"/>
            <w:tcMar>
              <w:top w:w="65" w:type="dxa"/>
              <w:left w:w="70" w:type="dxa"/>
              <w:bottom w:w="65" w:type="dxa"/>
              <w:right w:w="70" w:type="dxa"/>
              <w:start w:w="68" w:type="dxa"/>
              <w:end w:w="68" w:type="dxa"/>
            </w:tcMar>
            <w:vAlign w:val="center"/>
            <w:shd w:val="clear" w:color="auto" w:fill="E8F0F8"/>
          </w:tcPr>
          <w:p w14:paraId="753BF95E">
            <w:pPr>
              <w:spacing w:before="0" w:after="0" w:line="240" w:lineRule="auto"/>
              <w:jc w:val="center"/>
            </w:pPr>
            <w:r>
              <w:rPr>
                <w:rFonts w:ascii="Times New Roman" w:hAnsi="Times New Roman" w:eastAsia="Times New Roman" w:cs="Times New Roman"/>
                <w:b/>
                <w:color w:val="1E364D"/>
                <w:sz w:val="14"/>
              </w:rPr>
              <w:t>N</w:t>
            </w:r>
          </w:p>
        </w:tc>
        <w:tc>
          <w:tcPr>
            <w:tcW w:w="835" w:type="dxa"/>
            <w:tcMar>
              <w:top w:w="65" w:type="dxa"/>
              <w:left w:w="70" w:type="dxa"/>
              <w:bottom w:w="65" w:type="dxa"/>
              <w:right w:w="70" w:type="dxa"/>
              <w:start w:w="68" w:type="dxa"/>
              <w:end w:w="68" w:type="dxa"/>
            </w:tcMar>
            <w:vAlign w:val="center"/>
            <w:shd w:val="clear" w:color="auto" w:fill="E8F0F8"/>
          </w:tcPr>
          <w:p w14:paraId="015E0C34">
            <w:pPr>
              <w:spacing w:before="0" w:after="0" w:line="240" w:lineRule="auto"/>
              <w:jc w:val="center"/>
            </w:pPr>
            <w:r>
              <w:rPr>
                <w:rFonts w:ascii="Times New Roman" w:hAnsi="Times New Roman" w:eastAsia="Times New Roman" w:cs="Times New Roman"/>
                <w:b/>
                <w:color w:val="1E364D"/>
                <w:sz w:val="14"/>
              </w:rPr>
              <w:t>Exact</w:t>
            </w:r>
          </w:p>
        </w:tc>
        <w:tc>
          <w:tcPr>
            <w:tcW w:w="936" w:type="dxa"/>
            <w:tcMar>
              <w:top w:w="65" w:type="dxa"/>
              <w:left w:w="70" w:type="dxa"/>
              <w:bottom w:w="65" w:type="dxa"/>
              <w:right w:w="70" w:type="dxa"/>
              <w:start w:w="68" w:type="dxa"/>
              <w:end w:w="68" w:type="dxa"/>
            </w:tcMar>
            <w:vAlign w:val="center"/>
            <w:shd w:val="clear" w:color="auto" w:fill="E8F0F8"/>
          </w:tcPr>
          <w:p w14:paraId="4F0914E3">
            <w:pPr>
              <w:spacing w:before="0" w:after="0" w:line="240" w:lineRule="auto"/>
              <w:jc w:val="center"/>
            </w:pPr>
            <w:r>
              <w:rPr>
                <w:rFonts w:ascii="Times New Roman" w:hAnsi="Times New Roman" w:eastAsia="Times New Roman" w:cs="Times New Roman"/>
                <w:b/>
                <w:color w:val="1E364D"/>
                <w:sz w:val="14"/>
              </w:rPr>
              <w:t>Within one</w:t>
            </w:r>
          </w:p>
        </w:tc>
        <w:tc>
          <w:tcPr>
            <w:tcW w:w="893" w:type="dxa"/>
            <w:tcMar>
              <w:top w:w="65" w:type="dxa"/>
              <w:left w:w="70" w:type="dxa"/>
              <w:bottom w:w="65" w:type="dxa"/>
              <w:right w:w="70" w:type="dxa"/>
              <w:start w:w="68" w:type="dxa"/>
              <w:end w:w="68" w:type="dxa"/>
            </w:tcMar>
            <w:vAlign w:val="center"/>
            <w:shd w:val="clear" w:color="auto" w:fill="E8F0F8"/>
          </w:tcPr>
          <w:p w14:paraId="00FE936B">
            <w:pPr>
              <w:spacing w:before="0" w:after="0" w:line="240" w:lineRule="auto"/>
              <w:jc w:val="center"/>
            </w:pPr>
            <w:r>
              <w:rPr>
                <w:rFonts w:ascii="Times New Roman" w:hAnsi="Times New Roman" w:eastAsia="Times New Roman" w:cs="Times New Roman"/>
                <w:b/>
                <w:color w:val="1E364D"/>
                <w:sz w:val="14"/>
              </w:rPr>
              <w:t>Mean spread</w:t>
            </w:r>
          </w:p>
        </w:tc>
        <w:tc>
          <w:tcPr>
            <w:tcW w:w="1800" w:type="dxa"/>
            <w:tcMar>
              <w:top w:w="65" w:type="dxa"/>
              <w:left w:w="70" w:type="dxa"/>
              <w:bottom w:w="65" w:type="dxa"/>
              <w:right w:w="70" w:type="dxa"/>
              <w:start w:w="68" w:type="dxa"/>
              <w:end w:w="68" w:type="dxa"/>
            </w:tcMar>
            <w:vAlign w:val="center"/>
            <w:shd w:val="clear" w:color="auto" w:fill="E8F0F8"/>
          </w:tcPr>
          <w:p w14:paraId="54529678">
            <w:pPr>
              <w:spacing w:before="0" w:after="0" w:line="240" w:lineRule="auto"/>
              <w:jc w:val="center"/>
            </w:pPr>
            <w:r>
              <w:rPr>
                <w:rFonts w:ascii="Times New Roman" w:hAnsi="Times New Roman" w:eastAsia="Times New Roman" w:cs="Times New Roman"/>
                <w:b/>
                <w:color w:val="1E364D"/>
                <w:sz w:val="14"/>
              </w:rPr>
              <w:t>Krippendorff ordinal α (95% CI)</w:t>
            </w:r>
          </w:p>
        </w:tc>
        <w:tc>
          <w:tcPr>
            <w:tcW w:w="1440" w:type="dxa"/>
            <w:tcMar>
              <w:top w:w="65" w:type="dxa"/>
              <w:left w:w="70" w:type="dxa"/>
              <w:bottom w:w="65" w:type="dxa"/>
              <w:right w:w="70" w:type="dxa"/>
              <w:start w:w="68" w:type="dxa"/>
              <w:end w:w="68" w:type="dxa"/>
            </w:tcMar>
            <w:vAlign w:val="center"/>
            <w:shd w:val="clear" w:color="auto" w:fill="E8F0F8"/>
          </w:tcPr>
          <w:p w14:paraId="12851B5D">
            <w:pPr>
              <w:spacing w:before="0" w:after="0" w:line="240" w:lineRule="auto"/>
              <w:jc w:val="center"/>
            </w:pPr>
            <w:r>
              <w:rPr>
                <w:rFonts w:ascii="Times New Roman" w:hAnsi="Times New Roman" w:eastAsia="Times New Roman" w:cs="Times New Roman"/>
                <w:b/>
                <w:color w:val="1E364D"/>
                <w:sz w:val="14"/>
              </w:rPr>
              <w:t>Ordinal-weighted AC2 (95% CI)</w:t>
            </w:r>
          </w:p>
        </w:tc>
        <w:tc>
          <w:tcPr>
            <w:tcW w:w="1800" w:type="dxa"/>
            <w:tcMar>
              <w:top w:w="65" w:type="dxa"/>
              <w:left w:w="70" w:type="dxa"/>
              <w:bottom w:w="65" w:type="dxa"/>
              <w:right w:w="70" w:type="dxa"/>
              <w:start w:w="68" w:type="dxa"/>
              <w:end w:w="68" w:type="dxa"/>
            </w:tcMar>
            <w:vAlign w:val="center"/>
            <w:shd w:val="clear" w:color="auto" w:fill="E8F0F8"/>
          </w:tcPr>
          <w:p w14:paraId="742231A0">
            <w:pPr>
              <w:spacing w:before="0" w:after="0" w:line="240" w:lineRule="auto"/>
              <w:jc w:val="center"/>
            </w:pPr>
            <w:r>
              <w:rPr>
                <w:rFonts w:ascii="Times New Roman" w:hAnsi="Times New Roman" w:eastAsia="Times New Roman" w:cs="Times New Roman"/>
                <w:b/>
                <w:color w:val="1E364D"/>
                <w:sz w:val="14"/>
              </w:rPr>
              <w:t>Mean pairwise quadratic-weighted κ (95% CI)</w:t>
            </w:r>
          </w:p>
        </w:tc>
      </w:tr>
      <w:tr w14:paraId="00C51A86">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1440" w:type="dxa"/>
            <w:tcMar>
              <w:top w:w="65" w:type="dxa"/>
              <w:left w:w="70" w:type="dxa"/>
              <w:bottom w:w="65" w:type="dxa"/>
              <w:right w:w="70" w:type="dxa"/>
              <w:start w:w="68" w:type="dxa"/>
              <w:end w:w="68" w:type="dxa"/>
            </w:tcMar>
            <w:vAlign w:val="center"/>
          </w:tcPr>
          <w:p w14:paraId="14D6F558">
            <w:pPr>
              <w:spacing w:before="0" w:after="0" w:line="240" w:lineRule="auto"/>
              <w:jc w:val="left"/>
            </w:pPr>
            <w:r>
              <w:rPr>
                <w:rFonts w:ascii="Times New Roman" w:hAnsi="Times New Roman" w:eastAsia="Times New Roman" w:cs="Times New Roman"/>
                <w:b w:val="0"/>
                <w:color w:val="000000"/>
                <w:sz w:val="14"/>
              </w:rPr>
              <w:t>All cases</w:t>
            </w:r>
          </w:p>
        </w:tc>
        <w:tc>
          <w:tcPr>
            <w:tcW w:w="576" w:type="dxa"/>
            <w:tcMar>
              <w:top w:w="65" w:type="dxa"/>
              <w:left w:w="70" w:type="dxa"/>
              <w:bottom w:w="65" w:type="dxa"/>
              <w:right w:w="70" w:type="dxa"/>
              <w:start w:w="68" w:type="dxa"/>
              <w:end w:w="68" w:type="dxa"/>
            </w:tcMar>
            <w:vAlign w:val="center"/>
          </w:tcPr>
          <w:p w14:paraId="6FEE38B6">
            <w:pPr>
              <w:spacing w:before="0" w:after="0" w:line="240" w:lineRule="auto"/>
              <w:jc w:val="left"/>
            </w:pPr>
            <w:r>
              <w:rPr>
                <w:rFonts w:ascii="Times New Roman" w:hAnsi="Times New Roman" w:eastAsia="Times New Roman" w:cs="Times New Roman"/>
                <w:b w:val="0"/>
                <w:color w:val="000000"/>
                <w:sz w:val="14"/>
              </w:rPr>
              <w:t>720</w:t>
            </w:r>
          </w:p>
        </w:tc>
        <w:tc>
          <w:tcPr>
            <w:tcW w:w="835" w:type="dxa"/>
            <w:tcMar>
              <w:top w:w="65" w:type="dxa"/>
              <w:left w:w="70" w:type="dxa"/>
              <w:bottom w:w="65" w:type="dxa"/>
              <w:right w:w="70" w:type="dxa"/>
              <w:start w:w="68" w:type="dxa"/>
              <w:end w:w="68" w:type="dxa"/>
            </w:tcMar>
            <w:vAlign w:val="center"/>
          </w:tcPr>
          <w:p w14:paraId="0CD12498">
            <w:pPr>
              <w:spacing w:before="0" w:after="0" w:line="240" w:lineRule="auto"/>
              <w:jc w:val="left"/>
            </w:pPr>
            <w:r>
              <w:rPr>
                <w:rFonts w:ascii="Times New Roman" w:hAnsi="Times New Roman" w:eastAsia="Times New Roman" w:cs="Times New Roman"/>
                <w:b w:val="0"/>
                <w:color w:val="000000"/>
                <w:sz w:val="14"/>
              </w:rPr>
              <w:t>60.6%</w:t>
            </w:r>
          </w:p>
        </w:tc>
        <w:tc>
          <w:tcPr>
            <w:tcW w:w="936" w:type="dxa"/>
            <w:tcMar>
              <w:top w:w="65" w:type="dxa"/>
              <w:left w:w="70" w:type="dxa"/>
              <w:bottom w:w="65" w:type="dxa"/>
              <w:right w:w="70" w:type="dxa"/>
              <w:start w:w="68" w:type="dxa"/>
              <w:end w:w="68" w:type="dxa"/>
            </w:tcMar>
            <w:vAlign w:val="center"/>
          </w:tcPr>
          <w:p w14:paraId="3D207741">
            <w:pPr>
              <w:spacing w:before="0" w:after="0" w:line="240" w:lineRule="auto"/>
              <w:jc w:val="left"/>
            </w:pPr>
            <w:r>
              <w:rPr>
                <w:rFonts w:ascii="Times New Roman" w:hAnsi="Times New Roman" w:eastAsia="Times New Roman" w:cs="Times New Roman"/>
                <w:b w:val="0"/>
                <w:color w:val="000000"/>
                <w:sz w:val="14"/>
              </w:rPr>
              <w:t>85.0%</w:t>
            </w:r>
          </w:p>
        </w:tc>
        <w:tc>
          <w:tcPr>
            <w:tcW w:w="893" w:type="dxa"/>
            <w:tcMar>
              <w:top w:w="65" w:type="dxa"/>
              <w:left w:w="70" w:type="dxa"/>
              <w:bottom w:w="65" w:type="dxa"/>
              <w:right w:w="70" w:type="dxa"/>
              <w:start w:w="68" w:type="dxa"/>
              <w:end w:w="68" w:type="dxa"/>
            </w:tcMar>
            <w:vAlign w:val="center"/>
          </w:tcPr>
          <w:p w14:paraId="0BF7A97D">
            <w:pPr>
              <w:spacing w:before="0" w:after="0" w:line="240" w:lineRule="auto"/>
              <w:jc w:val="left"/>
            </w:pPr>
            <w:r>
              <w:rPr>
                <w:rFonts w:ascii="Times New Roman" w:hAnsi="Times New Roman" w:eastAsia="Times New Roman" w:cs="Times New Roman"/>
                <w:b w:val="0"/>
                <w:color w:val="000000"/>
                <w:sz w:val="14"/>
              </w:rPr>
              <w:t>0.597</w:t>
            </w:r>
          </w:p>
        </w:tc>
        <w:tc>
          <w:tcPr>
            <w:tcW w:w="1800" w:type="dxa"/>
            <w:tcMar>
              <w:top w:w="65" w:type="dxa"/>
              <w:left w:w="70" w:type="dxa"/>
              <w:bottom w:w="65" w:type="dxa"/>
              <w:right w:w="70" w:type="dxa"/>
              <w:start w:w="68" w:type="dxa"/>
              <w:end w:w="68" w:type="dxa"/>
            </w:tcMar>
            <w:vAlign w:val="center"/>
          </w:tcPr>
          <w:p w14:paraId="64E23874">
            <w:pPr>
              <w:spacing w:after="0" w:line="240" w:lineRule="auto" w:before="0"/>
            </w:pPr>
            <w:r>
              <w:rPr>
                <w:rFonts w:ascii="Times New Roman" w:hAnsi="Times New Roman" w:eastAsia="Times New Roman" w:cs="Times New Roman"/>
                <w:b w:val="0"/>
                <w:sz w:val="14"/>
              </w:rPr>
              <w:t>0.784 (0.752–0.814)</w:t>
            </w:r>
          </w:p>
        </w:tc>
        <w:tc>
          <w:tcPr>
            <w:tcW w:w="1440" w:type="dxa"/>
            <w:tcMar>
              <w:top w:w="65" w:type="dxa"/>
              <w:left w:w="70" w:type="dxa"/>
              <w:bottom w:w="65" w:type="dxa"/>
              <w:right w:w="70" w:type="dxa"/>
              <w:start w:w="68" w:type="dxa"/>
              <w:end w:w="68" w:type="dxa"/>
            </w:tcMar>
            <w:vAlign w:val="center"/>
          </w:tcPr>
          <w:p w14:paraId="10828538">
            <w:pPr>
              <w:spacing w:after="0" w:line="240" w:lineRule="auto" w:before="0"/>
            </w:pPr>
            <w:r>
              <w:rPr>
                <w:rFonts w:ascii="Times New Roman" w:hAnsi="Times New Roman" w:eastAsia="Times New Roman" w:cs="Times New Roman"/>
                <w:b w:val="0"/>
                <w:sz w:val="14"/>
              </w:rPr>
              <w:t>0.752 (0.716–0.787)</w:t>
            </w:r>
          </w:p>
        </w:tc>
        <w:tc>
          <w:tcPr>
            <w:tcW w:w="1800" w:type="dxa"/>
            <w:tcMar>
              <w:top w:w="65" w:type="dxa"/>
              <w:left w:w="70" w:type="dxa"/>
              <w:bottom w:w="65" w:type="dxa"/>
              <w:right w:w="70" w:type="dxa"/>
              <w:start w:w="68" w:type="dxa"/>
              <w:end w:w="68" w:type="dxa"/>
            </w:tcMar>
            <w:vAlign w:val="center"/>
          </w:tcPr>
          <w:p w14:paraId="019A2E22">
            <w:pPr>
              <w:spacing w:after="0" w:line="240" w:lineRule="auto" w:before="0"/>
            </w:pPr>
            <w:r>
              <w:rPr>
                <w:rFonts w:ascii="Times New Roman" w:hAnsi="Times New Roman" w:eastAsia="Times New Roman" w:cs="Times New Roman"/>
                <w:b w:val="0"/>
                <w:sz w:val="14"/>
              </w:rPr>
              <w:t>0.790 (0.760–0.819)</w:t>
            </w:r>
          </w:p>
        </w:tc>
      </w:tr>
      <w:tr w14:paraId="7A5219C8">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1440" w:type="dxa"/>
            <w:tcMar>
              <w:top w:w="65" w:type="dxa"/>
              <w:left w:w="70" w:type="dxa"/>
              <w:bottom w:w="65" w:type="dxa"/>
              <w:right w:w="70" w:type="dxa"/>
              <w:start w:w="68" w:type="dxa"/>
              <w:end w:w="68" w:type="dxa"/>
            </w:tcMar>
            <w:vAlign w:val="center"/>
          </w:tcPr>
          <w:p w14:paraId="4AEAF320">
            <w:pPr>
              <w:spacing w:before="0" w:after="0" w:line="240" w:lineRule="auto"/>
              <w:jc w:val="left"/>
            </w:pPr>
            <w:r>
              <w:rPr>
                <w:rFonts w:ascii="Times New Roman" w:hAnsi="Times New Roman" w:eastAsia="Times New Roman" w:cs="Times New Roman"/>
                <w:b w:val="0"/>
                <w:color w:val="000000"/>
                <w:sz w:val="14"/>
              </w:rPr>
              <w:t>Majority-failure subset</w:t>
            </w:r>
          </w:p>
        </w:tc>
        <w:tc>
          <w:tcPr>
            <w:tcW w:w="576" w:type="dxa"/>
            <w:tcMar>
              <w:top w:w="65" w:type="dxa"/>
              <w:left w:w="70" w:type="dxa"/>
              <w:bottom w:w="65" w:type="dxa"/>
              <w:right w:w="70" w:type="dxa"/>
              <w:start w:w="68" w:type="dxa"/>
              <w:end w:w="68" w:type="dxa"/>
            </w:tcMar>
            <w:vAlign w:val="center"/>
          </w:tcPr>
          <w:p w14:paraId="2DD83104">
            <w:pPr>
              <w:spacing w:before="0" w:after="0" w:line="240" w:lineRule="auto"/>
              <w:jc w:val="left"/>
            </w:pPr>
            <w:r>
              <w:rPr>
                <w:rFonts w:ascii="Times New Roman" w:hAnsi="Times New Roman" w:eastAsia="Times New Roman" w:cs="Times New Roman"/>
                <w:b w:val="0"/>
                <w:color w:val="000000"/>
                <w:sz w:val="14"/>
              </w:rPr>
              <w:t>445</w:t>
            </w:r>
          </w:p>
        </w:tc>
        <w:tc>
          <w:tcPr>
            <w:tcW w:w="835" w:type="dxa"/>
            <w:tcMar>
              <w:top w:w="65" w:type="dxa"/>
              <w:left w:w="70" w:type="dxa"/>
              <w:bottom w:w="65" w:type="dxa"/>
              <w:right w:w="70" w:type="dxa"/>
              <w:start w:w="68" w:type="dxa"/>
              <w:end w:w="68" w:type="dxa"/>
            </w:tcMar>
            <w:vAlign w:val="center"/>
          </w:tcPr>
          <w:p w14:paraId="30BE7A6D">
            <w:pPr>
              <w:spacing w:before="0" w:after="0" w:line="240" w:lineRule="auto"/>
              <w:jc w:val="left"/>
            </w:pPr>
            <w:r>
              <w:rPr>
                <w:rFonts w:ascii="Times New Roman" w:hAnsi="Times New Roman" w:eastAsia="Times New Roman" w:cs="Times New Roman"/>
                <w:b w:val="0"/>
                <w:color w:val="000000"/>
                <w:sz w:val="14"/>
              </w:rPr>
              <w:t>50.1%</w:t>
            </w:r>
          </w:p>
        </w:tc>
        <w:tc>
          <w:tcPr>
            <w:tcW w:w="936" w:type="dxa"/>
            <w:tcMar>
              <w:top w:w="65" w:type="dxa"/>
              <w:left w:w="70" w:type="dxa"/>
              <w:bottom w:w="65" w:type="dxa"/>
              <w:right w:w="70" w:type="dxa"/>
              <w:start w:w="68" w:type="dxa"/>
              <w:end w:w="68" w:type="dxa"/>
            </w:tcMar>
            <w:vAlign w:val="center"/>
          </w:tcPr>
          <w:p w14:paraId="22B3E66C">
            <w:pPr>
              <w:spacing w:before="0" w:after="0" w:line="240" w:lineRule="auto"/>
              <w:jc w:val="left"/>
            </w:pPr>
            <w:r>
              <w:rPr>
                <w:rFonts w:ascii="Times New Roman" w:hAnsi="Times New Roman" w:eastAsia="Times New Roman" w:cs="Times New Roman"/>
                <w:b w:val="0"/>
                <w:color w:val="000000"/>
                <w:sz w:val="14"/>
              </w:rPr>
              <w:t>81.8%</w:t>
            </w:r>
          </w:p>
        </w:tc>
        <w:tc>
          <w:tcPr>
            <w:tcW w:w="893" w:type="dxa"/>
            <w:tcMar>
              <w:top w:w="65" w:type="dxa"/>
              <w:left w:w="70" w:type="dxa"/>
              <w:bottom w:w="65" w:type="dxa"/>
              <w:right w:w="70" w:type="dxa"/>
              <w:start w:w="68" w:type="dxa"/>
              <w:end w:w="68" w:type="dxa"/>
            </w:tcMar>
            <w:vAlign w:val="center"/>
          </w:tcPr>
          <w:p w14:paraId="571A4916">
            <w:pPr>
              <w:spacing w:before="0" w:after="0" w:line="240" w:lineRule="auto"/>
              <w:jc w:val="left"/>
            </w:pPr>
            <w:r>
              <w:rPr>
                <w:rFonts w:ascii="Times New Roman" w:hAnsi="Times New Roman" w:eastAsia="Times New Roman" w:cs="Times New Roman"/>
                <w:b w:val="0"/>
                <w:color w:val="000000"/>
                <w:sz w:val="14"/>
              </w:rPr>
              <w:t>0.766</w:t>
            </w:r>
          </w:p>
        </w:tc>
        <w:tc>
          <w:tcPr>
            <w:tcW w:w="1800" w:type="dxa"/>
            <w:tcMar>
              <w:top w:w="65" w:type="dxa"/>
              <w:left w:w="70" w:type="dxa"/>
              <w:bottom w:w="65" w:type="dxa"/>
              <w:right w:w="70" w:type="dxa"/>
              <w:start w:w="68" w:type="dxa"/>
              <w:end w:w="68" w:type="dxa"/>
            </w:tcMar>
            <w:vAlign w:val="center"/>
          </w:tcPr>
          <w:p w14:paraId="04778B19">
            <w:pPr>
              <w:spacing w:after="0" w:line="240" w:lineRule="auto" w:before="0"/>
            </w:pPr>
            <w:r>
              <w:rPr>
                <w:rFonts w:ascii="Times New Roman" w:hAnsi="Times New Roman" w:eastAsia="Times New Roman" w:cs="Times New Roman"/>
                <w:b w:val="0"/>
                <w:sz w:val="14"/>
              </w:rPr>
              <w:t>0.528 (0.470–0.586)</w:t>
            </w:r>
          </w:p>
        </w:tc>
        <w:tc>
          <w:tcPr>
            <w:tcW w:w="1440" w:type="dxa"/>
            <w:tcMar>
              <w:top w:w="65" w:type="dxa"/>
              <w:left w:w="70" w:type="dxa"/>
              <w:bottom w:w="65" w:type="dxa"/>
              <w:right w:w="70" w:type="dxa"/>
              <w:start w:w="68" w:type="dxa"/>
              <w:end w:w="68" w:type="dxa"/>
            </w:tcMar>
            <w:vAlign w:val="center"/>
          </w:tcPr>
          <w:p w14:paraId="357E875E">
            <w:pPr>
              <w:spacing w:after="0" w:line="240" w:lineRule="auto" w:before="0"/>
            </w:pPr>
            <w:r>
              <w:rPr>
                <w:rFonts w:ascii="Times New Roman" w:hAnsi="Times New Roman" w:eastAsia="Times New Roman" w:cs="Times New Roman"/>
                <w:b w:val="0"/>
                <w:sz w:val="14"/>
              </w:rPr>
              <w:t>0.695 (0.647–0.744)</w:t>
            </w:r>
          </w:p>
        </w:tc>
        <w:tc>
          <w:tcPr>
            <w:tcW w:w="1800" w:type="dxa"/>
            <w:tcMar>
              <w:top w:w="65" w:type="dxa"/>
              <w:left w:w="70" w:type="dxa"/>
              <w:bottom w:w="65" w:type="dxa"/>
              <w:right w:w="70" w:type="dxa"/>
              <w:start w:w="68" w:type="dxa"/>
              <w:end w:w="68" w:type="dxa"/>
            </w:tcMar>
            <w:vAlign w:val="center"/>
          </w:tcPr>
          <w:p w14:paraId="323586FB">
            <w:pPr>
              <w:spacing w:after="0" w:line="240" w:lineRule="auto" w:before="0"/>
            </w:pPr>
            <w:r>
              <w:rPr>
                <w:rFonts w:ascii="Times New Roman" w:hAnsi="Times New Roman" w:eastAsia="Times New Roman" w:cs="Times New Roman"/>
                <w:b w:val="0"/>
                <w:sz w:val="14"/>
              </w:rPr>
              <w:t>0.454 (0.401–0.509)</w:t>
            </w:r>
          </w:p>
        </w:tc>
      </w:tr>
    </w:tbl>
    <w:p w14:paraId="29C43BF6">
      <w:pPr>
        <w:pStyle w:val="16"/>
        <w:keepNext/>
        <w:keepLines/>
        <w:spacing w:before="120" w:after="60"/>
        <w:jc w:val="left"/>
      </w:pPr>
      <w:r>
        <w:t>Table S31. Supplementary absolute-agreement ICC sensitivity analysis for severity.</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1405"/>
        <w:gridCol w:w="1405"/>
        <w:gridCol w:w="1405"/>
        <w:gridCol w:w="1405"/>
        <w:gridCol w:w="1405"/>
        <w:gridCol w:w="1405"/>
        <w:gridCol w:w="1405"/>
      </w:tblGrid>
      <w:tr w14:paraId="4F526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blHeader w:val="true"/>
          <w:jc w:val="center"/>
          <w:tblHeader w:val="true"/>
        </w:trPr>
        <w:tc>
          <w:tcPr>
            <w:tcW w:w="1405" w:type="dxa"/>
            <w:vAlign w:val="center"/>
            <w:tcMar>
              <w:top w:w="65" w:type="dxa"/>
              <w:start w:w="68" w:type="dxa"/>
              <w:bottom w:w="65" w:type="dxa"/>
              <w:end w:w="68" w:type="dxa"/>
            </w:tcMar>
            <w:shd w:val="clear" w:color="auto" w:fill="E8F0F8"/>
          </w:tcPr>
          <w:p w14:paraId="1561FFB7">
            <w:pPr>
              <w:spacing w:after="0" w:line="240" w:lineRule="auto" w:before="0"/>
              <w:jc w:val="center"/>
            </w:pPr>
            <w:r>
              <w:rPr>
                <w:rFonts w:ascii="Times New Roman" w:hAnsi="Times New Roman" w:eastAsia="Times New Roman" w:cs="Times New Roman"/>
                <w:b/>
                <w:color w:val="1E364D"/>
                <w:sz w:val="14"/>
              </w:rPr>
              <w:t>Analysis set</w:t>
            </w:r>
          </w:p>
        </w:tc>
        <w:tc>
          <w:tcPr>
            <w:tcW w:w="1405" w:type="dxa"/>
            <w:vAlign w:val="center"/>
            <w:tcMar>
              <w:top w:w="65" w:type="dxa"/>
              <w:start w:w="68" w:type="dxa"/>
              <w:bottom w:w="65" w:type="dxa"/>
              <w:end w:w="68" w:type="dxa"/>
            </w:tcMar>
            <w:shd w:val="clear" w:color="auto" w:fill="E8F0F8"/>
          </w:tcPr>
          <w:p w14:paraId="5C229E4A">
            <w:pPr>
              <w:spacing w:after="0" w:line="240" w:lineRule="auto" w:before="0"/>
              <w:jc w:val="center"/>
            </w:pPr>
            <w:r>
              <w:rPr>
                <w:rFonts w:ascii="Times New Roman" w:hAnsi="Times New Roman" w:eastAsia="Times New Roman" w:cs="Times New Roman"/>
                <w:b/>
                <w:color w:val="1E364D"/>
                <w:sz w:val="14"/>
              </w:rPr>
              <w:t>N</w:t>
            </w:r>
          </w:p>
        </w:tc>
        <w:tc>
          <w:tcPr>
            <w:tcW w:w="1405" w:type="dxa"/>
            <w:vAlign w:val="center"/>
            <w:tcMar>
              <w:top w:w="65" w:type="dxa"/>
              <w:start w:w="68" w:type="dxa"/>
              <w:bottom w:w="65" w:type="dxa"/>
              <w:end w:w="68" w:type="dxa"/>
            </w:tcMar>
            <w:shd w:val="clear" w:color="auto" w:fill="E8F0F8"/>
          </w:tcPr>
          <w:p w14:paraId="1532522F">
            <w:pPr>
              <w:spacing w:after="0" w:line="240" w:lineRule="auto" w:before="0"/>
              <w:jc w:val="center"/>
            </w:pPr>
            <w:r>
              <w:rPr>
                <w:rFonts w:ascii="Times New Roman" w:hAnsi="Times New Roman" w:eastAsia="Times New Roman" w:cs="Times New Roman"/>
                <w:b/>
                <w:color w:val="1E364D"/>
                <w:sz w:val="14"/>
              </w:rPr>
              <w:t>ICC(A,1)</w:t>
            </w:r>
          </w:p>
        </w:tc>
        <w:tc>
          <w:tcPr>
            <w:tcW w:w="1405" w:type="dxa"/>
            <w:vAlign w:val="center"/>
            <w:tcMar>
              <w:top w:w="65" w:type="dxa"/>
              <w:start w:w="68" w:type="dxa"/>
              <w:bottom w:w="65" w:type="dxa"/>
              <w:end w:w="68" w:type="dxa"/>
            </w:tcMar>
            <w:shd w:val="clear" w:color="auto" w:fill="E8F0F8"/>
          </w:tcPr>
          <w:p w14:paraId="20395AFE">
            <w:pPr>
              <w:spacing w:after="0" w:line="240" w:lineRule="auto" w:before="0"/>
              <w:jc w:val="center"/>
            </w:pPr>
            <w:r>
              <w:rPr>
                <w:rFonts w:ascii="Times New Roman" w:hAnsi="Times New Roman" w:eastAsia="Times New Roman" w:cs="Times New Roman"/>
                <w:b/>
                <w:color w:val="1E364D"/>
                <w:sz w:val="14"/>
              </w:rPr>
              <w:t>95% prompt-cluster bootstrap CI</w:t>
            </w:r>
          </w:p>
        </w:tc>
        <w:tc>
          <w:tcPr>
            <w:tcW w:w="1405" w:type="dxa"/>
            <w:vAlign w:val="center"/>
            <w:tcMar>
              <w:top w:w="65" w:type="dxa"/>
              <w:start w:w="68" w:type="dxa"/>
              <w:bottom w:w="65" w:type="dxa"/>
              <w:end w:w="68" w:type="dxa"/>
            </w:tcMar>
            <w:shd w:val="clear" w:color="auto" w:fill="E8F0F8"/>
          </w:tcPr>
          <w:p w14:paraId="1FB7FF16">
            <w:pPr>
              <w:spacing w:after="0" w:line="240" w:lineRule="auto" w:before="0"/>
              <w:jc w:val="center"/>
            </w:pPr>
            <w:r>
              <w:rPr>
                <w:rFonts w:ascii="Times New Roman" w:hAnsi="Times New Roman" w:eastAsia="Times New Roman" w:cs="Times New Roman"/>
                <w:b/>
                <w:color w:val="1E364D"/>
                <w:sz w:val="14"/>
              </w:rPr>
              <w:t>ICC(A,3)</w:t>
            </w:r>
          </w:p>
        </w:tc>
        <w:tc>
          <w:tcPr>
            <w:tcW w:w="1405" w:type="dxa"/>
            <w:vAlign w:val="center"/>
            <w:tcMar>
              <w:top w:w="65" w:type="dxa"/>
              <w:start w:w="68" w:type="dxa"/>
              <w:bottom w:w="65" w:type="dxa"/>
              <w:end w:w="68" w:type="dxa"/>
            </w:tcMar>
            <w:shd w:val="clear" w:color="auto" w:fill="E8F0F8"/>
          </w:tcPr>
          <w:p w14:paraId="02722248">
            <w:pPr>
              <w:spacing w:after="0" w:line="240" w:lineRule="auto" w:before="0"/>
              <w:jc w:val="center"/>
            </w:pPr>
            <w:r>
              <w:rPr>
                <w:rFonts w:ascii="Times New Roman" w:hAnsi="Times New Roman" w:eastAsia="Times New Roman" w:cs="Times New Roman"/>
                <w:b/>
                <w:color w:val="1E364D"/>
                <w:sz w:val="14"/>
              </w:rPr>
              <w:t>95% prompt-cluster bootstrap CI</w:t>
            </w:r>
          </w:p>
        </w:tc>
        <w:tc>
          <w:tcPr>
            <w:tcW w:w="1405" w:type="dxa"/>
            <w:vAlign w:val="center"/>
            <w:tcMar>
              <w:top w:w="65" w:type="dxa"/>
              <w:start w:w="68" w:type="dxa"/>
              <w:bottom w:w="65" w:type="dxa"/>
              <w:end w:w="68" w:type="dxa"/>
            </w:tcMar>
            <w:shd w:val="clear" w:color="auto" w:fill="E8F0F8"/>
          </w:tcPr>
          <w:p w14:paraId="69C1C9C7">
            <w:pPr>
              <w:spacing w:after="0" w:line="240" w:lineRule="auto" w:before="0"/>
              <w:jc w:val="center"/>
            </w:pPr>
            <w:r>
              <w:rPr>
                <w:rFonts w:ascii="Times New Roman" w:hAnsi="Times New Roman" w:eastAsia="Times New Roman" w:cs="Times New Roman"/>
                <w:b/>
                <w:color w:val="1E364D"/>
                <w:sz w:val="14"/>
              </w:rPr>
              <w:t>Interpretation</w:t>
            </w:r>
          </w:p>
        </w:tc>
      </w:tr>
      <w:tr w14:paraId="1DFB6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405" w:type="dxa"/>
            <w:vAlign w:val="center"/>
            <w:tcMar>
              <w:top w:w="65" w:type="dxa"/>
              <w:start w:w="68" w:type="dxa"/>
              <w:bottom w:w="65" w:type="dxa"/>
              <w:end w:w="68" w:type="dxa"/>
            </w:tcMar>
          </w:tcPr>
          <w:p w14:paraId="20270AA0">
            <w:pPr>
              <w:spacing w:after="0" w:line="240" w:lineRule="auto" w:before="0"/>
            </w:pPr>
            <w:r>
              <w:rPr>
                <w:rFonts w:ascii="Times New Roman" w:hAnsi="Times New Roman" w:eastAsia="Times New Roman" w:cs="Times New Roman"/>
                <w:b w:val="0"/>
                <w:sz w:val="14"/>
              </w:rPr>
              <w:t>All cases</w:t>
            </w:r>
          </w:p>
        </w:tc>
        <w:tc>
          <w:tcPr>
            <w:tcW w:w="1405" w:type="dxa"/>
            <w:vAlign w:val="center"/>
            <w:tcMar>
              <w:top w:w="65" w:type="dxa"/>
              <w:start w:w="68" w:type="dxa"/>
              <w:bottom w:w="65" w:type="dxa"/>
              <w:end w:w="68" w:type="dxa"/>
            </w:tcMar>
          </w:tcPr>
          <w:p w14:paraId="14F4B7A9">
            <w:pPr>
              <w:spacing w:after="0" w:line="240" w:lineRule="auto" w:before="0"/>
            </w:pPr>
            <w:r>
              <w:rPr>
                <w:rFonts w:ascii="Times New Roman" w:hAnsi="Times New Roman" w:eastAsia="Times New Roman" w:cs="Times New Roman"/>
                <w:b w:val="0"/>
                <w:sz w:val="14"/>
              </w:rPr>
              <w:t>720</w:t>
            </w:r>
          </w:p>
        </w:tc>
        <w:tc>
          <w:tcPr>
            <w:tcW w:w="1405" w:type="dxa"/>
            <w:vAlign w:val="center"/>
            <w:tcMar>
              <w:top w:w="65" w:type="dxa"/>
              <w:start w:w="68" w:type="dxa"/>
              <w:bottom w:w="65" w:type="dxa"/>
              <w:end w:w="68" w:type="dxa"/>
            </w:tcMar>
          </w:tcPr>
          <w:p w14:paraId="414A8FCC">
            <w:pPr>
              <w:spacing w:after="0" w:line="240" w:lineRule="auto" w:before="0"/>
            </w:pPr>
            <w:r>
              <w:rPr>
                <w:rFonts w:ascii="Times New Roman" w:hAnsi="Times New Roman" w:eastAsia="Times New Roman" w:cs="Times New Roman"/>
                <w:b w:val="0"/>
                <w:sz w:val="14"/>
              </w:rPr>
              <w:t>0.790</w:t>
            </w:r>
          </w:p>
        </w:tc>
        <w:tc>
          <w:tcPr>
            <w:tcW w:w="1405" w:type="dxa"/>
            <w:vAlign w:val="center"/>
            <w:tcMar>
              <w:top w:w="65" w:type="dxa"/>
              <w:start w:w="68" w:type="dxa"/>
              <w:bottom w:w="65" w:type="dxa"/>
              <w:end w:w="68" w:type="dxa"/>
            </w:tcMar>
          </w:tcPr>
          <w:p w14:paraId="50493871">
            <w:pPr>
              <w:spacing w:after="0" w:line="240" w:lineRule="auto" w:before="0"/>
            </w:pPr>
            <w:r>
              <w:rPr>
                <w:rFonts w:ascii="Times New Roman" w:hAnsi="Times New Roman" w:eastAsia="Times New Roman" w:cs="Times New Roman"/>
                <w:b w:val="0"/>
                <w:sz w:val="14"/>
              </w:rPr>
              <w:t>0.759–0.819</w:t>
            </w:r>
          </w:p>
        </w:tc>
        <w:tc>
          <w:tcPr>
            <w:tcW w:w="1405" w:type="dxa"/>
            <w:vAlign w:val="center"/>
            <w:tcMar>
              <w:top w:w="65" w:type="dxa"/>
              <w:start w:w="68" w:type="dxa"/>
              <w:bottom w:w="65" w:type="dxa"/>
              <w:end w:w="68" w:type="dxa"/>
            </w:tcMar>
          </w:tcPr>
          <w:p w14:paraId="17B60316">
            <w:pPr>
              <w:spacing w:after="0" w:line="240" w:lineRule="auto" w:before="0"/>
            </w:pPr>
            <w:r>
              <w:rPr>
                <w:rFonts w:ascii="Times New Roman" w:hAnsi="Times New Roman" w:eastAsia="Times New Roman" w:cs="Times New Roman"/>
                <w:b w:val="0"/>
                <w:sz w:val="14"/>
              </w:rPr>
              <w:t>0.919</w:t>
            </w:r>
          </w:p>
        </w:tc>
        <w:tc>
          <w:tcPr>
            <w:tcW w:w="1405" w:type="dxa"/>
            <w:vAlign w:val="center"/>
            <w:tcMar>
              <w:top w:w="65" w:type="dxa"/>
              <w:start w:w="68" w:type="dxa"/>
              <w:bottom w:w="65" w:type="dxa"/>
              <w:end w:w="68" w:type="dxa"/>
            </w:tcMar>
          </w:tcPr>
          <w:p w14:paraId="5A19DFF4">
            <w:pPr>
              <w:spacing w:after="0" w:line="240" w:lineRule="auto" w:before="0"/>
            </w:pPr>
            <w:r>
              <w:rPr>
                <w:rFonts w:ascii="Times New Roman" w:hAnsi="Times New Roman" w:eastAsia="Times New Roman" w:cs="Times New Roman"/>
                <w:b w:val="0"/>
                <w:sz w:val="14"/>
              </w:rPr>
              <w:t>0.904–0.931</w:t>
            </w:r>
          </w:p>
        </w:tc>
        <w:tc>
          <w:tcPr>
            <w:tcW w:w="1405" w:type="dxa"/>
            <w:vAlign w:val="center"/>
            <w:tcMar>
              <w:top w:w="65" w:type="dxa"/>
              <w:start w:w="68" w:type="dxa"/>
              <w:bottom w:w="65" w:type="dxa"/>
              <w:end w:w="68" w:type="dxa"/>
            </w:tcMar>
          </w:tcPr>
          <w:p w14:paraId="03756AE8">
            <w:pPr>
              <w:spacing w:after="0" w:line="240" w:lineRule="auto" w:before="0"/>
            </w:pPr>
            <w:r>
              <w:rPr>
                <w:rFonts w:ascii="Times New Roman" w:hAnsi="Times New Roman" w:eastAsia="Times New Roman" w:cs="Times New Roman"/>
                <w:b w:val="0"/>
                <w:sz w:val="14"/>
              </w:rPr>
              <w:t>Strong overall agreement, partly supported by shared score-0 decisions</w:t>
            </w:r>
          </w:p>
        </w:tc>
      </w:tr>
      <w:tr w14:paraId="3ED94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405" w:type="dxa"/>
            <w:vAlign w:val="center"/>
            <w:tcMar>
              <w:top w:w="65" w:type="dxa"/>
              <w:start w:w="68" w:type="dxa"/>
              <w:bottom w:w="65" w:type="dxa"/>
              <w:end w:w="68" w:type="dxa"/>
            </w:tcMar>
          </w:tcPr>
          <w:p w14:paraId="4C55ED2D">
            <w:pPr>
              <w:spacing w:after="0" w:line="240" w:lineRule="auto" w:before="0"/>
            </w:pPr>
            <w:r>
              <w:rPr>
                <w:rFonts w:ascii="Times New Roman" w:hAnsi="Times New Roman" w:eastAsia="Times New Roman" w:cs="Times New Roman"/>
                <w:b w:val="0"/>
                <w:sz w:val="14"/>
              </w:rPr>
              <w:t>Majority-failure subset</w:t>
            </w:r>
          </w:p>
        </w:tc>
        <w:tc>
          <w:tcPr>
            <w:tcW w:w="1405" w:type="dxa"/>
            <w:vAlign w:val="center"/>
            <w:tcMar>
              <w:top w:w="65" w:type="dxa"/>
              <w:start w:w="68" w:type="dxa"/>
              <w:bottom w:w="65" w:type="dxa"/>
              <w:end w:w="68" w:type="dxa"/>
            </w:tcMar>
          </w:tcPr>
          <w:p w14:paraId="7B8D95E4">
            <w:pPr>
              <w:spacing w:after="0" w:line="240" w:lineRule="auto" w:before="0"/>
            </w:pPr>
            <w:r>
              <w:rPr>
                <w:rFonts w:ascii="Times New Roman" w:hAnsi="Times New Roman" w:eastAsia="Times New Roman" w:cs="Times New Roman"/>
                <w:b w:val="0"/>
                <w:sz w:val="14"/>
              </w:rPr>
              <w:t>445</w:t>
            </w:r>
          </w:p>
        </w:tc>
        <w:tc>
          <w:tcPr>
            <w:tcW w:w="1405" w:type="dxa"/>
            <w:vAlign w:val="center"/>
            <w:tcMar>
              <w:top w:w="65" w:type="dxa"/>
              <w:start w:w="68" w:type="dxa"/>
              <w:bottom w:w="65" w:type="dxa"/>
              <w:end w:w="68" w:type="dxa"/>
            </w:tcMar>
          </w:tcPr>
          <w:p w14:paraId="70890C78">
            <w:pPr>
              <w:spacing w:after="0" w:line="240" w:lineRule="auto" w:before="0"/>
            </w:pPr>
            <w:r>
              <w:rPr>
                <w:rFonts w:ascii="Times New Roman" w:hAnsi="Times New Roman" w:eastAsia="Times New Roman" w:cs="Times New Roman"/>
                <w:b w:val="0"/>
                <w:sz w:val="14"/>
              </w:rPr>
              <w:t>0.431</w:t>
            </w:r>
          </w:p>
        </w:tc>
        <w:tc>
          <w:tcPr>
            <w:tcW w:w="1405" w:type="dxa"/>
            <w:vAlign w:val="center"/>
            <w:tcMar>
              <w:top w:w="65" w:type="dxa"/>
              <w:start w:w="68" w:type="dxa"/>
              <w:bottom w:w="65" w:type="dxa"/>
              <w:end w:w="68" w:type="dxa"/>
            </w:tcMar>
          </w:tcPr>
          <w:p w14:paraId="649CF5DB">
            <w:pPr>
              <w:spacing w:after="0" w:line="240" w:lineRule="auto" w:before="0"/>
            </w:pPr>
            <w:r>
              <w:rPr>
                <w:rFonts w:ascii="Times New Roman" w:hAnsi="Times New Roman" w:eastAsia="Times New Roman" w:cs="Times New Roman"/>
                <w:b w:val="0"/>
                <w:sz w:val="14"/>
              </w:rPr>
              <w:t>0.373–0.490</w:t>
            </w:r>
          </w:p>
        </w:tc>
        <w:tc>
          <w:tcPr>
            <w:tcW w:w="1405" w:type="dxa"/>
            <w:vAlign w:val="center"/>
            <w:tcMar>
              <w:top w:w="65" w:type="dxa"/>
              <w:start w:w="68" w:type="dxa"/>
              <w:bottom w:w="65" w:type="dxa"/>
              <w:end w:w="68" w:type="dxa"/>
            </w:tcMar>
          </w:tcPr>
          <w:p w14:paraId="39326FE0">
            <w:pPr>
              <w:spacing w:after="0" w:line="240" w:lineRule="auto" w:before="0"/>
            </w:pPr>
            <w:r>
              <w:rPr>
                <w:rFonts w:ascii="Times New Roman" w:hAnsi="Times New Roman" w:eastAsia="Times New Roman" w:cs="Times New Roman"/>
                <w:b w:val="0"/>
                <w:sz w:val="14"/>
              </w:rPr>
              <w:t>0.694</w:t>
            </w:r>
          </w:p>
        </w:tc>
        <w:tc>
          <w:tcPr>
            <w:tcW w:w="1405" w:type="dxa"/>
            <w:vAlign w:val="center"/>
            <w:tcMar>
              <w:top w:w="65" w:type="dxa"/>
              <w:start w:w="68" w:type="dxa"/>
              <w:bottom w:w="65" w:type="dxa"/>
              <w:end w:w="68" w:type="dxa"/>
            </w:tcMar>
          </w:tcPr>
          <w:p w14:paraId="611CC498">
            <w:pPr>
              <w:spacing w:after="0" w:line="240" w:lineRule="auto" w:before="0"/>
            </w:pPr>
            <w:r>
              <w:rPr>
                <w:rFonts w:ascii="Times New Roman" w:hAnsi="Times New Roman" w:eastAsia="Times New Roman" w:cs="Times New Roman"/>
                <w:b w:val="0"/>
                <w:sz w:val="14"/>
              </w:rPr>
              <w:t>0.641–0.742</w:t>
            </w:r>
          </w:p>
        </w:tc>
        <w:tc>
          <w:tcPr>
            <w:tcW w:w="1405" w:type="dxa"/>
            <w:vAlign w:val="center"/>
            <w:tcMar>
              <w:top w:w="65" w:type="dxa"/>
              <w:start w:w="68" w:type="dxa"/>
              <w:bottom w:w="65" w:type="dxa"/>
              <w:end w:w="68" w:type="dxa"/>
            </w:tcMar>
          </w:tcPr>
          <w:p w14:paraId="12A77CEF">
            <w:pPr>
              <w:spacing w:after="0" w:line="240" w:lineRule="auto" w:before="0"/>
            </w:pPr>
            <w:r>
              <w:rPr>
                <w:rFonts w:ascii="Times New Roman" w:hAnsi="Times New Roman" w:eastAsia="Times New Roman" w:cs="Times New Roman"/>
                <w:b w:val="0"/>
                <w:sz w:val="14"/>
              </w:rPr>
              <w:t>Weaker single-rating agreement among non-zero severity levels</w:t>
            </w:r>
          </w:p>
        </w:tc>
      </w:tr>
    </w:tbl>
    <w:p>
      <w:pPr/>
      <w:r>
        <w:t>Table S32. Pair-specific pre-resolution ordinal-severity reliability.</w:t>
      </w:r>
    </w:p>
    <w:tbl>
      <w:tblPr>
        <w:tblStyle w:val="35"/>
        <w:tblW w:type="auto" w:w="0"/>
        <w:jc w:val="center"/>
        <w:tblLayout w:type="autofit"/>
        <w:tblLook w:firstColumn="1" w:firstRow="1" w:lastColumn="0" w:lastRow="0" w:noHBand="0" w:noVBand="1" w:val="04A0"/>
        <w:tblBorders>
          <w:top w:val="single" w:sz="4" w:color="C7D4E2"/>
          <w:bottom w:val="single" w:sz="4" w:color="C7D4E2"/>
          <w:left w:val="single" w:sz="4" w:color="C7D4E2"/>
          <w:right w:val="single" w:sz="4" w:color="C7D4E2"/>
          <w:insideH w:val="single" w:sz="4" w:color="C7D4E2"/>
          <w:insideV w:val="single" w:sz="3" w:color="C7D4E2"/>
        </w:tblBorders>
      </w:tblPr>
      <w:tblGrid>
        <w:gridCol w:w="1405"/>
        <w:gridCol w:w="1405"/>
        <w:gridCol w:w="1405"/>
        <w:gridCol w:w="1405"/>
        <w:gridCol w:w="1405"/>
        <w:gridCol w:w="1405"/>
        <w:gridCol w:w="1405"/>
      </w:tblGrid>
      <w:tr>
        <w:trPr>
          <w:cantSplit/>
          <w:tblHeader w:val="true"/>
          <w:tblHeader w:val="true"/>
        </w:trPr>
        <w:tc>
          <w:tcPr>
            <w:tcW w:type="dxa" w:w="864"/>
            <w:vAlign w:val="center"/>
            <w:tcMar>
              <w:top w:w="65" w:type="dxa"/>
              <w:start w:w="68" w:type="dxa"/>
              <w:bottom w:w="65" w:type="dxa"/>
              <w:end w:w="68" w:type="dxa"/>
            </w:tcMar>
            <w:shd w:val="clear" w:color="auto" w:fill="E8F0F8"/>
          </w:tcPr>
          <w:p>
            <w:pPr>
              <w:spacing w:before="0" w:after="0"/>
            </w:pPr>
            <w:r>
              <w:rPr>
                <w:rFonts w:ascii="Times New Roman" w:hAnsi="Times New Roman"/>
                <w:b/>
                <w:color w:val="1E364D"/>
                <w:sz w:val="14"/>
              </w:rPr>
            </w:r>
            <w:r>
              <w:rPr>
                <w:rFonts w:ascii="Times New Roman" w:hAnsi="Times New Roman"/>
                <w:b/>
                <w:color w:val="1E364D"/>
                <w:sz w:val="14"/>
              </w:rPr>
              <w:t>Pair</w:t>
            </w:r>
          </w:p>
        </w:tc>
        <w:tc>
          <w:tcPr>
            <w:tcW w:type="dxa" w:w="936"/>
            <w:vAlign w:val="center"/>
            <w:tcMar>
              <w:top w:w="65" w:type="dxa"/>
              <w:start w:w="68" w:type="dxa"/>
              <w:bottom w:w="65" w:type="dxa"/>
              <w:end w:w="68" w:type="dxa"/>
            </w:tcMar>
            <w:shd w:val="clear" w:color="auto" w:fill="E8F0F8"/>
          </w:tcPr>
          <w:p>
            <w:pPr>
              <w:spacing w:before="0" w:after="0"/>
            </w:pPr>
            <w:r>
              <w:rPr>
                <w:rFonts w:ascii="Times New Roman" w:hAnsi="Times New Roman"/>
                <w:b/>
                <w:color w:val="1E364D"/>
                <w:sz w:val="14"/>
              </w:rPr>
            </w:r>
            <w:r>
              <w:rPr>
                <w:rFonts w:ascii="Times New Roman" w:hAnsi="Times New Roman"/>
                <w:b/>
                <w:color w:val="1E364D"/>
                <w:sz w:val="14"/>
              </w:rPr>
              <w:t>Exact</w:t>
            </w:r>
          </w:p>
        </w:tc>
        <w:tc>
          <w:tcPr>
            <w:tcW w:type="dxa" w:w="1440"/>
            <w:vAlign w:val="center"/>
            <w:tcMar>
              <w:top w:w="65" w:type="dxa"/>
              <w:start w:w="68" w:type="dxa"/>
              <w:bottom w:w="65" w:type="dxa"/>
              <w:end w:w="68" w:type="dxa"/>
            </w:tcMar>
            <w:shd w:val="clear" w:color="auto" w:fill="E8F0F8"/>
          </w:tcPr>
          <w:p>
            <w:pPr>
              <w:spacing w:before="0" w:after="0"/>
            </w:pPr>
            <w:r>
              <w:rPr>
                <w:rFonts w:ascii="Times New Roman" w:hAnsi="Times New Roman"/>
                <w:b/>
                <w:color w:val="1E364D"/>
                <w:sz w:val="14"/>
              </w:rPr>
            </w:r>
            <w:r>
              <w:rPr>
                <w:rFonts w:ascii="Times New Roman" w:hAnsi="Times New Roman"/>
                <w:b/>
                <w:color w:val="1E364D"/>
                <w:sz w:val="14"/>
              </w:rPr>
              <w:t>95% CI</w:t>
            </w:r>
          </w:p>
        </w:tc>
        <w:tc>
          <w:tcPr>
            <w:tcW w:type="dxa" w:w="1152"/>
            <w:vAlign w:val="center"/>
            <w:tcMar>
              <w:top w:w="65" w:type="dxa"/>
              <w:start w:w="68" w:type="dxa"/>
              <w:bottom w:w="65" w:type="dxa"/>
              <w:end w:w="68" w:type="dxa"/>
            </w:tcMar>
            <w:shd w:val="clear" w:color="auto" w:fill="E8F0F8"/>
          </w:tcPr>
          <w:p>
            <w:pPr>
              <w:spacing w:before="0" w:after="0"/>
            </w:pPr>
            <w:r>
              <w:rPr>
                <w:rFonts w:ascii="Times New Roman" w:hAnsi="Times New Roman"/>
                <w:b/>
                <w:color w:val="1E364D"/>
                <w:sz w:val="14"/>
              </w:rPr>
            </w:r>
            <w:r>
              <w:rPr>
                <w:rFonts w:ascii="Times New Roman" w:hAnsi="Times New Roman"/>
                <w:b/>
                <w:color w:val="1E364D"/>
                <w:sz w:val="14"/>
              </w:rPr>
              <w:t>Within one</w:t>
            </w:r>
          </w:p>
        </w:tc>
        <w:tc>
          <w:tcPr>
            <w:tcW w:type="dxa" w:w="1440"/>
            <w:vAlign w:val="center"/>
            <w:tcMar>
              <w:top w:w="65" w:type="dxa"/>
              <w:start w:w="68" w:type="dxa"/>
              <w:bottom w:w="65" w:type="dxa"/>
              <w:end w:w="68" w:type="dxa"/>
            </w:tcMar>
            <w:shd w:val="clear" w:color="auto" w:fill="E8F0F8"/>
          </w:tcPr>
          <w:p>
            <w:pPr>
              <w:spacing w:before="0" w:after="0"/>
            </w:pPr>
            <w:r>
              <w:rPr>
                <w:rFonts w:ascii="Times New Roman" w:hAnsi="Times New Roman"/>
                <w:b/>
                <w:color w:val="1E364D"/>
                <w:sz w:val="14"/>
              </w:rPr>
            </w:r>
            <w:r>
              <w:rPr>
                <w:rFonts w:ascii="Times New Roman" w:hAnsi="Times New Roman"/>
                <w:b/>
                <w:color w:val="1E364D"/>
                <w:sz w:val="14"/>
              </w:rPr>
              <w:t>95% CI</w:t>
            </w:r>
          </w:p>
        </w:tc>
        <w:tc>
          <w:tcPr>
            <w:tcW w:type="dxa" w:w="864"/>
            <w:vAlign w:val="center"/>
            <w:tcMar>
              <w:top w:w="65" w:type="dxa"/>
              <w:start w:w="68" w:type="dxa"/>
              <w:bottom w:w="65" w:type="dxa"/>
              <w:end w:w="68" w:type="dxa"/>
            </w:tcMar>
            <w:shd w:val="clear" w:color="auto" w:fill="E8F0F8"/>
          </w:tcPr>
          <w:p>
            <w:pPr>
              <w:spacing w:before="0" w:after="0"/>
            </w:pPr>
            <w:r>
              <w:rPr>
                <w:rFonts w:ascii="Times New Roman" w:hAnsi="Times New Roman"/>
                <w:b/>
                <w:color w:val="1E364D"/>
                <w:sz w:val="14"/>
              </w:rPr>
            </w:r>
            <w:r>
              <w:rPr>
                <w:rFonts w:ascii="Times New Roman" w:hAnsi="Times New Roman"/>
                <w:b/>
                <w:color w:val="1E364D"/>
                <w:sz w:val="14"/>
              </w:rPr>
              <w:t>QWK</w:t>
            </w:r>
          </w:p>
        </w:tc>
        <w:tc>
          <w:tcPr>
            <w:tcW w:type="dxa" w:w="1440"/>
            <w:vAlign w:val="center"/>
            <w:tcMar>
              <w:top w:w="65" w:type="dxa"/>
              <w:start w:w="68" w:type="dxa"/>
              <w:bottom w:w="65" w:type="dxa"/>
              <w:end w:w="68" w:type="dxa"/>
            </w:tcMar>
            <w:shd w:val="clear" w:color="auto" w:fill="E8F0F8"/>
          </w:tcPr>
          <w:p>
            <w:pPr>
              <w:spacing w:before="0" w:after="0"/>
            </w:pPr>
            <w:r>
              <w:rPr>
                <w:rFonts w:ascii="Times New Roman" w:hAnsi="Times New Roman"/>
                <w:b/>
                <w:color w:val="1E364D"/>
                <w:sz w:val="14"/>
              </w:rPr>
            </w:r>
            <w:r>
              <w:rPr>
                <w:rFonts w:ascii="Times New Roman" w:hAnsi="Times New Roman"/>
                <w:b/>
                <w:color w:val="1E364D"/>
                <w:sz w:val="14"/>
              </w:rPr>
              <w:t>95% CI</w:t>
            </w:r>
          </w:p>
        </w:tc>
      </w:tr>
      <w:tr>
        <w:trPr>
          <w:cantSplit/>
        </w:trPr>
        <w:tc>
          <w:tcPr>
            <w:tcW w:type="dxa" w:w="864"/>
            <w:vAlign w:val="center"/>
            <w:tcMar>
              <w:top w:w="65" w:type="dxa"/>
              <w:start w:w="68" w:type="dxa"/>
              <w:bottom w:w="65" w:type="dxa"/>
              <w:end w:w="68" w:type="dxa"/>
            </w:tcMar>
          </w:tcPr>
          <w:p>
            <w:pPr>
              <w:spacing w:before="0" w:after="0"/>
            </w:pPr>
            <w:r>
              <w:rPr>
                <w:rFonts w:ascii="Times New Roman" w:hAnsi="Times New Roman"/>
                <w:sz w:val="14"/>
              </w:rPr>
            </w:r>
            <w:r>
              <w:rPr>
                <w:rFonts w:ascii="Times New Roman" w:hAnsi="Times New Roman"/>
                <w:b w:val="0"/>
                <w:sz w:val="14"/>
              </w:rPr>
              <w:t>A1-A2</w:t>
            </w:r>
          </w:p>
        </w:tc>
        <w:tc>
          <w:tcPr>
            <w:tcW w:type="dxa" w:w="936"/>
            <w:vAlign w:val="center"/>
            <w:tcMar>
              <w:top w:w="65" w:type="dxa"/>
              <w:start w:w="68" w:type="dxa"/>
              <w:bottom w:w="65" w:type="dxa"/>
              <w:end w:w="68" w:type="dxa"/>
            </w:tcMar>
          </w:tcPr>
          <w:p>
            <w:pPr>
              <w:spacing w:before="0" w:after="0"/>
            </w:pPr>
            <w:r>
              <w:rPr>
                <w:rFonts w:ascii="Times New Roman" w:hAnsi="Times New Roman"/>
                <w:sz w:val="14"/>
              </w:rPr>
            </w:r>
            <w:r>
              <w:rPr>
                <w:rFonts w:ascii="Times New Roman" w:hAnsi="Times New Roman"/>
                <w:b w:val="0"/>
                <w:sz w:val="14"/>
              </w:rPr>
              <w:t>77.1%</w:t>
            </w:r>
          </w:p>
        </w:tc>
        <w:tc>
          <w:tcPr>
            <w:tcW w:type="dxa" w:w="1440"/>
            <w:vAlign w:val="center"/>
            <w:tcMar>
              <w:top w:w="65" w:type="dxa"/>
              <w:start w:w="68" w:type="dxa"/>
              <w:bottom w:w="65" w:type="dxa"/>
              <w:end w:w="68" w:type="dxa"/>
            </w:tcMar>
          </w:tcPr>
          <w:p>
            <w:pPr>
              <w:spacing w:before="0" w:after="0"/>
            </w:pPr>
            <w:r>
              <w:rPr>
                <w:rFonts w:ascii="Times New Roman" w:hAnsi="Times New Roman"/>
                <w:sz w:val="14"/>
              </w:rPr>
            </w:r>
            <w:r>
              <w:rPr>
                <w:rFonts w:ascii="Times New Roman" w:hAnsi="Times New Roman"/>
                <w:b w:val="0"/>
                <w:sz w:val="14"/>
              </w:rPr>
              <w:t>[.742, .801]</w:t>
            </w:r>
          </w:p>
        </w:tc>
        <w:tc>
          <w:tcPr>
            <w:tcW w:type="dxa" w:w="1152"/>
            <w:vAlign w:val="center"/>
            <w:tcMar>
              <w:top w:w="65" w:type="dxa"/>
              <w:start w:w="68" w:type="dxa"/>
              <w:bottom w:w="65" w:type="dxa"/>
              <w:end w:w="68" w:type="dxa"/>
            </w:tcMar>
          </w:tcPr>
          <w:p>
            <w:pPr>
              <w:spacing w:before="0" w:after="0"/>
            </w:pPr>
            <w:r>
              <w:rPr>
                <w:rFonts w:ascii="Times New Roman" w:hAnsi="Times New Roman"/>
                <w:sz w:val="14"/>
              </w:rPr>
            </w:r>
            <w:r>
              <w:rPr>
                <w:rFonts w:ascii="Times New Roman" w:hAnsi="Times New Roman"/>
                <w:b w:val="0"/>
                <w:sz w:val="14"/>
              </w:rPr>
              <w:t>89.0%</w:t>
            </w:r>
          </w:p>
        </w:tc>
        <w:tc>
          <w:tcPr>
            <w:tcW w:type="dxa" w:w="1440"/>
            <w:vAlign w:val="center"/>
            <w:tcMar>
              <w:top w:w="65" w:type="dxa"/>
              <w:start w:w="68" w:type="dxa"/>
              <w:bottom w:w="65" w:type="dxa"/>
              <w:end w:w="68" w:type="dxa"/>
            </w:tcMar>
          </w:tcPr>
          <w:p>
            <w:pPr>
              <w:spacing w:before="0" w:after="0"/>
            </w:pPr>
            <w:r>
              <w:rPr>
                <w:rFonts w:ascii="Times New Roman" w:hAnsi="Times New Roman"/>
                <w:sz w:val="14"/>
              </w:rPr>
            </w:r>
            <w:r>
              <w:rPr>
                <w:rFonts w:ascii="Times New Roman" w:hAnsi="Times New Roman"/>
                <w:b w:val="0"/>
                <w:sz w:val="14"/>
              </w:rPr>
              <w:t>[.869, .911]</w:t>
            </w:r>
          </w:p>
        </w:tc>
        <w:tc>
          <w:tcPr>
            <w:tcW w:type="dxa" w:w="864"/>
            <w:vAlign w:val="center"/>
            <w:tcMar>
              <w:top w:w="65" w:type="dxa"/>
              <w:start w:w="68" w:type="dxa"/>
              <w:bottom w:w="65" w:type="dxa"/>
              <w:end w:w="68" w:type="dxa"/>
            </w:tcMar>
          </w:tcPr>
          <w:p>
            <w:pPr>
              <w:spacing w:before="0" w:after="0"/>
            </w:pPr>
            <w:r>
              <w:rPr>
                <w:rFonts w:ascii="Times New Roman" w:hAnsi="Times New Roman"/>
                <w:sz w:val="14"/>
              </w:rPr>
            </w:r>
            <w:r>
              <w:rPr>
                <w:rFonts w:ascii="Times New Roman" w:hAnsi="Times New Roman"/>
                <w:b w:val="0"/>
                <w:sz w:val="14"/>
              </w:rPr>
              <w:t>.778</w:t>
            </w:r>
          </w:p>
        </w:tc>
        <w:tc>
          <w:tcPr>
            <w:tcW w:type="dxa" w:w="1440"/>
            <w:vAlign w:val="center"/>
            <w:tcMar>
              <w:top w:w="65" w:type="dxa"/>
              <w:start w:w="68" w:type="dxa"/>
              <w:bottom w:w="65" w:type="dxa"/>
              <w:end w:w="68" w:type="dxa"/>
            </w:tcMar>
          </w:tcPr>
          <w:p>
            <w:pPr>
              <w:spacing w:before="0" w:after="0"/>
            </w:pPr>
            <w:r>
              <w:rPr>
                <w:rFonts w:ascii="Times New Roman" w:hAnsi="Times New Roman"/>
                <w:sz w:val="14"/>
              </w:rPr>
            </w:r>
            <w:r>
              <w:rPr>
                <w:rFonts w:ascii="Times New Roman" w:hAnsi="Times New Roman"/>
                <w:b w:val="0"/>
                <w:sz w:val="14"/>
              </w:rPr>
              <w:t>[.738, .815]</w:t>
            </w:r>
          </w:p>
        </w:tc>
      </w:tr>
      <w:tr>
        <w:trPr>
          <w:cantSplit/>
        </w:trPr>
        <w:tc>
          <w:tcPr>
            <w:tcW w:type="dxa" w:w="864"/>
            <w:vAlign w:val="center"/>
            <w:tcMar>
              <w:top w:w="65" w:type="dxa"/>
              <w:start w:w="68" w:type="dxa"/>
              <w:bottom w:w="65" w:type="dxa"/>
              <w:end w:w="68" w:type="dxa"/>
            </w:tcMar>
          </w:tcPr>
          <w:p>
            <w:pPr>
              <w:spacing w:before="0" w:after="0"/>
            </w:pPr>
            <w:r>
              <w:rPr>
                <w:rFonts w:ascii="Times New Roman" w:hAnsi="Times New Roman"/>
                <w:sz w:val="14"/>
              </w:rPr>
            </w:r>
            <w:r>
              <w:rPr>
                <w:rFonts w:ascii="Times New Roman" w:hAnsi="Times New Roman"/>
                <w:b w:val="0"/>
                <w:sz w:val="14"/>
              </w:rPr>
              <w:t>A1-A3</w:t>
            </w:r>
          </w:p>
        </w:tc>
        <w:tc>
          <w:tcPr>
            <w:tcW w:type="dxa" w:w="936"/>
            <w:vAlign w:val="center"/>
            <w:tcMar>
              <w:top w:w="65" w:type="dxa"/>
              <w:start w:w="68" w:type="dxa"/>
              <w:bottom w:w="65" w:type="dxa"/>
              <w:end w:w="68" w:type="dxa"/>
            </w:tcMar>
          </w:tcPr>
          <w:p>
            <w:pPr>
              <w:spacing w:before="0" w:after="0"/>
            </w:pPr>
            <w:r>
              <w:rPr>
                <w:rFonts w:ascii="Times New Roman" w:hAnsi="Times New Roman"/>
                <w:sz w:val="14"/>
              </w:rPr>
            </w:r>
            <w:r>
              <w:rPr>
                <w:rFonts w:ascii="Times New Roman" w:hAnsi="Times New Roman"/>
                <w:b w:val="0"/>
                <w:sz w:val="14"/>
              </w:rPr>
              <w:t>67.6%</w:t>
            </w:r>
          </w:p>
        </w:tc>
        <w:tc>
          <w:tcPr>
            <w:tcW w:type="dxa" w:w="1440"/>
            <w:vAlign w:val="center"/>
            <w:tcMar>
              <w:top w:w="65" w:type="dxa"/>
              <w:start w:w="68" w:type="dxa"/>
              <w:bottom w:w="65" w:type="dxa"/>
              <w:end w:w="68" w:type="dxa"/>
            </w:tcMar>
          </w:tcPr>
          <w:p>
            <w:pPr>
              <w:spacing w:before="0" w:after="0"/>
            </w:pPr>
            <w:r>
              <w:rPr>
                <w:rFonts w:ascii="Times New Roman" w:hAnsi="Times New Roman"/>
                <w:sz w:val="14"/>
              </w:rPr>
            </w:r>
            <w:r>
              <w:rPr>
                <w:rFonts w:ascii="Times New Roman" w:hAnsi="Times New Roman"/>
                <w:b w:val="0"/>
                <w:sz w:val="14"/>
              </w:rPr>
              <w:t>[.640, .711]</w:t>
            </w:r>
          </w:p>
        </w:tc>
        <w:tc>
          <w:tcPr>
            <w:tcW w:type="dxa" w:w="1152"/>
            <w:vAlign w:val="center"/>
            <w:tcMar>
              <w:top w:w="65" w:type="dxa"/>
              <w:start w:w="68" w:type="dxa"/>
              <w:bottom w:w="65" w:type="dxa"/>
              <w:end w:w="68" w:type="dxa"/>
            </w:tcMar>
          </w:tcPr>
          <w:p>
            <w:pPr>
              <w:spacing w:before="0" w:after="0"/>
            </w:pPr>
            <w:r>
              <w:rPr>
                <w:rFonts w:ascii="Times New Roman" w:hAnsi="Times New Roman"/>
                <w:sz w:val="14"/>
              </w:rPr>
            </w:r>
            <w:r>
              <w:rPr>
                <w:rFonts w:ascii="Times New Roman" w:hAnsi="Times New Roman"/>
                <w:b w:val="0"/>
                <w:sz w:val="14"/>
              </w:rPr>
              <w:t>89.2%</w:t>
            </w:r>
          </w:p>
        </w:tc>
        <w:tc>
          <w:tcPr>
            <w:tcW w:type="dxa" w:w="1440"/>
            <w:vAlign w:val="center"/>
            <w:tcMar>
              <w:top w:w="65" w:type="dxa"/>
              <w:start w:w="68" w:type="dxa"/>
              <w:bottom w:w="65" w:type="dxa"/>
              <w:end w:w="68" w:type="dxa"/>
            </w:tcMar>
          </w:tcPr>
          <w:p>
            <w:pPr>
              <w:spacing w:before="0" w:after="0"/>
            </w:pPr>
            <w:r>
              <w:rPr>
                <w:rFonts w:ascii="Times New Roman" w:hAnsi="Times New Roman"/>
                <w:sz w:val="14"/>
              </w:rPr>
            </w:r>
            <w:r>
              <w:rPr>
                <w:rFonts w:ascii="Times New Roman" w:hAnsi="Times New Roman"/>
                <w:b w:val="0"/>
                <w:sz w:val="14"/>
              </w:rPr>
              <w:t>[.869, .914]</w:t>
            </w:r>
          </w:p>
        </w:tc>
        <w:tc>
          <w:tcPr>
            <w:tcW w:type="dxa" w:w="864"/>
            <w:vAlign w:val="center"/>
            <w:tcMar>
              <w:top w:w="65" w:type="dxa"/>
              <w:start w:w="68" w:type="dxa"/>
              <w:bottom w:w="65" w:type="dxa"/>
              <w:end w:w="68" w:type="dxa"/>
            </w:tcMar>
          </w:tcPr>
          <w:p>
            <w:pPr>
              <w:spacing w:before="0" w:after="0"/>
            </w:pPr>
            <w:r>
              <w:rPr>
                <w:rFonts w:ascii="Times New Roman" w:hAnsi="Times New Roman"/>
                <w:sz w:val="14"/>
              </w:rPr>
            </w:r>
            <w:r>
              <w:rPr>
                <w:rFonts w:ascii="Times New Roman" w:hAnsi="Times New Roman"/>
                <w:b w:val="0"/>
                <w:sz w:val="14"/>
              </w:rPr>
              <w:t>.737</w:t>
            </w:r>
          </w:p>
        </w:tc>
        <w:tc>
          <w:tcPr>
            <w:tcW w:type="dxa" w:w="1440"/>
            <w:vAlign w:val="center"/>
            <w:tcMar>
              <w:top w:w="65" w:type="dxa"/>
              <w:start w:w="68" w:type="dxa"/>
              <w:bottom w:w="65" w:type="dxa"/>
              <w:end w:w="68" w:type="dxa"/>
            </w:tcMar>
          </w:tcPr>
          <w:p>
            <w:pPr>
              <w:spacing w:before="0" w:after="0"/>
            </w:pPr>
            <w:r>
              <w:rPr>
                <w:rFonts w:ascii="Times New Roman" w:hAnsi="Times New Roman"/>
                <w:sz w:val="14"/>
              </w:rPr>
            </w:r>
            <w:r>
              <w:rPr>
                <w:rFonts w:ascii="Times New Roman" w:hAnsi="Times New Roman"/>
                <w:b w:val="0"/>
                <w:sz w:val="14"/>
              </w:rPr>
              <w:t>[.696, .775]</w:t>
            </w:r>
          </w:p>
        </w:tc>
      </w:tr>
      <w:tr>
        <w:trPr>
          <w:cantSplit/>
        </w:trPr>
        <w:tc>
          <w:tcPr>
            <w:tcW w:type="dxa" w:w="864"/>
            <w:vAlign w:val="center"/>
            <w:tcMar>
              <w:top w:w="65" w:type="dxa"/>
              <w:start w:w="68" w:type="dxa"/>
              <w:bottom w:w="65" w:type="dxa"/>
              <w:end w:w="68" w:type="dxa"/>
            </w:tcMar>
          </w:tcPr>
          <w:p>
            <w:pPr>
              <w:spacing w:before="0" w:after="0"/>
            </w:pPr>
            <w:r>
              <w:rPr>
                <w:rFonts w:ascii="Times New Roman" w:hAnsi="Times New Roman"/>
                <w:sz w:val="14"/>
              </w:rPr>
            </w:r>
            <w:r>
              <w:rPr>
                <w:rFonts w:ascii="Times New Roman" w:hAnsi="Times New Roman"/>
                <w:b w:val="0"/>
                <w:sz w:val="14"/>
              </w:rPr>
              <w:t>A2-A3</w:t>
            </w:r>
          </w:p>
        </w:tc>
        <w:tc>
          <w:tcPr>
            <w:tcW w:type="dxa" w:w="936"/>
            <w:vAlign w:val="center"/>
            <w:tcMar>
              <w:top w:w="65" w:type="dxa"/>
              <w:start w:w="68" w:type="dxa"/>
              <w:bottom w:w="65" w:type="dxa"/>
              <w:end w:w="68" w:type="dxa"/>
            </w:tcMar>
          </w:tcPr>
          <w:p>
            <w:pPr>
              <w:spacing w:before="0" w:after="0"/>
            </w:pPr>
            <w:r>
              <w:rPr>
                <w:rFonts w:ascii="Times New Roman" w:hAnsi="Times New Roman"/>
                <w:sz w:val="14"/>
              </w:rPr>
            </w:r>
            <w:r>
              <w:rPr>
                <w:rFonts w:ascii="Times New Roman" w:hAnsi="Times New Roman"/>
                <w:b w:val="0"/>
                <w:sz w:val="14"/>
              </w:rPr>
              <w:t>70.6%</w:t>
            </w:r>
          </w:p>
        </w:tc>
        <w:tc>
          <w:tcPr>
            <w:tcW w:type="dxa" w:w="1440"/>
            <w:vAlign w:val="center"/>
            <w:tcMar>
              <w:top w:w="65" w:type="dxa"/>
              <w:start w:w="68" w:type="dxa"/>
              <w:bottom w:w="65" w:type="dxa"/>
              <w:end w:w="68" w:type="dxa"/>
            </w:tcMar>
          </w:tcPr>
          <w:p>
            <w:pPr>
              <w:spacing w:before="0" w:after="0"/>
            </w:pPr>
            <w:r>
              <w:rPr>
                <w:rFonts w:ascii="Times New Roman" w:hAnsi="Times New Roman"/>
                <w:sz w:val="14"/>
              </w:rPr>
            </w:r>
            <w:r>
              <w:rPr>
                <w:rFonts w:ascii="Times New Roman" w:hAnsi="Times New Roman"/>
                <w:b w:val="0"/>
                <w:sz w:val="14"/>
              </w:rPr>
              <w:t>[.672, .739]</w:t>
            </w:r>
          </w:p>
        </w:tc>
        <w:tc>
          <w:tcPr>
            <w:tcW w:type="dxa" w:w="1152"/>
            <w:vAlign w:val="center"/>
            <w:tcMar>
              <w:top w:w="65" w:type="dxa"/>
              <w:start w:w="68" w:type="dxa"/>
              <w:bottom w:w="65" w:type="dxa"/>
              <w:end w:w="68" w:type="dxa"/>
            </w:tcMar>
          </w:tcPr>
          <w:p>
            <w:pPr>
              <w:spacing w:before="0" w:after="0"/>
            </w:pPr>
            <w:r>
              <w:rPr>
                <w:rFonts w:ascii="Times New Roman" w:hAnsi="Times New Roman"/>
                <w:sz w:val="14"/>
              </w:rPr>
            </w:r>
            <w:r>
              <w:rPr>
                <w:rFonts w:ascii="Times New Roman" w:hAnsi="Times New Roman"/>
                <w:b w:val="0"/>
                <w:sz w:val="14"/>
              </w:rPr>
              <w:t>94.6%</w:t>
            </w:r>
          </w:p>
        </w:tc>
        <w:tc>
          <w:tcPr>
            <w:tcW w:type="dxa" w:w="1440"/>
            <w:vAlign w:val="center"/>
            <w:tcMar>
              <w:top w:w="65" w:type="dxa"/>
              <w:start w:w="68" w:type="dxa"/>
              <w:bottom w:w="65" w:type="dxa"/>
              <w:end w:w="68" w:type="dxa"/>
            </w:tcMar>
          </w:tcPr>
          <w:p>
            <w:pPr>
              <w:spacing w:before="0" w:after="0"/>
            </w:pPr>
            <w:r>
              <w:rPr>
                <w:rFonts w:ascii="Times New Roman" w:hAnsi="Times New Roman"/>
                <w:sz w:val="14"/>
              </w:rPr>
            </w:r>
            <w:r>
              <w:rPr>
                <w:rFonts w:ascii="Times New Roman" w:hAnsi="Times New Roman"/>
                <w:b w:val="0"/>
                <w:sz w:val="14"/>
              </w:rPr>
              <w:t>[.929, .961]</w:t>
            </w:r>
          </w:p>
        </w:tc>
        <w:tc>
          <w:tcPr>
            <w:tcW w:type="dxa" w:w="864"/>
            <w:vAlign w:val="center"/>
            <w:tcMar>
              <w:top w:w="65" w:type="dxa"/>
              <w:start w:w="68" w:type="dxa"/>
              <w:bottom w:w="65" w:type="dxa"/>
              <w:end w:w="68" w:type="dxa"/>
            </w:tcMar>
          </w:tcPr>
          <w:p>
            <w:pPr>
              <w:spacing w:before="0" w:after="0"/>
            </w:pPr>
            <w:r>
              <w:rPr>
                <w:rFonts w:ascii="Times New Roman" w:hAnsi="Times New Roman"/>
                <w:sz w:val="14"/>
              </w:rPr>
            </w:r>
            <w:r>
              <w:rPr>
                <w:rFonts w:ascii="Times New Roman" w:hAnsi="Times New Roman"/>
                <w:b w:val="0"/>
                <w:sz w:val="14"/>
              </w:rPr>
              <w:t>.856</w:t>
            </w:r>
          </w:p>
        </w:tc>
        <w:tc>
          <w:tcPr>
            <w:tcW w:type="dxa" w:w="1440"/>
            <w:vAlign w:val="center"/>
            <w:tcMar>
              <w:top w:w="65" w:type="dxa"/>
              <w:start w:w="68" w:type="dxa"/>
              <w:bottom w:w="65" w:type="dxa"/>
              <w:end w:w="68" w:type="dxa"/>
            </w:tcMar>
          </w:tcPr>
          <w:p>
            <w:pPr>
              <w:spacing w:before="0" w:after="0"/>
            </w:pPr>
            <w:r>
              <w:rPr>
                <w:rFonts w:ascii="Times New Roman" w:hAnsi="Times New Roman"/>
                <w:sz w:val="14"/>
              </w:rPr>
            </w:r>
            <w:r>
              <w:rPr>
                <w:rFonts w:ascii="Times New Roman" w:hAnsi="Times New Roman"/>
                <w:b w:val="0"/>
                <w:sz w:val="14"/>
              </w:rPr>
              <w:t>[.831, .879]</w:t>
            </w:r>
          </w:p>
        </w:tc>
      </w:tr>
    </w:tbl>
    <w:p>
      <w:pPr>
        <w:widowControl/>
      </w:pPr>
      <w:r>
        <w:rPr>
          <w:rFonts w:ascii="Times New Roman" w:hAnsi="Times New Roman"/>
          <w:sz w:val="16"/>
        </w:rPr>
        <w:t>Note. QWK is quadratic-weighted Cohen κ. Intervals use 2,000 task-stratified Prompt_ID-cluster bootstrap resamples (seed 20260804). The pairwise results localise threshold-use heterogeneity; they do not identify a correct rater.</w:t>
      </w:r>
    </w:p>
    <w:p w14:paraId="492288F0">
      <w:pPr>
        <w:widowControl/>
      </w:pPr>
      <w:r>
        <w:t>Note. ICC(A,1) estimates the absolute agreement of a single randomly selected rater; ICC(A,3) estimates the reliability of the mean of three raters. The model is two-way random effects with absolute agreement. The ordinal 0–3 rubric is not assumed to be a fully interval scale, so ICC is secondary.</w:t>
      </w:r>
    </w:p>
    <w:p w14:paraId="5D7B5C87">
      <w:pPr>
        <w:pStyle w:val="16"/>
        <w:keepNext/>
        <w:keepLines/>
        <w:spacing w:before="120" w:after="60"/>
        <w:jc w:val="left"/>
      </w:pPr>
      <w:r>
        <w:t>Table S33. Final adjudicated severity distribution.</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2024"/>
        <w:gridCol w:w="2024"/>
        <w:gridCol w:w="2024"/>
        <w:gridCol w:w="2024"/>
        <w:gridCol w:w="2024"/>
      </w:tblGrid>
      <w:tr w14:paraId="6AB8D55D">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tblHeader w:val="true"/>
          <w:jc w:val="center"/>
          <w:tblHeader w:val="true"/>
        </w:trPr>
        <w:tc>
          <w:tcPr>
            <w:tcW w:w="2592"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5"/>
              </w:rPr>
              <w:t>Analysis set</w:t>
            </w:r>
          </w:p>
        </w:tc>
        <w:tc>
          <w:tcPr>
            <w:tcW w:w="1656"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5"/>
              </w:rPr>
              <w:t>Severity 0</w:t>
            </w:r>
          </w:p>
        </w:tc>
        <w:tc>
          <w:tcPr>
            <w:tcW w:w="1656"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5"/>
              </w:rPr>
              <w:t>Severity 1</w:t>
            </w:r>
          </w:p>
        </w:tc>
        <w:tc>
          <w:tcPr>
            <w:tcW w:w="1656"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5"/>
              </w:rPr>
              <w:t>Severity 2</w:t>
            </w:r>
          </w:p>
        </w:tc>
        <w:tc>
          <w:tcPr>
            <w:tcW w:w="1656"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5"/>
              </w:rPr>
              <w:t>Severity 3</w:t>
            </w:r>
          </w:p>
        </w:tc>
      </w:tr>
      <w:tr w14:paraId="786D20D6">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2592"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All cases (N=720)</w:t>
            </w:r>
          </w:p>
        </w:tc>
        <w:tc>
          <w:tcPr>
            <w:tcW w:w="165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246 (34.2%)</w:t>
            </w:r>
          </w:p>
        </w:tc>
        <w:tc>
          <w:tcPr>
            <w:tcW w:w="165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66 (9.2%)</w:t>
            </w:r>
          </w:p>
        </w:tc>
        <w:tc>
          <w:tcPr>
            <w:tcW w:w="165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196 (27.2%)</w:t>
            </w:r>
          </w:p>
        </w:tc>
        <w:tc>
          <w:tcPr>
            <w:tcW w:w="165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212 (29.4%)</w:t>
            </w:r>
          </w:p>
        </w:tc>
      </w:tr>
      <w:tr w14:paraId="6EA63CF6">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2592"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Final failures (N=474)</w:t>
            </w:r>
          </w:p>
        </w:tc>
        <w:tc>
          <w:tcPr>
            <w:tcW w:w="165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w:t>
            </w:r>
          </w:p>
        </w:tc>
        <w:tc>
          <w:tcPr>
            <w:tcW w:w="165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66 (13.9%)</w:t>
            </w:r>
          </w:p>
        </w:tc>
        <w:tc>
          <w:tcPr>
            <w:tcW w:w="165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196 (41.4%)</w:t>
            </w:r>
          </w:p>
        </w:tc>
        <w:tc>
          <w:tcPr>
            <w:tcW w:w="165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5"/>
              </w:rPr>
              <w:t>212 (44.7%)</w:t>
            </w:r>
          </w:p>
        </w:tc>
      </w:tr>
    </w:tbl>
    <w:p w14:paraId="3882B45A">
      <w:pPr>
        <w:pStyle w:val="3"/>
        <w:keepNext/>
        <w:keepLines/>
        <w:pageBreakBefore w:val="0"/>
        <w:spacing w:before="140" w:after="80"/>
      </w:pPr>
      <w:r>
        <w:rPr>
          <w:color w:val="000000"/>
        </w:rPr>
        <w:t>S5.6 Updated task profiles and checkpoint-reporting boundary</w:t>
      </w:r>
    </w:p>
    <w:p w14:paraId="6236E443">
      <w:pPr>
        <w:widowControl/>
      </w:pPr>
      <w:r>
        <w:t>Checkpoint-level final-label profiles are not used as primary comparative evidence because the six checkpoints were purposively selected and differ in architecture, tuning, interface, language coverage, and generation behaviour. The canonical public dataset preserves the verified Case_ID-to-checkpoint join, so checkpoint-stratified FINAL GOLD summaries can be reconstructed descriptively; however, such rates would remain pipeline-specific descriptive strata rather than causal model-family comparisons. Checkpoint-specific technical-output diagnostics remain reported in S5.7 because they are independently useful for characterising generation pathologies.</w:t>
      </w:r>
    </w:p>
    <w:p w14:paraId="539D09AB">
      <w:pPr>
        <w:pStyle w:val="16"/>
        <w:keepNext/>
        <w:keepLines/>
        <w:spacing w:before="120" w:after="60"/>
        <w:jc w:val="left"/>
      </w:pPr>
      <w:r>
        <w:t>Table S34. Task-level FINAL GOLD outcomes and authoritative locked pre-resolution agreement.</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1124"/>
        <w:gridCol w:w="1124"/>
        <w:gridCol w:w="1124"/>
        <w:gridCol w:w="1124"/>
        <w:gridCol w:w="1124"/>
        <w:gridCol w:w="1124"/>
        <w:gridCol w:w="1124"/>
        <w:gridCol w:w="1124"/>
        <w:gridCol w:w="1124"/>
      </w:tblGrid>
      <w:tr w14:paraId="6526F6B0">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tblHeader w:val="true"/>
          <w:jc w:val="center"/>
          <w:tblHeader w:val="true"/>
        </w:trPr>
        <w:tc>
          <w:tcPr>
            <w:tcW w:w="2232"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4"/>
              </w:rPr>
              <w:t>Task</w:t>
            </w:r>
          </w:p>
        </w:tc>
        <w:tc>
          <w:tcPr>
            <w:tcW w:w="504"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4"/>
              </w:rPr>
              <w:t>N</w:t>
            </w:r>
          </w:p>
        </w:tc>
        <w:tc>
          <w:tcPr>
            <w:tcW w:w="936"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4"/>
              </w:rPr>
              <w:t>Any failure</w:t>
            </w:r>
          </w:p>
        </w:tc>
        <w:tc>
          <w:tcPr>
            <w:tcW w:w="979"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4"/>
              </w:rPr>
              <w:t>Severity ≥2</w:t>
            </w:r>
          </w:p>
        </w:tc>
        <w:tc>
          <w:tcPr>
            <w:tcW w:w="835"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4"/>
              </w:rPr>
              <w:t>Ambiguity</w:t>
            </w:r>
          </w:p>
        </w:tc>
        <w:tc>
          <w:tcPr>
            <w:tcW w:w="936"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4"/>
              </w:rPr>
              <w:t>Resolution</w:t>
            </w:r>
          </w:p>
        </w:tc>
        <w:tc>
          <w:tcPr>
            <w:tcW w:w="950"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4"/>
              </w:rPr>
              <w:t>Family alpha</w:t>
            </w:r>
          </w:p>
        </w:tc>
        <w:tc>
          <w:tcPr>
            <w:tcW w:w="1037"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4"/>
              </w:rPr>
              <w:t>Boundary alpha</w:t>
            </w:r>
          </w:p>
        </w:tc>
        <w:tc>
          <w:tcPr>
            <w:tcW w:w="965"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4"/>
              </w:rPr>
              <w:t>Severity alpha</w:t>
            </w:r>
          </w:p>
        </w:tc>
      </w:tr>
      <w:tr w14:paraId="66CE62E4">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2232"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Explanation</w:t>
            </w:r>
          </w:p>
        </w:tc>
        <w:tc>
          <w:tcPr>
            <w:tcW w:w="50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120</w:t>
            </w:r>
          </w:p>
        </w:tc>
        <w:tc>
          <w:tcPr>
            <w:tcW w:w="93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75.8%</w:t>
            </w:r>
          </w:p>
        </w:tc>
        <w:tc>
          <w:tcPr>
            <w:tcW w:w="979"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58.3%</w:t>
            </w:r>
          </w:p>
        </w:tc>
        <w:tc>
          <w:tcPr>
            <w:tcW w:w="835"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1.7%</w:t>
            </w:r>
          </w:p>
        </w:tc>
        <w:tc>
          <w:tcPr>
            <w:tcW w:w="93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58.3%</w:t>
            </w:r>
          </w:p>
        </w:tc>
        <w:tc>
          <w:tcPr>
            <w:tcW w:w="950"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0.437</w:t>
            </w:r>
          </w:p>
        </w:tc>
        <w:tc>
          <w:tcPr>
            <w:tcW w:w="1037"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0.411</w:t>
            </w:r>
          </w:p>
        </w:tc>
        <w:tc>
          <w:tcPr>
            <w:tcW w:w="965"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0.695</w:t>
            </w:r>
          </w:p>
        </w:tc>
      </w:tr>
      <w:tr w14:paraId="21AB227A">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2232"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Instruction following</w:t>
            </w:r>
          </w:p>
        </w:tc>
        <w:tc>
          <w:tcPr>
            <w:tcW w:w="50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120</w:t>
            </w:r>
          </w:p>
        </w:tc>
        <w:tc>
          <w:tcPr>
            <w:tcW w:w="93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65.8%</w:t>
            </w:r>
          </w:p>
        </w:tc>
        <w:tc>
          <w:tcPr>
            <w:tcW w:w="979"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59.2%</w:t>
            </w:r>
          </w:p>
        </w:tc>
        <w:tc>
          <w:tcPr>
            <w:tcW w:w="835"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1.7%</w:t>
            </w:r>
          </w:p>
        </w:tc>
        <w:tc>
          <w:tcPr>
            <w:tcW w:w="93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40.0%</w:t>
            </w:r>
          </w:p>
        </w:tc>
        <w:tc>
          <w:tcPr>
            <w:tcW w:w="950"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0.845</w:t>
            </w:r>
          </w:p>
        </w:tc>
        <w:tc>
          <w:tcPr>
            <w:tcW w:w="1037"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0.810</w:t>
            </w:r>
          </w:p>
        </w:tc>
        <w:tc>
          <w:tcPr>
            <w:tcW w:w="965"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0.800</w:t>
            </w:r>
          </w:p>
        </w:tc>
      </w:tr>
      <w:tr w14:paraId="4354E3AE">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2232"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Multi-entity/context tracking</w:t>
            </w:r>
          </w:p>
        </w:tc>
        <w:tc>
          <w:tcPr>
            <w:tcW w:w="50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120</w:t>
            </w:r>
          </w:p>
        </w:tc>
        <w:tc>
          <w:tcPr>
            <w:tcW w:w="93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67.5%</w:t>
            </w:r>
          </w:p>
        </w:tc>
        <w:tc>
          <w:tcPr>
            <w:tcW w:w="979"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63.3%</w:t>
            </w:r>
          </w:p>
        </w:tc>
        <w:tc>
          <w:tcPr>
            <w:tcW w:w="835"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8.3%</w:t>
            </w:r>
          </w:p>
        </w:tc>
        <w:tc>
          <w:tcPr>
            <w:tcW w:w="93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51.7%</w:t>
            </w:r>
          </w:p>
        </w:tc>
        <w:tc>
          <w:tcPr>
            <w:tcW w:w="950"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0.731</w:t>
            </w:r>
          </w:p>
        </w:tc>
        <w:tc>
          <w:tcPr>
            <w:tcW w:w="1037"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0.716</w:t>
            </w:r>
          </w:p>
        </w:tc>
        <w:tc>
          <w:tcPr>
            <w:tcW w:w="965"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0.791</w:t>
            </w:r>
          </w:p>
        </w:tc>
      </w:tr>
      <w:tr w14:paraId="49E823FA">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2232"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Question answering</w:t>
            </w:r>
          </w:p>
        </w:tc>
        <w:tc>
          <w:tcPr>
            <w:tcW w:w="50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120</w:t>
            </w:r>
          </w:p>
        </w:tc>
        <w:tc>
          <w:tcPr>
            <w:tcW w:w="93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50.8%</w:t>
            </w:r>
          </w:p>
        </w:tc>
        <w:tc>
          <w:tcPr>
            <w:tcW w:w="979"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48.3%</w:t>
            </w:r>
          </w:p>
        </w:tc>
        <w:tc>
          <w:tcPr>
            <w:tcW w:w="835"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4.2%</w:t>
            </w:r>
          </w:p>
        </w:tc>
        <w:tc>
          <w:tcPr>
            <w:tcW w:w="93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34.2%</w:t>
            </w:r>
          </w:p>
        </w:tc>
        <w:tc>
          <w:tcPr>
            <w:tcW w:w="950"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0.830</w:t>
            </w:r>
          </w:p>
        </w:tc>
        <w:tc>
          <w:tcPr>
            <w:tcW w:w="1037"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0.828</w:t>
            </w:r>
          </w:p>
        </w:tc>
        <w:tc>
          <w:tcPr>
            <w:tcW w:w="965"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0.813</w:t>
            </w:r>
          </w:p>
        </w:tc>
      </w:tr>
      <w:tr w14:paraId="1D3BCEA5">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2232"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Source-grounded generation</w:t>
            </w:r>
          </w:p>
        </w:tc>
        <w:tc>
          <w:tcPr>
            <w:tcW w:w="50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120</w:t>
            </w:r>
          </w:p>
        </w:tc>
        <w:tc>
          <w:tcPr>
            <w:tcW w:w="93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64.2%</w:t>
            </w:r>
          </w:p>
        </w:tc>
        <w:tc>
          <w:tcPr>
            <w:tcW w:w="979"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54.2%</w:t>
            </w:r>
          </w:p>
        </w:tc>
        <w:tc>
          <w:tcPr>
            <w:tcW w:w="835"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2.5%</w:t>
            </w:r>
          </w:p>
        </w:tc>
        <w:tc>
          <w:tcPr>
            <w:tcW w:w="93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45.0%</w:t>
            </w:r>
          </w:p>
        </w:tc>
        <w:tc>
          <w:tcPr>
            <w:tcW w:w="950"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0.726</w:t>
            </w:r>
          </w:p>
        </w:tc>
        <w:tc>
          <w:tcPr>
            <w:tcW w:w="1037"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0.743</w:t>
            </w:r>
          </w:p>
        </w:tc>
        <w:tc>
          <w:tcPr>
            <w:tcW w:w="965"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0.793</w:t>
            </w:r>
          </w:p>
        </w:tc>
      </w:tr>
      <w:tr w14:paraId="5CB11ED9">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2232"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Summarisation</w:t>
            </w:r>
          </w:p>
        </w:tc>
        <w:tc>
          <w:tcPr>
            <w:tcW w:w="50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120</w:t>
            </w:r>
          </w:p>
        </w:tc>
        <w:tc>
          <w:tcPr>
            <w:tcW w:w="93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70.8%</w:t>
            </w:r>
          </w:p>
        </w:tc>
        <w:tc>
          <w:tcPr>
            <w:tcW w:w="979"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56.7%</w:t>
            </w:r>
          </w:p>
        </w:tc>
        <w:tc>
          <w:tcPr>
            <w:tcW w:w="835"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11.7%</w:t>
            </w:r>
          </w:p>
        </w:tc>
        <w:tc>
          <w:tcPr>
            <w:tcW w:w="936"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51.7%</w:t>
            </w:r>
          </w:p>
        </w:tc>
        <w:tc>
          <w:tcPr>
            <w:tcW w:w="950"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0.671</w:t>
            </w:r>
          </w:p>
        </w:tc>
        <w:tc>
          <w:tcPr>
            <w:tcW w:w="1037"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0.655</w:t>
            </w:r>
          </w:p>
        </w:tc>
        <w:tc>
          <w:tcPr>
            <w:tcW w:w="965"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4"/>
              </w:rPr>
              <w:t>0.793</w:t>
            </w:r>
          </w:p>
        </w:tc>
      </w:tr>
    </w:tbl>
    <w:p>
      <w:pPr>
        <w:pStyle w:val="4"/>
        <w:keepNext/>
        <w:keepLines/>
      </w:pPr>
      <w:r>
        <w:rPr>
          <w:color w:val="000000"/>
        </w:rPr>
        <w:t>S5.6.1 Post-hoc computational-semantics structure diagnostics</w:t>
      </w:r>
    </w:p>
    <w:p>
      <w:pPr>
        <w:widowControl/>
      </w:pPr>
      <w:r>
        <w:t>Two descriptive cross-tabs use FINAL GOLD v1.0 to quantify relationships that are implicit in the locked taxonomy. They do not revise the taxonomy, labels, or T3 target. Cramér’s V summarises association without treating the purposively constructed corpus as an IID prevalence sample. The association statistic is:</w:t>
      </w:r>
    </w:p>
    <w:p>
      <w:pPr>
        <w:jc w:val="center"/>
      </w:pPr>
      <w:r>
        <w:rPr>
          <w:rFonts w:ascii="Cambria Math" w:hAnsi="Cambria Math"/>
          <w:sz w:val="20"/>
        </w:rPr>
        <w:t>V = √(χ² / [N · min(r − 1, c − 1)])</w:t>
      </w:r>
    </w:p>
    <w:p>
      <w:pPr>
        <w:widowControl/>
      </w:pPr>
      <w:r>
        <w:t>where χ² is the Pearson contingency-table statistic, N is the number of rows, and r and c are the numbers of table rows and columns. Cell percentages are row-conditional, pᵢⱼ = nᵢⱼ / Σⱼ nᵢⱼ. Ninety-five per cent confidence intervals for V use 2,000 task-stratified Prompt_ID-cluster bootstrap resamples (seed 20260919), preserving all six checkpoint outputs for each sampled prompt. No p-value is interpreted because task allocation and corpus construction were purposive.</w:t>
      </w:r>
    </w:p>
    <w:p>
      <w:r>
        <w:t>Table S35. T3 operational family by grounding status (FINAL GOLD v1.0; N=460).</w:t>
      </w:r>
    </w:p>
    <w:tbl>
      <w:tblPr>
        <w:tblStyle w:val="35"/>
        <w:tblW w:type="auto" w:w="0"/>
        <w:jc w:val="center"/>
        <w:tblLayout w:type="autofit"/>
        <w:tblLook w:firstColumn="1" w:firstRow="1" w:lastColumn="0" w:lastRow="0" w:noHBand="0" w:noVBand="1" w:val="04A0"/>
        <w:tblBorders>
          <w:top w:val="single" w:sz="4" w:color="C7D4E2"/>
          <w:bottom w:val="single" w:sz="4" w:color="C7D4E2"/>
          <w:left w:val="single" w:sz="4" w:color="C7D4E2"/>
          <w:right w:val="single" w:sz="4" w:color="C7D4E2"/>
          <w:insideH w:val="single" w:sz="4" w:color="C7D4E2"/>
          <w:insideV w:val="single" w:sz="3" w:color="C7D4E2"/>
        </w:tblBorders>
      </w:tblPr>
      <w:tblGrid>
        <w:gridCol w:w="1639"/>
        <w:gridCol w:w="1639"/>
        <w:gridCol w:w="1639"/>
        <w:gridCol w:w="1639"/>
        <w:gridCol w:w="1639"/>
        <w:gridCol w:w="1639"/>
      </w:tblGrid>
      <w:tr>
        <w:trPr>
          <w:cantSplit/>
          <w:tblHeader w:val="true"/>
          <w:tblHeader w:val="true"/>
        </w:trPr>
        <w:tc>
          <w:tcPr>
            <w:tcW w:type="dxa" w:w="1639"/>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t>T3 family</w:t>
            </w:r>
          </w:p>
        </w:tc>
        <w:tc>
          <w:tcPr>
            <w:tcW w:type="dxa" w:w="1639"/>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t>semantic_only</w:t>
            </w:r>
          </w:p>
        </w:tc>
        <w:tc>
          <w:tcPr>
            <w:tcW w:type="dxa" w:w="1639"/>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t>overlap</w:t>
            </w:r>
          </w:p>
        </w:tc>
        <w:tc>
          <w:tcPr>
            <w:tcW w:type="dxa" w:w="1639"/>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t>Row total</w:t>
            </w:r>
          </w:p>
        </w:tc>
        <w:tc>
          <w:tcPr>
            <w:tcW w:type="dxa" w:w="1639"/>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t>Row % semantic_only</w:t>
            </w:r>
          </w:p>
        </w:tc>
        <w:tc>
          <w:tcPr>
            <w:tcW w:type="dxa" w:w="1639"/>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t>Row % overlap</w:t>
            </w:r>
          </w:p>
        </w:tc>
      </w:tr>
      <w:tr>
        <w:trPr>
          <w:cantSplit/>
        </w:trPr>
        <w:tc>
          <w:tcPr>
            <w:tcW w:type="dxa" w:w="1639"/>
            <w:vAlign w:val="center"/>
            <w:tcMar>
              <w:top w:w="65" w:type="dxa"/>
              <w:start w:w="68" w:type="dxa"/>
              <w:bottom w:w="65" w:type="dxa"/>
              <w:end w:w="68" w:type="dxa"/>
            </w:tcMar>
          </w:tcPr>
          <w:p>
            <w:pPr>
              <w:spacing w:after="0" w:before="0"/>
            </w:pPr>
            <w:r>
              <w:rPr>
                <w:rFonts w:ascii="Times New Roman" w:hAnsi="Times New Roman"/>
                <w:sz w:val="15"/>
              </w:rPr>
              <w:t>Core SCF</w:t>
            </w:r>
          </w:p>
        </w:tc>
        <w:tc>
          <w:tcPr>
            <w:tcW w:type="dxa" w:w="1639"/>
            <w:vAlign w:val="center"/>
            <w:tcMar>
              <w:top w:w="65" w:type="dxa"/>
              <w:start w:w="68" w:type="dxa"/>
              <w:bottom w:w="65" w:type="dxa"/>
              <w:end w:w="68" w:type="dxa"/>
            </w:tcMar>
          </w:tcPr>
          <w:p>
            <w:pPr>
              <w:spacing w:after="0" w:before="0"/>
            </w:pPr>
            <w:r>
              <w:rPr>
                <w:rFonts w:ascii="Times New Roman" w:hAnsi="Times New Roman"/>
                <w:sz w:val="15"/>
              </w:rPr>
              <w:t>286</w:t>
            </w:r>
          </w:p>
        </w:tc>
        <w:tc>
          <w:tcPr>
            <w:tcW w:type="dxa" w:w="1639"/>
            <w:vAlign w:val="center"/>
            <w:tcMar>
              <w:top w:w="65" w:type="dxa"/>
              <w:start w:w="68" w:type="dxa"/>
              <w:bottom w:w="65" w:type="dxa"/>
              <w:end w:w="68" w:type="dxa"/>
            </w:tcMar>
          </w:tcPr>
          <w:p>
            <w:pPr>
              <w:spacing w:after="0" w:before="0"/>
            </w:pPr>
            <w:r>
              <w:rPr>
                <w:rFonts w:ascii="Times New Roman" w:hAnsi="Times New Roman"/>
                <w:sz w:val="15"/>
              </w:rPr>
              <w:t>47</w:t>
            </w:r>
          </w:p>
        </w:tc>
        <w:tc>
          <w:tcPr>
            <w:tcW w:type="dxa" w:w="1639"/>
            <w:vAlign w:val="center"/>
            <w:tcMar>
              <w:top w:w="65" w:type="dxa"/>
              <w:start w:w="68" w:type="dxa"/>
              <w:bottom w:w="65" w:type="dxa"/>
              <w:end w:w="68" w:type="dxa"/>
            </w:tcMar>
          </w:tcPr>
          <w:p>
            <w:pPr>
              <w:spacing w:after="0" w:before="0"/>
            </w:pPr>
            <w:r>
              <w:rPr>
                <w:rFonts w:ascii="Times New Roman" w:hAnsi="Times New Roman"/>
                <w:sz w:val="15"/>
              </w:rPr>
              <w:t>333</w:t>
            </w:r>
          </w:p>
        </w:tc>
        <w:tc>
          <w:tcPr>
            <w:tcW w:type="dxa" w:w="1639"/>
            <w:vAlign w:val="center"/>
            <w:tcMar>
              <w:top w:w="65" w:type="dxa"/>
              <w:start w:w="68" w:type="dxa"/>
              <w:bottom w:w="65" w:type="dxa"/>
              <w:end w:w="68" w:type="dxa"/>
            </w:tcMar>
          </w:tcPr>
          <w:p>
            <w:pPr>
              <w:spacing w:after="0" w:before="0"/>
            </w:pPr>
            <w:r>
              <w:rPr>
                <w:rFonts w:ascii="Times New Roman" w:hAnsi="Times New Roman"/>
                <w:sz w:val="15"/>
              </w:rPr>
              <w:t>85.9%</w:t>
            </w:r>
          </w:p>
        </w:tc>
        <w:tc>
          <w:tcPr>
            <w:tcW w:type="dxa" w:w="1639"/>
            <w:vAlign w:val="center"/>
            <w:tcMar>
              <w:top w:w="65" w:type="dxa"/>
              <w:start w:w="68" w:type="dxa"/>
              <w:bottom w:w="65" w:type="dxa"/>
              <w:end w:w="68" w:type="dxa"/>
            </w:tcMar>
          </w:tcPr>
          <w:p>
            <w:pPr>
              <w:spacing w:after="0" w:before="0"/>
            </w:pPr>
            <w:r>
              <w:rPr>
                <w:rFonts w:ascii="Times New Roman" w:hAnsi="Times New Roman"/>
                <w:sz w:val="15"/>
              </w:rPr>
              <w:t>14.1%</w:t>
            </w:r>
          </w:p>
        </w:tc>
      </w:tr>
      <w:tr>
        <w:trPr>
          <w:cantSplit/>
        </w:trPr>
        <w:tc>
          <w:tcPr>
            <w:tcW w:type="dxa" w:w="1639"/>
            <w:vAlign w:val="center"/>
            <w:tcMar>
              <w:top w:w="65" w:type="dxa"/>
              <w:start w:w="68" w:type="dxa"/>
              <w:bottom w:w="65" w:type="dxa"/>
              <w:end w:w="68" w:type="dxa"/>
            </w:tcMar>
          </w:tcPr>
          <w:p>
            <w:pPr>
              <w:spacing w:after="0" w:before="0"/>
            </w:pPr>
            <w:r>
              <w:rPr>
                <w:rFonts w:ascii="Times New Roman" w:hAnsi="Times New Roman"/>
                <w:sz w:val="15"/>
              </w:rPr>
              <w:t>OVR</w:t>
            </w:r>
          </w:p>
        </w:tc>
        <w:tc>
          <w:tcPr>
            <w:tcW w:type="dxa" w:w="1639"/>
            <w:vAlign w:val="center"/>
            <w:tcMar>
              <w:top w:w="65" w:type="dxa"/>
              <w:start w:w="68" w:type="dxa"/>
              <w:bottom w:w="65" w:type="dxa"/>
              <w:end w:w="68" w:type="dxa"/>
            </w:tcMar>
          </w:tcPr>
          <w:p>
            <w:pPr>
              <w:spacing w:after="0" w:before="0"/>
            </w:pPr>
            <w:r>
              <w:rPr>
                <w:rFonts w:ascii="Times New Roman" w:hAnsi="Times New Roman"/>
                <w:sz w:val="15"/>
              </w:rPr>
              <w:t>10</w:t>
            </w:r>
          </w:p>
        </w:tc>
        <w:tc>
          <w:tcPr>
            <w:tcW w:type="dxa" w:w="1639"/>
            <w:vAlign w:val="center"/>
            <w:tcMar>
              <w:top w:w="65" w:type="dxa"/>
              <w:start w:w="68" w:type="dxa"/>
              <w:bottom w:w="65" w:type="dxa"/>
              <w:end w:w="68" w:type="dxa"/>
            </w:tcMar>
          </w:tcPr>
          <w:p>
            <w:pPr>
              <w:spacing w:after="0" w:before="0"/>
            </w:pPr>
            <w:r>
              <w:rPr>
                <w:rFonts w:ascii="Times New Roman" w:hAnsi="Times New Roman"/>
                <w:sz w:val="15"/>
              </w:rPr>
              <w:t>117</w:t>
            </w:r>
          </w:p>
        </w:tc>
        <w:tc>
          <w:tcPr>
            <w:tcW w:type="dxa" w:w="1639"/>
            <w:vAlign w:val="center"/>
            <w:tcMar>
              <w:top w:w="65" w:type="dxa"/>
              <w:start w:w="68" w:type="dxa"/>
              <w:bottom w:w="65" w:type="dxa"/>
              <w:end w:w="68" w:type="dxa"/>
            </w:tcMar>
          </w:tcPr>
          <w:p>
            <w:pPr>
              <w:spacing w:after="0" w:before="0"/>
            </w:pPr>
            <w:r>
              <w:rPr>
                <w:rFonts w:ascii="Times New Roman" w:hAnsi="Times New Roman"/>
                <w:sz w:val="15"/>
              </w:rPr>
              <w:t>127</w:t>
            </w:r>
          </w:p>
        </w:tc>
        <w:tc>
          <w:tcPr>
            <w:tcW w:type="dxa" w:w="1639"/>
            <w:vAlign w:val="center"/>
            <w:tcMar>
              <w:top w:w="65" w:type="dxa"/>
              <w:start w:w="68" w:type="dxa"/>
              <w:bottom w:w="65" w:type="dxa"/>
              <w:end w:w="68" w:type="dxa"/>
            </w:tcMar>
          </w:tcPr>
          <w:p>
            <w:pPr>
              <w:spacing w:after="0" w:before="0"/>
            </w:pPr>
            <w:r>
              <w:rPr>
                <w:rFonts w:ascii="Times New Roman" w:hAnsi="Times New Roman"/>
                <w:sz w:val="15"/>
              </w:rPr>
              <w:t>7.9%</w:t>
            </w:r>
          </w:p>
        </w:tc>
        <w:tc>
          <w:tcPr>
            <w:tcW w:type="dxa" w:w="1639"/>
            <w:vAlign w:val="center"/>
            <w:tcMar>
              <w:top w:w="65" w:type="dxa"/>
              <w:start w:w="68" w:type="dxa"/>
              <w:bottom w:w="65" w:type="dxa"/>
              <w:end w:w="68" w:type="dxa"/>
            </w:tcMar>
          </w:tcPr>
          <w:p>
            <w:pPr>
              <w:spacing w:after="0" w:before="0"/>
            </w:pPr>
            <w:r>
              <w:rPr>
                <w:rFonts w:ascii="Times New Roman" w:hAnsi="Times New Roman"/>
                <w:sz w:val="15"/>
              </w:rPr>
              <w:t>92.1%</w:t>
            </w:r>
          </w:p>
        </w:tc>
      </w:tr>
    </w:tbl>
    <w:p>
      <w:pPr/>
      <w:r>
        <w:t>T3 interpretive restriction (CS07/CS08). Among the 460 family-eligible outputs, Core-SCF has 286 semantic_only and 47 overlap cases, while OVR has 10 semantic_only and 117 overlap cases; the observed code-family/grounding contingency has Cramér’s V=.728. Therefore model accuracy at Core-SCF versus OVR is not demonstrated to be invariant to authorised-grounding involvement. Fixed GOLD family membership is the target, not a discourse-relation parser or a causal diagnosis disentangled from grounding.</w:t>
      </w:r>
    </w:p>
    <w:p>
      <w:pPr>
        <w:widowControl/>
      </w:pPr>
      <w:r>
        <w:rPr>
          <w:i/>
        </w:rPr>
        <w:t>Note. Cramér’s V = .728, 95% task-stratified Prompt_ID-cluster bootstrap CI [.675, .776]. T3 is therefore an operational code-family discrimination target, not a grounding-invariant latent-mechanism contrast.</w:t>
      </w:r>
    </w:p>
    <w:p>
      <w:r>
        <w:t>Table S36. Task by final mechanism family (FINAL GOLD v1.0; each task N=120).</w:t>
      </w:r>
    </w:p>
    <w:tbl>
      <w:tblPr>
        <w:tblStyle w:val="35"/>
        <w:tblW w:type="auto" w:w="0"/>
        <w:jc w:val="center"/>
        <w:tblLayout w:type="autofit"/>
        <w:tblLook w:firstColumn="1" w:firstRow="1" w:lastColumn="0" w:lastRow="0" w:noHBand="0" w:noVBand="1" w:val="04A0"/>
        <w:tblBorders>
          <w:top w:val="single" w:sz="4" w:color="C7D4E2"/>
          <w:bottom w:val="single" w:sz="4" w:color="C7D4E2"/>
          <w:left w:val="single" w:sz="4" w:color="C7D4E2"/>
          <w:right w:val="single" w:sz="4" w:color="C7D4E2"/>
          <w:insideH w:val="single" w:sz="4" w:color="C7D4E2"/>
          <w:insideV w:val="single" w:sz="3" w:color="C7D4E2"/>
        </w:tblBorders>
      </w:tblPr>
      <w:tblGrid>
        <w:gridCol w:w="1966"/>
        <w:gridCol w:w="1966"/>
        <w:gridCol w:w="1966"/>
        <w:gridCol w:w="1966"/>
        <w:gridCol w:w="1966"/>
      </w:tblGrid>
      <w:tr>
        <w:trPr>
          <w:cantSplit/>
          <w:tblHeader w:val="true"/>
          <w:tblHeader w:val="true"/>
        </w:trPr>
        <w:tc>
          <w:tcPr>
            <w:tcW w:type="dxa" w:w="1966"/>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t>Task</w:t>
            </w:r>
          </w:p>
        </w:tc>
        <w:tc>
          <w:tcPr>
            <w:tcW w:type="dxa" w:w="1966"/>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t>Core SCF</w:t>
            </w:r>
          </w:p>
        </w:tc>
        <w:tc>
          <w:tcPr>
            <w:tcW w:type="dxa" w:w="1966"/>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t>OVR</w:t>
            </w:r>
          </w:p>
        </w:tc>
        <w:tc>
          <w:tcPr>
            <w:tcW w:type="dxa" w:w="1966"/>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t>HREF</w:t>
            </w:r>
          </w:p>
        </w:tc>
        <w:tc>
          <w:tcPr>
            <w:tcW w:type="dxa" w:w="1966"/>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t>NONE</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Explanation</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87 (72.5%)</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4 (3.3%)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 (0.0%)</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29 (24.2%)</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Instruction following</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76 (63.3%)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3 (2.5%)</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 (0.0%)</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41 (34.2%)</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Multi-entity/context tracking</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41 (34.2%)</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37 (30.8%)</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3 (2.5%)</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39 (32.5%)</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Question answering</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26 (21.7%)</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34 (28.3%)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1 (0.8%)</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59 (49.2%)</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Source-grounded generation</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43 (35.8%)</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25 (20.8%)</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9 (7.5%)</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43 (35.8%)</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Summarisation</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60 (50.0%)</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24 (20.0%)</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1 (0.8%)</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35 (29.2%)</w:t>
            </w:r>
          </w:p>
        </w:tc>
      </w:tr>
    </w:tbl>
    <w:p>
      <w:pPr>
        <w:widowControl/>
      </w:pPr>
      <w:r>
        <w:rPr>
          <w:i/>
        </w:rPr>
        <w:t>Note. Cramér’s V = .251, 95% task-stratified Prompt_ID-cluster bootstrap CI [.227, .295]. These are corpus-design-conditioned descriptive distributions, not natural task-specific prevalence estimates.</w:t>
      </w:r>
    </w:p>
    <w:p>
      <w:pPr>
        <w:widowControl/>
      </w:pPr>
      <w:r>
        <w:t>The family–grounding cross-tab shows why OVR must not be read as equivalent to overlap: 10 OVR cases are semantic_only and 47 Core-SCF cases are overlap. The task–family cross-tab shows that the operational family mix is also task-conditioned, with explanation/instruction following dominated by Core SCF and multi-entity/context tracking/question answering containing larger OVR shares. This contextualises the leave-one-task-out analysis as cross-task robustness rather than external validation of a task-invariant semantic factor.</w:t>
      </w:r>
    </w:p>
    <w:p w14:paraId="71822819">
      <w:pPr>
        <w:pStyle w:val="3"/>
        <w:keepNext/>
        <w:keepLines/>
      </w:pPr>
      <w:r>
        <w:rPr>
          <w:color w:val="000000"/>
        </w:rPr>
        <w:t>S5.7 Technical output health and pre-resolution crossed diagnostics</w:t>
      </w:r>
    </w:p>
    <w:p>
      <w:pPr>
        <w:keepNext/>
      </w:pPr>
      <w:r>
        <w:t>Table S37. Post-hoc technical output-health diagnostics by checkpoint (label-independent).</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1092"/>
        <w:gridCol w:w="1092"/>
        <w:gridCol w:w="1092"/>
        <w:gridCol w:w="1092"/>
        <w:gridCol w:w="1092"/>
        <w:gridCol w:w="1092"/>
        <w:gridCol w:w="1092"/>
        <w:gridCol w:w="1092"/>
        <w:gridCol w:w="1092"/>
      </w:tblGrid>
      <w:tr w14:paraId="68058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blHeader w:val="true"/>
          <w:jc w:val="center"/>
          <w:tblHeader w:val="true"/>
        </w:trPr>
        <w:tc>
          <w:tcPr>
            <w:tcW w:w="1092" w:type="dxa"/>
            <w:vAlign w:val="center"/>
            <w:tcMar>
              <w:top w:w="65" w:type="dxa"/>
              <w:start w:w="68" w:type="dxa"/>
              <w:bottom w:w="65" w:type="dxa"/>
              <w:end w:w="68" w:type="dxa"/>
            </w:tcMar>
            <w:shd w:val="clear" w:color="auto" w:fill="E8F0F8"/>
          </w:tcPr>
          <w:p w14:paraId="747366F2">
            <w:pPr>
              <w:spacing w:after="0" w:line="240" w:lineRule="auto" w:before="0"/>
              <w:jc w:val="center"/>
            </w:pPr>
            <w:r>
              <w:rPr>
                <w:rFonts w:ascii="Times New Roman" w:hAnsi="Times New Roman" w:eastAsia="Times New Roman" w:cs="Times New Roman"/>
                <w:b/>
                <w:color w:val="1E364D"/>
                <w:sz w:val="14"/>
              </w:rPr>
              <w:t>Checkpoint</w:t>
            </w:r>
          </w:p>
        </w:tc>
        <w:tc>
          <w:tcPr>
            <w:tcW w:w="1092" w:type="dxa"/>
            <w:vAlign w:val="center"/>
            <w:tcMar>
              <w:top w:w="65" w:type="dxa"/>
              <w:start w:w="68" w:type="dxa"/>
              <w:bottom w:w="65" w:type="dxa"/>
              <w:end w:w="68" w:type="dxa"/>
            </w:tcMar>
            <w:shd w:val="clear" w:color="auto" w:fill="E8F0F8"/>
          </w:tcPr>
          <w:p w14:paraId="2E5A4C5E">
            <w:pPr>
              <w:spacing w:after="0" w:line="240" w:lineRule="auto" w:before="0"/>
              <w:jc w:val="center"/>
            </w:pPr>
            <w:r>
              <w:rPr>
                <w:rFonts w:ascii="Times New Roman" w:hAnsi="Times New Roman" w:eastAsia="Times New Roman" w:cs="Times New Roman"/>
                <w:b/>
                <w:color w:val="1E364D"/>
                <w:sz w:val="14"/>
              </w:rPr>
              <w:t>Mean words</w:t>
            </w:r>
          </w:p>
        </w:tc>
        <w:tc>
          <w:tcPr>
            <w:tcW w:w="1092" w:type="dxa"/>
            <w:vAlign w:val="center"/>
            <w:tcMar>
              <w:top w:w="65" w:type="dxa"/>
              <w:start w:w="68" w:type="dxa"/>
              <w:bottom w:w="65" w:type="dxa"/>
              <w:end w:w="68" w:type="dxa"/>
            </w:tcMar>
            <w:shd w:val="clear" w:color="auto" w:fill="E8F0F8"/>
          </w:tcPr>
          <w:p w14:paraId="57ED8F90">
            <w:pPr>
              <w:spacing w:after="0" w:line="240" w:lineRule="auto" w:before="0"/>
              <w:jc w:val="center"/>
            </w:pPr>
            <w:r>
              <w:rPr>
                <w:rFonts w:ascii="Times New Roman" w:hAnsi="Times New Roman" w:eastAsia="Times New Roman" w:cs="Times New Roman"/>
                <w:b/>
                <w:color w:val="1E364D"/>
                <w:sz w:val="14"/>
              </w:rPr>
              <w:t>Median</w:t>
            </w:r>
          </w:p>
        </w:tc>
        <w:tc>
          <w:tcPr>
            <w:tcW w:w="1092" w:type="dxa"/>
            <w:vAlign w:val="center"/>
            <w:tcMar>
              <w:top w:w="65" w:type="dxa"/>
              <w:start w:w="68" w:type="dxa"/>
              <w:bottom w:w="65" w:type="dxa"/>
              <w:end w:w="68" w:type="dxa"/>
            </w:tcMar>
            <w:shd w:val="clear" w:color="auto" w:fill="E8F0F8"/>
          </w:tcPr>
          <w:p w14:paraId="026B9097">
            <w:pPr>
              <w:spacing w:after="0" w:line="240" w:lineRule="auto" w:before="0"/>
              <w:jc w:val="center"/>
            </w:pPr>
            <w:r>
              <w:rPr>
                <w:rFonts w:ascii="Times New Roman" w:hAnsi="Times New Roman" w:eastAsia="Times New Roman" w:cs="Times New Roman"/>
                <w:b/>
                <w:color w:val="1E364D"/>
                <w:sz w:val="14"/>
              </w:rPr>
              <w:t>Rep.-trigram excess</w:t>
            </w:r>
          </w:p>
        </w:tc>
        <w:tc>
          <w:tcPr>
            <w:tcW w:w="1092" w:type="dxa"/>
            <w:vAlign w:val="center"/>
            <w:tcMar>
              <w:top w:w="65" w:type="dxa"/>
              <w:start w:w="68" w:type="dxa"/>
              <w:bottom w:w="65" w:type="dxa"/>
              <w:end w:w="68" w:type="dxa"/>
            </w:tcMar>
            <w:shd w:val="clear" w:color="auto" w:fill="E8F0F8"/>
          </w:tcPr>
          <w:p w14:paraId="2B70CB0D">
            <w:pPr>
              <w:spacing w:after="0" w:line="240" w:lineRule="auto" w:before="0"/>
              <w:jc w:val="center"/>
            </w:pPr>
            <w:r>
              <w:rPr>
                <w:rFonts w:ascii="Times New Roman" w:hAnsi="Times New Roman" w:eastAsia="Times New Roman" w:cs="Times New Roman"/>
                <w:b/>
                <w:color w:val="1E364D"/>
                <w:sz w:val="14"/>
              </w:rPr>
              <w:t>Flagged n</w:t>
            </w:r>
          </w:p>
        </w:tc>
        <w:tc>
          <w:tcPr>
            <w:tcW w:w="1092" w:type="dxa"/>
            <w:vAlign w:val="center"/>
            <w:tcMar>
              <w:top w:w="65" w:type="dxa"/>
              <w:start w:w="68" w:type="dxa"/>
              <w:bottom w:w="65" w:type="dxa"/>
              <w:end w:w="68" w:type="dxa"/>
            </w:tcMar>
            <w:shd w:val="clear" w:color="auto" w:fill="E8F0F8"/>
          </w:tcPr>
          <w:p w14:paraId="102143C3">
            <w:pPr>
              <w:spacing w:after="0" w:line="240" w:lineRule="auto" w:before="0"/>
              <w:jc w:val="center"/>
            </w:pPr>
            <w:r>
              <w:rPr>
                <w:rFonts w:ascii="Times New Roman" w:hAnsi="Times New Roman" w:eastAsia="Times New Roman" w:cs="Times New Roman"/>
                <w:b/>
                <w:color w:val="1E364D"/>
                <w:sz w:val="14"/>
              </w:rPr>
              <w:t>Full / template echo</w:t>
            </w:r>
          </w:p>
        </w:tc>
        <w:tc>
          <w:tcPr>
            <w:tcW w:w="1092" w:type="dxa"/>
            <w:vAlign w:val="center"/>
            <w:tcMar>
              <w:top w:w="65" w:type="dxa"/>
              <w:start w:w="68" w:type="dxa"/>
              <w:bottom w:w="65" w:type="dxa"/>
              <w:end w:w="68" w:type="dxa"/>
            </w:tcMar>
            <w:shd w:val="clear" w:color="auto" w:fill="E8F0F8"/>
          </w:tcPr>
          <w:p w14:paraId="6EBBAEE5">
            <w:pPr>
              <w:spacing w:after="0" w:line="240" w:lineRule="auto" w:before="0"/>
              <w:jc w:val="center"/>
            </w:pPr>
            <w:r>
              <w:rPr>
                <w:rFonts w:ascii="Times New Roman" w:hAnsi="Times New Roman" w:eastAsia="Times New Roman" w:cs="Times New Roman"/>
                <w:b/>
                <w:color w:val="1E364D"/>
                <w:sz w:val="14"/>
              </w:rPr>
              <w:t>Language proxy</w:t>
            </w:r>
          </w:p>
        </w:tc>
        <w:tc>
          <w:tcPr>
            <w:tcW w:w="1092" w:type="dxa"/>
            <w:vAlign w:val="center"/>
            <w:tcMar>
              <w:top w:w="65" w:type="dxa"/>
              <w:start w:w="68" w:type="dxa"/>
              <w:bottom w:w="65" w:type="dxa"/>
              <w:end w:w="68" w:type="dxa"/>
            </w:tcMar>
            <w:shd w:val="clear" w:color="auto" w:fill="E8F0F8"/>
          </w:tcPr>
          <w:p w14:paraId="5D5D6EDD">
            <w:pPr>
              <w:spacing w:after="0" w:line="240" w:lineRule="auto" w:before="0"/>
              <w:jc w:val="center"/>
            </w:pPr>
            <w:r>
              <w:rPr>
                <w:rFonts w:ascii="Times New Roman" w:hAnsi="Times New Roman" w:eastAsia="Times New Roman" w:cs="Times New Roman"/>
                <w:b/>
                <w:color w:val="1E364D"/>
                <w:sz w:val="14"/>
              </w:rPr>
              <w:t>Near-empty / non-terminal</w:t>
            </w:r>
          </w:p>
        </w:tc>
        <w:tc>
          <w:tcPr>
            <w:tcW w:w="1092" w:type="dxa"/>
            <w:vAlign w:val="center"/>
            <w:tcMar>
              <w:top w:w="65" w:type="dxa"/>
              <w:start w:w="68" w:type="dxa"/>
              <w:bottom w:w="65" w:type="dxa"/>
              <w:end w:w="68" w:type="dxa"/>
            </w:tcMar>
            <w:shd w:val="clear" w:color="auto" w:fill="E8F0F8"/>
          </w:tcPr>
          <w:p w14:paraId="6F3DF1C6">
            <w:pPr>
              <w:spacing w:after="0" w:line="240" w:lineRule="auto" w:before="0"/>
              <w:jc w:val="center"/>
            </w:pPr>
            <w:r>
              <w:rPr>
                <w:rFonts w:ascii="Times New Roman" w:hAnsi="Times New Roman" w:eastAsia="Times New Roman" w:cs="Times New Roman"/>
                <w:b/>
                <w:color w:val="1E364D"/>
                <w:sz w:val="14"/>
              </w:rPr>
              <w:t>IF surface format</w:t>
            </w:r>
          </w:p>
        </w:tc>
      </w:tr>
      <w:tr w14:paraId="3A2E7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092" w:type="dxa"/>
            <w:vAlign w:val="center"/>
            <w:tcMar>
              <w:top w:w="65" w:type="dxa"/>
              <w:start w:w="68" w:type="dxa"/>
              <w:bottom w:w="65" w:type="dxa"/>
              <w:end w:w="68" w:type="dxa"/>
            </w:tcMar>
          </w:tcPr>
          <w:p w14:paraId="57C765FE">
            <w:pPr>
              <w:spacing w:after="0" w:line="240" w:lineRule="auto" w:before="0"/>
            </w:pPr>
            <w:r>
              <w:rPr>
                <w:rFonts w:ascii="Times New Roman" w:hAnsi="Times New Roman" w:eastAsia="Times New Roman" w:cs="Times New Roman"/>
                <w:b w:val="0"/>
                <w:sz w:val="14"/>
              </w:rPr>
              <w:t>Qwen3-0.6B</w:t>
            </w:r>
          </w:p>
        </w:tc>
        <w:tc>
          <w:tcPr>
            <w:tcW w:w="1092" w:type="dxa"/>
            <w:vAlign w:val="center"/>
            <w:tcMar>
              <w:top w:w="65" w:type="dxa"/>
              <w:start w:w="68" w:type="dxa"/>
              <w:bottom w:w="65" w:type="dxa"/>
              <w:end w:w="68" w:type="dxa"/>
            </w:tcMar>
          </w:tcPr>
          <w:p w14:paraId="321C2755">
            <w:pPr>
              <w:spacing w:after="0" w:line="240" w:lineRule="auto" w:before="0"/>
            </w:pPr>
            <w:r>
              <w:rPr>
                <w:rFonts w:ascii="Times New Roman" w:hAnsi="Times New Roman" w:eastAsia="Times New Roman" w:cs="Times New Roman"/>
                <w:b w:val="0"/>
                <w:sz w:val="14"/>
              </w:rPr>
              <w:t>50.4</w:t>
            </w:r>
          </w:p>
        </w:tc>
        <w:tc>
          <w:tcPr>
            <w:tcW w:w="1092" w:type="dxa"/>
            <w:vAlign w:val="center"/>
            <w:tcMar>
              <w:top w:w="65" w:type="dxa"/>
              <w:start w:w="68" w:type="dxa"/>
              <w:bottom w:w="65" w:type="dxa"/>
              <w:end w:w="68" w:type="dxa"/>
            </w:tcMar>
          </w:tcPr>
          <w:p w14:paraId="45A01305">
            <w:pPr>
              <w:spacing w:after="0" w:line="240" w:lineRule="auto" w:before="0"/>
            </w:pPr>
            <w:r>
              <w:rPr>
                <w:rFonts w:ascii="Times New Roman" w:hAnsi="Times New Roman" w:eastAsia="Times New Roman" w:cs="Times New Roman"/>
                <w:b w:val="0"/>
                <w:sz w:val="14"/>
              </w:rPr>
              <w:t>25.0</w:t>
            </w:r>
          </w:p>
        </w:tc>
        <w:tc>
          <w:tcPr>
            <w:tcW w:w="1092" w:type="dxa"/>
            <w:vAlign w:val="center"/>
            <w:tcMar>
              <w:top w:w="65" w:type="dxa"/>
              <w:start w:w="68" w:type="dxa"/>
              <w:bottom w:w="65" w:type="dxa"/>
              <w:end w:w="68" w:type="dxa"/>
            </w:tcMar>
          </w:tcPr>
          <w:p w14:paraId="1A65C864">
            <w:pPr>
              <w:spacing w:after="0" w:line="240" w:lineRule="auto" w:before="0"/>
            </w:pPr>
            <w:r>
              <w:rPr>
                <w:rFonts w:ascii="Times New Roman" w:hAnsi="Times New Roman" w:eastAsia="Times New Roman" w:cs="Times New Roman"/>
                <w:b w:val="0"/>
                <w:sz w:val="14"/>
              </w:rPr>
              <w:t>0.018</w:t>
            </w:r>
          </w:p>
        </w:tc>
        <w:tc>
          <w:tcPr>
            <w:tcW w:w="1092" w:type="dxa"/>
            <w:vAlign w:val="center"/>
            <w:tcMar>
              <w:top w:w="65" w:type="dxa"/>
              <w:start w:w="68" w:type="dxa"/>
              <w:bottom w:w="65" w:type="dxa"/>
              <w:end w:w="68" w:type="dxa"/>
            </w:tcMar>
          </w:tcPr>
          <w:p w14:paraId="55E4507E">
            <w:pPr>
              <w:spacing w:after="0" w:line="240" w:lineRule="auto" w:before="0"/>
            </w:pPr>
            <w:r>
              <w:rPr>
                <w:rFonts w:ascii="Times New Roman" w:hAnsi="Times New Roman" w:eastAsia="Times New Roman" w:cs="Times New Roman"/>
                <w:b w:val="0"/>
                <w:sz w:val="14"/>
              </w:rPr>
              <w:t>1</w:t>
            </w:r>
          </w:p>
        </w:tc>
        <w:tc>
          <w:tcPr>
            <w:tcW w:w="1092" w:type="dxa"/>
            <w:vAlign w:val="center"/>
            <w:tcMar>
              <w:top w:w="65" w:type="dxa"/>
              <w:start w:w="68" w:type="dxa"/>
              <w:bottom w:w="65" w:type="dxa"/>
              <w:end w:w="68" w:type="dxa"/>
            </w:tcMar>
          </w:tcPr>
          <w:p w14:paraId="7D08FB29">
            <w:pPr>
              <w:spacing w:after="0" w:line="240" w:lineRule="auto" w:before="0"/>
            </w:pPr>
            <w:r>
              <w:rPr>
                <w:rFonts w:ascii="Times New Roman" w:hAnsi="Times New Roman" w:eastAsia="Times New Roman" w:cs="Times New Roman"/>
                <w:b w:val="0"/>
                <w:sz w:val="14"/>
              </w:rPr>
              <w:t>0 / 0</w:t>
            </w:r>
          </w:p>
        </w:tc>
        <w:tc>
          <w:tcPr>
            <w:tcW w:w="1092" w:type="dxa"/>
            <w:vAlign w:val="center"/>
            <w:tcMar>
              <w:top w:w="65" w:type="dxa"/>
              <w:start w:w="68" w:type="dxa"/>
              <w:bottom w:w="65" w:type="dxa"/>
              <w:end w:w="68" w:type="dxa"/>
            </w:tcMar>
          </w:tcPr>
          <w:p w14:paraId="6F79A0E1">
            <w:pPr>
              <w:spacing w:after="0" w:line="240" w:lineRule="auto" w:before="0"/>
            </w:pPr>
            <w:r>
              <w:rPr>
                <w:rFonts w:ascii="Times New Roman" w:hAnsi="Times New Roman" w:eastAsia="Times New Roman" w:cs="Times New Roman"/>
                <w:b w:val="0"/>
                <w:sz w:val="14"/>
              </w:rPr>
              <w:t>0</w:t>
            </w:r>
          </w:p>
        </w:tc>
        <w:tc>
          <w:tcPr>
            <w:tcW w:w="1092" w:type="dxa"/>
            <w:vAlign w:val="center"/>
            <w:tcMar>
              <w:top w:w="65" w:type="dxa"/>
              <w:start w:w="68" w:type="dxa"/>
              <w:bottom w:w="65" w:type="dxa"/>
              <w:end w:w="68" w:type="dxa"/>
            </w:tcMar>
          </w:tcPr>
          <w:p w14:paraId="37939859">
            <w:pPr>
              <w:spacing w:after="0" w:line="240" w:lineRule="auto" w:before="0"/>
            </w:pPr>
            <w:r>
              <w:rPr>
                <w:rFonts w:ascii="Times New Roman" w:hAnsi="Times New Roman" w:eastAsia="Times New Roman" w:cs="Times New Roman"/>
                <w:b w:val="0"/>
                <w:sz w:val="14"/>
              </w:rPr>
              <w:t>1 / 14</w:t>
            </w:r>
          </w:p>
        </w:tc>
        <w:tc>
          <w:tcPr>
            <w:tcW w:w="1092" w:type="dxa"/>
            <w:vAlign w:val="center"/>
            <w:tcMar>
              <w:top w:w="65" w:type="dxa"/>
              <w:start w:w="68" w:type="dxa"/>
              <w:bottom w:w="65" w:type="dxa"/>
              <w:end w:w="68" w:type="dxa"/>
            </w:tcMar>
          </w:tcPr>
          <w:p w14:paraId="477201ED">
            <w:pPr>
              <w:spacing w:after="0" w:line="240" w:lineRule="auto" w:before="0"/>
            </w:pPr>
            <w:r>
              <w:rPr>
                <w:rFonts w:ascii="Times New Roman" w:hAnsi="Times New Roman" w:eastAsia="Times New Roman" w:cs="Times New Roman"/>
                <w:b w:val="0"/>
                <w:sz w:val="14"/>
              </w:rPr>
              <w:t>18/20</w:t>
            </w:r>
          </w:p>
        </w:tc>
      </w:tr>
      <w:tr w14:paraId="5A588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092" w:type="dxa"/>
            <w:vAlign w:val="center"/>
            <w:tcMar>
              <w:top w:w="65" w:type="dxa"/>
              <w:start w:w="68" w:type="dxa"/>
              <w:bottom w:w="65" w:type="dxa"/>
              <w:end w:w="68" w:type="dxa"/>
            </w:tcMar>
          </w:tcPr>
          <w:p w14:paraId="02818543">
            <w:pPr>
              <w:spacing w:after="0" w:line="240" w:lineRule="auto" w:before="0"/>
            </w:pPr>
            <w:r>
              <w:rPr>
                <w:rFonts w:ascii="Times New Roman" w:hAnsi="Times New Roman" w:eastAsia="Times New Roman" w:cs="Times New Roman"/>
                <w:b w:val="0"/>
                <w:sz w:val="14"/>
              </w:rPr>
              <w:t>FLAN-T5-base</w:t>
            </w:r>
          </w:p>
        </w:tc>
        <w:tc>
          <w:tcPr>
            <w:tcW w:w="1092" w:type="dxa"/>
            <w:vAlign w:val="center"/>
            <w:tcMar>
              <w:top w:w="65" w:type="dxa"/>
              <w:start w:w="68" w:type="dxa"/>
              <w:bottom w:w="65" w:type="dxa"/>
              <w:end w:w="68" w:type="dxa"/>
            </w:tcMar>
          </w:tcPr>
          <w:p w14:paraId="64168891">
            <w:pPr>
              <w:spacing w:after="0" w:line="240" w:lineRule="auto" w:before="0"/>
            </w:pPr>
            <w:r>
              <w:rPr>
                <w:rFonts w:ascii="Times New Roman" w:hAnsi="Times New Roman" w:eastAsia="Times New Roman" w:cs="Times New Roman"/>
                <w:b w:val="0"/>
                <w:sz w:val="14"/>
              </w:rPr>
              <w:t>16.7</w:t>
            </w:r>
          </w:p>
        </w:tc>
        <w:tc>
          <w:tcPr>
            <w:tcW w:w="1092" w:type="dxa"/>
            <w:vAlign w:val="center"/>
            <w:tcMar>
              <w:top w:w="65" w:type="dxa"/>
              <w:start w:w="68" w:type="dxa"/>
              <w:bottom w:w="65" w:type="dxa"/>
              <w:end w:w="68" w:type="dxa"/>
            </w:tcMar>
          </w:tcPr>
          <w:p w14:paraId="427A2EF4">
            <w:pPr>
              <w:spacing w:after="0" w:line="240" w:lineRule="auto" w:before="0"/>
            </w:pPr>
            <w:r>
              <w:rPr>
                <w:rFonts w:ascii="Times New Roman" w:hAnsi="Times New Roman" w:eastAsia="Times New Roman" w:cs="Times New Roman"/>
                <w:b w:val="0"/>
                <w:sz w:val="14"/>
              </w:rPr>
              <w:t>9.0</w:t>
            </w:r>
          </w:p>
        </w:tc>
        <w:tc>
          <w:tcPr>
            <w:tcW w:w="1092" w:type="dxa"/>
            <w:vAlign w:val="center"/>
            <w:tcMar>
              <w:top w:w="65" w:type="dxa"/>
              <w:start w:w="68" w:type="dxa"/>
              <w:bottom w:w="65" w:type="dxa"/>
              <w:end w:w="68" w:type="dxa"/>
            </w:tcMar>
          </w:tcPr>
          <w:p w14:paraId="047D9EEE">
            <w:pPr>
              <w:spacing w:after="0" w:line="240" w:lineRule="auto" w:before="0"/>
            </w:pPr>
            <w:r>
              <w:rPr>
                <w:rFonts w:ascii="Times New Roman" w:hAnsi="Times New Roman" w:eastAsia="Times New Roman" w:cs="Times New Roman"/>
                <w:b w:val="0"/>
                <w:sz w:val="14"/>
              </w:rPr>
              <w:t>0.034</w:t>
            </w:r>
          </w:p>
        </w:tc>
        <w:tc>
          <w:tcPr>
            <w:tcW w:w="1092" w:type="dxa"/>
            <w:vAlign w:val="center"/>
            <w:tcMar>
              <w:top w:w="65" w:type="dxa"/>
              <w:start w:w="68" w:type="dxa"/>
              <w:bottom w:w="65" w:type="dxa"/>
              <w:end w:w="68" w:type="dxa"/>
            </w:tcMar>
          </w:tcPr>
          <w:p w14:paraId="3D90FF6D">
            <w:pPr>
              <w:spacing w:after="0" w:line="240" w:lineRule="auto" w:before="0"/>
            </w:pPr>
            <w:r>
              <w:rPr>
                <w:rFonts w:ascii="Times New Roman" w:hAnsi="Times New Roman" w:eastAsia="Times New Roman" w:cs="Times New Roman"/>
                <w:b w:val="0"/>
                <w:sz w:val="14"/>
              </w:rPr>
              <w:t>4</w:t>
            </w:r>
          </w:p>
        </w:tc>
        <w:tc>
          <w:tcPr>
            <w:tcW w:w="1092" w:type="dxa"/>
            <w:vAlign w:val="center"/>
            <w:tcMar>
              <w:top w:w="65" w:type="dxa"/>
              <w:start w:w="68" w:type="dxa"/>
              <w:bottom w:w="65" w:type="dxa"/>
              <w:end w:w="68" w:type="dxa"/>
            </w:tcMar>
          </w:tcPr>
          <w:p w14:paraId="2EFCFF48">
            <w:pPr>
              <w:spacing w:after="0" w:line="240" w:lineRule="auto" w:before="0"/>
            </w:pPr>
            <w:r>
              <w:rPr>
                <w:rFonts w:ascii="Times New Roman" w:hAnsi="Times New Roman" w:eastAsia="Times New Roman" w:cs="Times New Roman"/>
                <w:b w:val="0"/>
                <w:sz w:val="14"/>
              </w:rPr>
              <w:t>0 / 0</w:t>
            </w:r>
          </w:p>
        </w:tc>
        <w:tc>
          <w:tcPr>
            <w:tcW w:w="1092" w:type="dxa"/>
            <w:vAlign w:val="center"/>
            <w:tcMar>
              <w:top w:w="65" w:type="dxa"/>
              <w:start w:w="68" w:type="dxa"/>
              <w:bottom w:w="65" w:type="dxa"/>
              <w:end w:w="68" w:type="dxa"/>
            </w:tcMar>
          </w:tcPr>
          <w:p w14:paraId="66A634CF">
            <w:pPr>
              <w:spacing w:after="0" w:line="240" w:lineRule="auto" w:before="0"/>
            </w:pPr>
            <w:r>
              <w:rPr>
                <w:rFonts w:ascii="Times New Roman" w:hAnsi="Times New Roman" w:eastAsia="Times New Roman" w:cs="Times New Roman"/>
                <w:b w:val="0"/>
                <w:sz w:val="14"/>
              </w:rPr>
              <w:t>0</w:t>
            </w:r>
          </w:p>
        </w:tc>
        <w:tc>
          <w:tcPr>
            <w:tcW w:w="1092" w:type="dxa"/>
            <w:vAlign w:val="center"/>
            <w:tcMar>
              <w:top w:w="65" w:type="dxa"/>
              <w:start w:w="68" w:type="dxa"/>
              <w:bottom w:w="65" w:type="dxa"/>
              <w:end w:w="68" w:type="dxa"/>
            </w:tcMar>
          </w:tcPr>
          <w:p w14:paraId="0691BC63">
            <w:pPr>
              <w:spacing w:after="0" w:line="240" w:lineRule="auto" w:before="0"/>
            </w:pPr>
            <w:r>
              <w:rPr>
                <w:rFonts w:ascii="Times New Roman" w:hAnsi="Times New Roman" w:eastAsia="Times New Roman" w:cs="Times New Roman"/>
                <w:b w:val="0"/>
                <w:sz w:val="14"/>
              </w:rPr>
              <w:t>34 / 47</w:t>
            </w:r>
          </w:p>
        </w:tc>
        <w:tc>
          <w:tcPr>
            <w:tcW w:w="1092" w:type="dxa"/>
            <w:vAlign w:val="center"/>
            <w:tcMar>
              <w:top w:w="65" w:type="dxa"/>
              <w:start w:w="68" w:type="dxa"/>
              <w:bottom w:w="65" w:type="dxa"/>
              <w:end w:w="68" w:type="dxa"/>
            </w:tcMar>
          </w:tcPr>
          <w:p w14:paraId="5B17A6BD">
            <w:pPr>
              <w:spacing w:after="0" w:line="240" w:lineRule="auto" w:before="0"/>
            </w:pPr>
            <w:r>
              <w:rPr>
                <w:rFonts w:ascii="Times New Roman" w:hAnsi="Times New Roman" w:eastAsia="Times New Roman" w:cs="Times New Roman"/>
                <w:b w:val="0"/>
                <w:sz w:val="14"/>
              </w:rPr>
              <w:t>5/20</w:t>
            </w:r>
          </w:p>
        </w:tc>
      </w:tr>
      <w:tr w14:paraId="5BB68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092" w:type="dxa"/>
            <w:vAlign w:val="center"/>
            <w:tcMar>
              <w:top w:w="65" w:type="dxa"/>
              <w:start w:w="68" w:type="dxa"/>
              <w:bottom w:w="65" w:type="dxa"/>
              <w:end w:w="68" w:type="dxa"/>
            </w:tcMar>
          </w:tcPr>
          <w:p w14:paraId="0A3A7A55">
            <w:pPr>
              <w:spacing w:after="0" w:line="240" w:lineRule="auto" w:before="0"/>
            </w:pPr>
            <w:r>
              <w:rPr>
                <w:rFonts w:ascii="Times New Roman" w:hAnsi="Times New Roman" w:eastAsia="Times New Roman" w:cs="Times New Roman"/>
                <w:b w:val="0"/>
                <w:sz w:val="14"/>
              </w:rPr>
              <w:t>OLMo-2-0425-1B-Instruct</w:t>
            </w:r>
          </w:p>
        </w:tc>
        <w:tc>
          <w:tcPr>
            <w:tcW w:w="1092" w:type="dxa"/>
            <w:vAlign w:val="center"/>
            <w:tcMar>
              <w:top w:w="65" w:type="dxa"/>
              <w:start w:w="68" w:type="dxa"/>
              <w:bottom w:w="65" w:type="dxa"/>
              <w:end w:w="68" w:type="dxa"/>
            </w:tcMar>
          </w:tcPr>
          <w:p w14:paraId="6D014A96">
            <w:pPr>
              <w:spacing w:after="0" w:line="240" w:lineRule="auto" w:before="0"/>
            </w:pPr>
            <w:r>
              <w:rPr>
                <w:rFonts w:ascii="Times New Roman" w:hAnsi="Times New Roman" w:eastAsia="Times New Roman" w:cs="Times New Roman"/>
                <w:b w:val="0"/>
                <w:sz w:val="14"/>
              </w:rPr>
              <w:t>86.8</w:t>
            </w:r>
          </w:p>
        </w:tc>
        <w:tc>
          <w:tcPr>
            <w:tcW w:w="1092" w:type="dxa"/>
            <w:vAlign w:val="center"/>
            <w:tcMar>
              <w:top w:w="65" w:type="dxa"/>
              <w:start w:w="68" w:type="dxa"/>
              <w:bottom w:w="65" w:type="dxa"/>
              <w:end w:w="68" w:type="dxa"/>
            </w:tcMar>
          </w:tcPr>
          <w:p w14:paraId="1436A0B9">
            <w:pPr>
              <w:spacing w:after="0" w:line="240" w:lineRule="auto" w:before="0"/>
            </w:pPr>
            <w:r>
              <w:rPr>
                <w:rFonts w:ascii="Times New Roman" w:hAnsi="Times New Roman" w:eastAsia="Times New Roman" w:cs="Times New Roman"/>
                <w:b w:val="0"/>
                <w:sz w:val="14"/>
              </w:rPr>
              <w:t>44.0</w:t>
            </w:r>
          </w:p>
        </w:tc>
        <w:tc>
          <w:tcPr>
            <w:tcW w:w="1092" w:type="dxa"/>
            <w:vAlign w:val="center"/>
            <w:tcMar>
              <w:top w:w="65" w:type="dxa"/>
              <w:start w:w="68" w:type="dxa"/>
              <w:bottom w:w="65" w:type="dxa"/>
              <w:end w:w="68" w:type="dxa"/>
            </w:tcMar>
          </w:tcPr>
          <w:p w14:paraId="42921371">
            <w:pPr>
              <w:spacing w:after="0" w:line="240" w:lineRule="auto" w:before="0"/>
            </w:pPr>
            <w:r>
              <w:rPr>
                <w:rFonts w:ascii="Times New Roman" w:hAnsi="Times New Roman" w:eastAsia="Times New Roman" w:cs="Times New Roman"/>
                <w:b w:val="0"/>
                <w:sz w:val="14"/>
              </w:rPr>
              <w:t>0.028</w:t>
            </w:r>
          </w:p>
        </w:tc>
        <w:tc>
          <w:tcPr>
            <w:tcW w:w="1092" w:type="dxa"/>
            <w:vAlign w:val="center"/>
            <w:tcMar>
              <w:top w:w="65" w:type="dxa"/>
              <w:start w:w="68" w:type="dxa"/>
              <w:bottom w:w="65" w:type="dxa"/>
              <w:end w:w="68" w:type="dxa"/>
            </w:tcMar>
          </w:tcPr>
          <w:p w14:paraId="77699DBD">
            <w:pPr>
              <w:spacing w:after="0" w:line="240" w:lineRule="auto" w:before="0"/>
            </w:pPr>
            <w:r>
              <w:rPr>
                <w:rFonts w:ascii="Times New Roman" w:hAnsi="Times New Roman" w:eastAsia="Times New Roman" w:cs="Times New Roman"/>
                <w:b w:val="0"/>
                <w:sz w:val="14"/>
              </w:rPr>
              <w:t>2</w:t>
            </w:r>
          </w:p>
        </w:tc>
        <w:tc>
          <w:tcPr>
            <w:tcW w:w="1092" w:type="dxa"/>
            <w:vAlign w:val="center"/>
            <w:tcMar>
              <w:top w:w="65" w:type="dxa"/>
              <w:start w:w="68" w:type="dxa"/>
              <w:bottom w:w="65" w:type="dxa"/>
              <w:end w:w="68" w:type="dxa"/>
            </w:tcMar>
          </w:tcPr>
          <w:p w14:paraId="59F0A33B">
            <w:pPr>
              <w:spacing w:after="0" w:line="240" w:lineRule="auto" w:before="0"/>
            </w:pPr>
            <w:r>
              <w:rPr>
                <w:rFonts w:ascii="Times New Roman" w:hAnsi="Times New Roman" w:eastAsia="Times New Roman" w:cs="Times New Roman"/>
                <w:b w:val="0"/>
                <w:sz w:val="14"/>
              </w:rPr>
              <w:t>0 / 0</w:t>
            </w:r>
          </w:p>
        </w:tc>
        <w:tc>
          <w:tcPr>
            <w:tcW w:w="1092" w:type="dxa"/>
            <w:vAlign w:val="center"/>
            <w:tcMar>
              <w:top w:w="65" w:type="dxa"/>
              <w:start w:w="68" w:type="dxa"/>
              <w:bottom w:w="65" w:type="dxa"/>
              <w:end w:w="68" w:type="dxa"/>
            </w:tcMar>
          </w:tcPr>
          <w:p w14:paraId="43A7B16B">
            <w:pPr>
              <w:spacing w:after="0" w:line="240" w:lineRule="auto" w:before="0"/>
            </w:pPr>
            <w:r>
              <w:rPr>
                <w:rFonts w:ascii="Times New Roman" w:hAnsi="Times New Roman" w:eastAsia="Times New Roman" w:cs="Times New Roman"/>
                <w:b w:val="0"/>
                <w:sz w:val="14"/>
              </w:rPr>
              <w:t>0</w:t>
            </w:r>
          </w:p>
        </w:tc>
        <w:tc>
          <w:tcPr>
            <w:tcW w:w="1092" w:type="dxa"/>
            <w:vAlign w:val="center"/>
            <w:tcMar>
              <w:top w:w="65" w:type="dxa"/>
              <w:start w:w="68" w:type="dxa"/>
              <w:bottom w:w="65" w:type="dxa"/>
              <w:end w:w="68" w:type="dxa"/>
            </w:tcMar>
          </w:tcPr>
          <w:p w14:paraId="2EA6C282">
            <w:pPr>
              <w:spacing w:after="0" w:line="240" w:lineRule="auto" w:before="0"/>
            </w:pPr>
            <w:r>
              <w:rPr>
                <w:rFonts w:ascii="Times New Roman" w:hAnsi="Times New Roman" w:eastAsia="Times New Roman" w:cs="Times New Roman"/>
                <w:b w:val="0"/>
                <w:sz w:val="14"/>
              </w:rPr>
              <w:t>4 / 29</w:t>
            </w:r>
          </w:p>
        </w:tc>
        <w:tc>
          <w:tcPr>
            <w:tcW w:w="1092" w:type="dxa"/>
            <w:vAlign w:val="center"/>
            <w:tcMar>
              <w:top w:w="65" w:type="dxa"/>
              <w:start w:w="68" w:type="dxa"/>
              <w:bottom w:w="65" w:type="dxa"/>
              <w:end w:w="68" w:type="dxa"/>
            </w:tcMar>
          </w:tcPr>
          <w:p w14:paraId="6146D0C0">
            <w:pPr>
              <w:spacing w:after="0" w:line="240" w:lineRule="auto" w:before="0"/>
            </w:pPr>
            <w:r>
              <w:rPr>
                <w:rFonts w:ascii="Times New Roman" w:hAnsi="Times New Roman" w:eastAsia="Times New Roman" w:cs="Times New Roman"/>
                <w:b w:val="0"/>
                <w:sz w:val="14"/>
              </w:rPr>
              <w:t>15/20</w:t>
            </w:r>
          </w:p>
        </w:tc>
      </w:tr>
      <w:tr w14:paraId="18E25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092" w:type="dxa"/>
            <w:vAlign w:val="center"/>
            <w:tcMar>
              <w:top w:w="65" w:type="dxa"/>
              <w:start w:w="68" w:type="dxa"/>
              <w:bottom w:w="65" w:type="dxa"/>
              <w:end w:w="68" w:type="dxa"/>
            </w:tcMar>
          </w:tcPr>
          <w:p w14:paraId="406E9EFF">
            <w:pPr>
              <w:spacing w:after="0" w:line="240" w:lineRule="auto" w:before="0"/>
            </w:pPr>
            <w:r>
              <w:rPr>
                <w:rFonts w:ascii="Times New Roman" w:hAnsi="Times New Roman" w:eastAsia="Times New Roman" w:cs="Times New Roman"/>
                <w:b w:val="0"/>
                <w:sz w:val="14"/>
              </w:rPr>
              <w:t>Mamba-370M</w:t>
            </w:r>
          </w:p>
        </w:tc>
        <w:tc>
          <w:tcPr>
            <w:tcW w:w="1092" w:type="dxa"/>
            <w:vAlign w:val="center"/>
            <w:tcMar>
              <w:top w:w="65" w:type="dxa"/>
              <w:start w:w="68" w:type="dxa"/>
              <w:bottom w:w="65" w:type="dxa"/>
              <w:end w:w="68" w:type="dxa"/>
            </w:tcMar>
          </w:tcPr>
          <w:p w14:paraId="48100AA2">
            <w:pPr>
              <w:spacing w:after="0" w:line="240" w:lineRule="auto" w:before="0"/>
            </w:pPr>
            <w:r>
              <w:rPr>
                <w:rFonts w:ascii="Times New Roman" w:hAnsi="Times New Roman" w:eastAsia="Times New Roman" w:cs="Times New Roman"/>
                <w:b w:val="0"/>
                <w:sz w:val="14"/>
              </w:rPr>
              <w:t>217.1</w:t>
            </w:r>
          </w:p>
        </w:tc>
        <w:tc>
          <w:tcPr>
            <w:tcW w:w="1092" w:type="dxa"/>
            <w:vAlign w:val="center"/>
            <w:tcMar>
              <w:top w:w="65" w:type="dxa"/>
              <w:start w:w="68" w:type="dxa"/>
              <w:bottom w:w="65" w:type="dxa"/>
              <w:end w:w="68" w:type="dxa"/>
            </w:tcMar>
          </w:tcPr>
          <w:p w14:paraId="3E635C11">
            <w:pPr>
              <w:spacing w:after="0" w:line="240" w:lineRule="auto" w:before="0"/>
            </w:pPr>
            <w:r>
              <w:rPr>
                <w:rFonts w:ascii="Times New Roman" w:hAnsi="Times New Roman" w:eastAsia="Times New Roman" w:cs="Times New Roman"/>
                <w:b w:val="0"/>
                <w:sz w:val="14"/>
              </w:rPr>
              <w:t>220.0</w:t>
            </w:r>
          </w:p>
        </w:tc>
        <w:tc>
          <w:tcPr>
            <w:tcW w:w="1092" w:type="dxa"/>
            <w:vAlign w:val="center"/>
            <w:tcMar>
              <w:top w:w="65" w:type="dxa"/>
              <w:start w:w="68" w:type="dxa"/>
              <w:bottom w:w="65" w:type="dxa"/>
              <w:end w:w="68" w:type="dxa"/>
            </w:tcMar>
          </w:tcPr>
          <w:p w14:paraId="46FF5896">
            <w:pPr>
              <w:spacing w:after="0" w:line="240" w:lineRule="auto" w:before="0"/>
            </w:pPr>
            <w:r>
              <w:rPr>
                <w:rFonts w:ascii="Times New Roman" w:hAnsi="Times New Roman" w:eastAsia="Times New Roman" w:cs="Times New Roman"/>
                <w:b w:val="0"/>
                <w:sz w:val="14"/>
              </w:rPr>
              <w:t>0.841</w:t>
            </w:r>
          </w:p>
        </w:tc>
        <w:tc>
          <w:tcPr>
            <w:tcW w:w="1092" w:type="dxa"/>
            <w:vAlign w:val="center"/>
            <w:tcMar>
              <w:top w:w="65" w:type="dxa"/>
              <w:start w:w="68" w:type="dxa"/>
              <w:bottom w:w="65" w:type="dxa"/>
              <w:end w:w="68" w:type="dxa"/>
            </w:tcMar>
          </w:tcPr>
          <w:p w14:paraId="599FFF50">
            <w:pPr>
              <w:spacing w:after="0" w:line="240" w:lineRule="auto" w:before="0"/>
            </w:pPr>
            <w:r>
              <w:rPr>
                <w:rFonts w:ascii="Times New Roman" w:hAnsi="Times New Roman" w:eastAsia="Times New Roman" w:cs="Times New Roman"/>
                <w:b w:val="0"/>
                <w:sz w:val="14"/>
              </w:rPr>
              <w:t>120</w:t>
            </w:r>
          </w:p>
        </w:tc>
        <w:tc>
          <w:tcPr>
            <w:tcW w:w="1092" w:type="dxa"/>
            <w:vAlign w:val="center"/>
            <w:tcMar>
              <w:top w:w="65" w:type="dxa"/>
              <w:start w:w="68" w:type="dxa"/>
              <w:bottom w:w="65" w:type="dxa"/>
              <w:end w:w="68" w:type="dxa"/>
            </w:tcMar>
          </w:tcPr>
          <w:p w14:paraId="577225C3">
            <w:pPr>
              <w:spacing w:after="0" w:line="240" w:lineRule="auto" w:before="0"/>
            </w:pPr>
            <w:r>
              <w:rPr>
                <w:rFonts w:ascii="Times New Roman" w:hAnsi="Times New Roman" w:eastAsia="Times New Roman" w:cs="Times New Roman"/>
                <w:b w:val="0"/>
                <w:sz w:val="14"/>
              </w:rPr>
              <w:t>8 / 68</w:t>
            </w:r>
          </w:p>
        </w:tc>
        <w:tc>
          <w:tcPr>
            <w:tcW w:w="1092" w:type="dxa"/>
            <w:vAlign w:val="center"/>
            <w:tcMar>
              <w:top w:w="65" w:type="dxa"/>
              <w:start w:w="68" w:type="dxa"/>
              <w:bottom w:w="65" w:type="dxa"/>
              <w:end w:w="68" w:type="dxa"/>
            </w:tcMar>
          </w:tcPr>
          <w:p w14:paraId="630BE824">
            <w:pPr>
              <w:spacing w:after="0" w:line="240" w:lineRule="auto" w:before="0"/>
            </w:pPr>
            <w:r>
              <w:rPr>
                <w:rFonts w:ascii="Times New Roman" w:hAnsi="Times New Roman" w:eastAsia="Times New Roman" w:cs="Times New Roman"/>
                <w:b w:val="0"/>
                <w:sz w:val="14"/>
              </w:rPr>
              <w:t>0</w:t>
            </w:r>
          </w:p>
        </w:tc>
        <w:tc>
          <w:tcPr>
            <w:tcW w:w="1092" w:type="dxa"/>
            <w:vAlign w:val="center"/>
            <w:tcMar>
              <w:top w:w="65" w:type="dxa"/>
              <w:start w:w="68" w:type="dxa"/>
              <w:bottom w:w="65" w:type="dxa"/>
              <w:end w:w="68" w:type="dxa"/>
            </w:tcMar>
          </w:tcPr>
          <w:p w14:paraId="51BF4547">
            <w:pPr>
              <w:spacing w:after="0" w:line="240" w:lineRule="auto" w:before="0"/>
            </w:pPr>
            <w:r>
              <w:rPr>
                <w:rFonts w:ascii="Times New Roman" w:hAnsi="Times New Roman" w:eastAsia="Times New Roman" w:cs="Times New Roman"/>
                <w:b w:val="0"/>
                <w:sz w:val="14"/>
              </w:rPr>
              <w:t>0 / 104</w:t>
            </w:r>
          </w:p>
        </w:tc>
        <w:tc>
          <w:tcPr>
            <w:tcW w:w="1092" w:type="dxa"/>
            <w:vAlign w:val="center"/>
            <w:tcMar>
              <w:top w:w="65" w:type="dxa"/>
              <w:start w:w="68" w:type="dxa"/>
              <w:bottom w:w="65" w:type="dxa"/>
              <w:end w:w="68" w:type="dxa"/>
            </w:tcMar>
          </w:tcPr>
          <w:p w14:paraId="66DDAF20">
            <w:pPr>
              <w:spacing w:after="0" w:line="240" w:lineRule="auto" w:before="0"/>
            </w:pPr>
            <w:r>
              <w:rPr>
                <w:rFonts w:ascii="Times New Roman" w:hAnsi="Times New Roman" w:eastAsia="Times New Roman" w:cs="Times New Roman"/>
                <w:b w:val="0"/>
                <w:sz w:val="14"/>
              </w:rPr>
              <w:t>2/20</w:t>
            </w:r>
          </w:p>
        </w:tc>
      </w:tr>
      <w:tr w14:paraId="476D5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092" w:type="dxa"/>
            <w:vAlign w:val="center"/>
            <w:tcMar>
              <w:top w:w="65" w:type="dxa"/>
              <w:start w:w="68" w:type="dxa"/>
              <w:bottom w:w="65" w:type="dxa"/>
              <w:end w:w="68" w:type="dxa"/>
            </w:tcMar>
          </w:tcPr>
          <w:p w14:paraId="6CB7C520">
            <w:pPr>
              <w:spacing w:after="0" w:line="240" w:lineRule="auto" w:before="0"/>
            </w:pPr>
            <w:r>
              <w:rPr>
                <w:rFonts w:ascii="Times New Roman" w:hAnsi="Times New Roman" w:eastAsia="Times New Roman" w:cs="Times New Roman"/>
                <w:b w:val="0"/>
                <w:sz w:val="14"/>
              </w:rPr>
              <w:t>RWKV-4-World-430M</w:t>
            </w:r>
          </w:p>
        </w:tc>
        <w:tc>
          <w:tcPr>
            <w:tcW w:w="1092" w:type="dxa"/>
            <w:vAlign w:val="center"/>
            <w:tcMar>
              <w:top w:w="65" w:type="dxa"/>
              <w:start w:w="68" w:type="dxa"/>
              <w:bottom w:w="65" w:type="dxa"/>
              <w:end w:w="68" w:type="dxa"/>
            </w:tcMar>
          </w:tcPr>
          <w:p w14:paraId="44FA895B">
            <w:pPr>
              <w:spacing w:after="0" w:line="240" w:lineRule="auto" w:before="0"/>
            </w:pPr>
            <w:r>
              <w:rPr>
                <w:rFonts w:ascii="Times New Roman" w:hAnsi="Times New Roman" w:eastAsia="Times New Roman" w:cs="Times New Roman"/>
                <w:b w:val="0"/>
                <w:sz w:val="14"/>
              </w:rPr>
              <w:t>63.1</w:t>
            </w:r>
          </w:p>
        </w:tc>
        <w:tc>
          <w:tcPr>
            <w:tcW w:w="1092" w:type="dxa"/>
            <w:vAlign w:val="center"/>
            <w:tcMar>
              <w:top w:w="65" w:type="dxa"/>
              <w:start w:w="68" w:type="dxa"/>
              <w:bottom w:w="65" w:type="dxa"/>
              <w:end w:w="68" w:type="dxa"/>
            </w:tcMar>
          </w:tcPr>
          <w:p w14:paraId="43E5347C">
            <w:pPr>
              <w:spacing w:after="0" w:line="240" w:lineRule="auto" w:before="0"/>
            </w:pPr>
            <w:r>
              <w:rPr>
                <w:rFonts w:ascii="Times New Roman" w:hAnsi="Times New Roman" w:eastAsia="Times New Roman" w:cs="Times New Roman"/>
                <w:b w:val="0"/>
                <w:sz w:val="14"/>
              </w:rPr>
              <w:t>33.0</w:t>
            </w:r>
          </w:p>
        </w:tc>
        <w:tc>
          <w:tcPr>
            <w:tcW w:w="1092" w:type="dxa"/>
            <w:vAlign w:val="center"/>
            <w:tcMar>
              <w:top w:w="65" w:type="dxa"/>
              <w:start w:w="68" w:type="dxa"/>
              <w:bottom w:w="65" w:type="dxa"/>
              <w:end w:w="68" w:type="dxa"/>
            </w:tcMar>
          </w:tcPr>
          <w:p w14:paraId="4408D1CF">
            <w:pPr>
              <w:spacing w:after="0" w:line="240" w:lineRule="auto" w:before="0"/>
            </w:pPr>
            <w:r>
              <w:rPr>
                <w:rFonts w:ascii="Times New Roman" w:hAnsi="Times New Roman" w:eastAsia="Times New Roman" w:cs="Times New Roman"/>
                <w:b w:val="0"/>
                <w:sz w:val="14"/>
              </w:rPr>
              <w:t>0.158</w:t>
            </w:r>
          </w:p>
        </w:tc>
        <w:tc>
          <w:tcPr>
            <w:tcW w:w="1092" w:type="dxa"/>
            <w:vAlign w:val="center"/>
            <w:tcMar>
              <w:top w:w="65" w:type="dxa"/>
              <w:start w:w="68" w:type="dxa"/>
              <w:bottom w:w="65" w:type="dxa"/>
              <w:end w:w="68" w:type="dxa"/>
            </w:tcMar>
          </w:tcPr>
          <w:p w14:paraId="0784A909">
            <w:pPr>
              <w:spacing w:after="0" w:line="240" w:lineRule="auto" w:before="0"/>
            </w:pPr>
            <w:r>
              <w:rPr>
                <w:rFonts w:ascii="Times New Roman" w:hAnsi="Times New Roman" w:eastAsia="Times New Roman" w:cs="Times New Roman"/>
                <w:b w:val="0"/>
                <w:sz w:val="14"/>
              </w:rPr>
              <w:t>29</w:t>
            </w:r>
          </w:p>
        </w:tc>
        <w:tc>
          <w:tcPr>
            <w:tcW w:w="1092" w:type="dxa"/>
            <w:vAlign w:val="center"/>
            <w:tcMar>
              <w:top w:w="65" w:type="dxa"/>
              <w:start w:w="68" w:type="dxa"/>
              <w:bottom w:w="65" w:type="dxa"/>
              <w:end w:w="68" w:type="dxa"/>
            </w:tcMar>
          </w:tcPr>
          <w:p w14:paraId="12E32D26">
            <w:pPr>
              <w:spacing w:after="0" w:line="240" w:lineRule="auto" w:before="0"/>
            </w:pPr>
            <w:r>
              <w:rPr>
                <w:rFonts w:ascii="Times New Roman" w:hAnsi="Times New Roman" w:eastAsia="Times New Roman" w:cs="Times New Roman"/>
                <w:b w:val="0"/>
                <w:sz w:val="14"/>
              </w:rPr>
              <w:t>0 / 0</w:t>
            </w:r>
          </w:p>
        </w:tc>
        <w:tc>
          <w:tcPr>
            <w:tcW w:w="1092" w:type="dxa"/>
            <w:vAlign w:val="center"/>
            <w:tcMar>
              <w:top w:w="65" w:type="dxa"/>
              <w:start w:w="68" w:type="dxa"/>
              <w:bottom w:w="65" w:type="dxa"/>
              <w:end w:w="68" w:type="dxa"/>
            </w:tcMar>
          </w:tcPr>
          <w:p w14:paraId="2CD22565">
            <w:pPr>
              <w:spacing w:after="0" w:line="240" w:lineRule="auto" w:before="0"/>
            </w:pPr>
            <w:r>
              <w:rPr>
                <w:rFonts w:ascii="Times New Roman" w:hAnsi="Times New Roman" w:eastAsia="Times New Roman" w:cs="Times New Roman"/>
                <w:b w:val="0"/>
                <w:sz w:val="14"/>
              </w:rPr>
              <w:t>1</w:t>
            </w:r>
          </w:p>
        </w:tc>
        <w:tc>
          <w:tcPr>
            <w:tcW w:w="1092" w:type="dxa"/>
            <w:vAlign w:val="center"/>
            <w:tcMar>
              <w:top w:w="65" w:type="dxa"/>
              <w:start w:w="68" w:type="dxa"/>
              <w:bottom w:w="65" w:type="dxa"/>
              <w:end w:w="68" w:type="dxa"/>
            </w:tcMar>
          </w:tcPr>
          <w:p w14:paraId="57819077">
            <w:pPr>
              <w:spacing w:after="0" w:line="240" w:lineRule="auto" w:before="0"/>
            </w:pPr>
            <w:r>
              <w:rPr>
                <w:rFonts w:ascii="Times New Roman" w:hAnsi="Times New Roman" w:eastAsia="Times New Roman" w:cs="Times New Roman"/>
                <w:b w:val="0"/>
                <w:sz w:val="14"/>
              </w:rPr>
              <w:t>0 / 13</w:t>
            </w:r>
          </w:p>
        </w:tc>
        <w:tc>
          <w:tcPr>
            <w:tcW w:w="1092" w:type="dxa"/>
            <w:vAlign w:val="center"/>
            <w:tcMar>
              <w:top w:w="65" w:type="dxa"/>
              <w:start w:w="68" w:type="dxa"/>
              <w:bottom w:w="65" w:type="dxa"/>
              <w:end w:w="68" w:type="dxa"/>
            </w:tcMar>
          </w:tcPr>
          <w:p w14:paraId="2216EFB1">
            <w:pPr>
              <w:spacing w:after="0" w:line="240" w:lineRule="auto" w:before="0"/>
            </w:pPr>
            <w:r>
              <w:rPr>
                <w:rFonts w:ascii="Times New Roman" w:hAnsi="Times New Roman" w:eastAsia="Times New Roman" w:cs="Times New Roman"/>
                <w:b w:val="0"/>
                <w:sz w:val="14"/>
              </w:rPr>
              <w:t>3/20</w:t>
            </w:r>
          </w:p>
        </w:tc>
      </w:tr>
      <w:tr w14:paraId="0A58A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092" w:type="dxa"/>
            <w:vAlign w:val="center"/>
            <w:tcMar>
              <w:top w:w="65" w:type="dxa"/>
              <w:start w:w="68" w:type="dxa"/>
              <w:bottom w:w="65" w:type="dxa"/>
              <w:end w:w="68" w:type="dxa"/>
            </w:tcMar>
          </w:tcPr>
          <w:p w14:paraId="588689E3">
            <w:pPr>
              <w:spacing w:after="0" w:line="240" w:lineRule="auto" w:before="0"/>
            </w:pPr>
            <w:r>
              <w:rPr>
                <w:rFonts w:ascii="Times New Roman" w:hAnsi="Times New Roman" w:eastAsia="Times New Roman" w:cs="Times New Roman"/>
                <w:b w:val="0"/>
                <w:sz w:val="14"/>
              </w:rPr>
              <w:t>Falcon-H1-0.5B-Instruct</w:t>
            </w:r>
          </w:p>
        </w:tc>
        <w:tc>
          <w:tcPr>
            <w:tcW w:w="1092" w:type="dxa"/>
            <w:vAlign w:val="center"/>
            <w:tcMar>
              <w:top w:w="65" w:type="dxa"/>
              <w:start w:w="68" w:type="dxa"/>
              <w:bottom w:w="65" w:type="dxa"/>
              <w:end w:w="68" w:type="dxa"/>
            </w:tcMar>
          </w:tcPr>
          <w:p w14:paraId="638EB8CB">
            <w:pPr>
              <w:spacing w:after="0" w:line="240" w:lineRule="auto" w:before="0"/>
            </w:pPr>
            <w:r>
              <w:rPr>
                <w:rFonts w:ascii="Times New Roman" w:hAnsi="Times New Roman" w:eastAsia="Times New Roman" w:cs="Times New Roman"/>
                <w:b w:val="0"/>
                <w:sz w:val="14"/>
              </w:rPr>
              <w:t>79.0</w:t>
            </w:r>
          </w:p>
        </w:tc>
        <w:tc>
          <w:tcPr>
            <w:tcW w:w="1092" w:type="dxa"/>
            <w:vAlign w:val="center"/>
            <w:tcMar>
              <w:top w:w="65" w:type="dxa"/>
              <w:start w:w="68" w:type="dxa"/>
              <w:bottom w:w="65" w:type="dxa"/>
              <w:end w:w="68" w:type="dxa"/>
            </w:tcMar>
          </w:tcPr>
          <w:p w14:paraId="3562A72C">
            <w:pPr>
              <w:spacing w:after="0" w:line="240" w:lineRule="auto" w:before="0"/>
            </w:pPr>
            <w:r>
              <w:rPr>
                <w:rFonts w:ascii="Times New Roman" w:hAnsi="Times New Roman" w:eastAsia="Times New Roman" w:cs="Times New Roman"/>
                <w:b w:val="0"/>
                <w:sz w:val="14"/>
              </w:rPr>
              <w:t>45.5</w:t>
            </w:r>
          </w:p>
        </w:tc>
        <w:tc>
          <w:tcPr>
            <w:tcW w:w="1092" w:type="dxa"/>
            <w:vAlign w:val="center"/>
            <w:tcMar>
              <w:top w:w="65" w:type="dxa"/>
              <w:start w:w="68" w:type="dxa"/>
              <w:bottom w:w="65" w:type="dxa"/>
              <w:end w:w="68" w:type="dxa"/>
            </w:tcMar>
          </w:tcPr>
          <w:p w14:paraId="19B0CF97">
            <w:pPr>
              <w:spacing w:after="0" w:line="240" w:lineRule="auto" w:before="0"/>
            </w:pPr>
            <w:r>
              <w:rPr>
                <w:rFonts w:ascii="Times New Roman" w:hAnsi="Times New Roman" w:eastAsia="Times New Roman" w:cs="Times New Roman"/>
                <w:b w:val="0"/>
                <w:sz w:val="14"/>
              </w:rPr>
              <w:t>0.039</w:t>
            </w:r>
          </w:p>
        </w:tc>
        <w:tc>
          <w:tcPr>
            <w:tcW w:w="1092" w:type="dxa"/>
            <w:vAlign w:val="center"/>
            <w:tcMar>
              <w:top w:w="65" w:type="dxa"/>
              <w:start w:w="68" w:type="dxa"/>
              <w:bottom w:w="65" w:type="dxa"/>
              <w:end w:w="68" w:type="dxa"/>
            </w:tcMar>
          </w:tcPr>
          <w:p w14:paraId="0426CE21">
            <w:pPr>
              <w:spacing w:after="0" w:line="240" w:lineRule="auto" w:before="0"/>
            </w:pPr>
            <w:r>
              <w:rPr>
                <w:rFonts w:ascii="Times New Roman" w:hAnsi="Times New Roman" w:eastAsia="Times New Roman" w:cs="Times New Roman"/>
                <w:b w:val="0"/>
                <w:sz w:val="14"/>
              </w:rPr>
              <w:t>6</w:t>
            </w:r>
          </w:p>
        </w:tc>
        <w:tc>
          <w:tcPr>
            <w:tcW w:w="1092" w:type="dxa"/>
            <w:vAlign w:val="center"/>
            <w:tcMar>
              <w:top w:w="65" w:type="dxa"/>
              <w:start w:w="68" w:type="dxa"/>
              <w:bottom w:w="65" w:type="dxa"/>
              <w:end w:w="68" w:type="dxa"/>
            </w:tcMar>
          </w:tcPr>
          <w:p w14:paraId="3FDA5628">
            <w:pPr>
              <w:spacing w:after="0" w:line="240" w:lineRule="auto" w:before="0"/>
            </w:pPr>
            <w:r>
              <w:rPr>
                <w:rFonts w:ascii="Times New Roman" w:hAnsi="Times New Roman" w:eastAsia="Times New Roman" w:cs="Times New Roman"/>
                <w:b w:val="0"/>
                <w:sz w:val="14"/>
              </w:rPr>
              <w:t>0 / 0</w:t>
            </w:r>
          </w:p>
        </w:tc>
        <w:tc>
          <w:tcPr>
            <w:tcW w:w="1092" w:type="dxa"/>
            <w:vAlign w:val="center"/>
            <w:tcMar>
              <w:top w:w="65" w:type="dxa"/>
              <w:start w:w="68" w:type="dxa"/>
              <w:bottom w:w="65" w:type="dxa"/>
              <w:end w:w="68" w:type="dxa"/>
            </w:tcMar>
          </w:tcPr>
          <w:p w14:paraId="6BB26A4E">
            <w:pPr>
              <w:spacing w:after="0" w:line="240" w:lineRule="auto" w:before="0"/>
            </w:pPr>
            <w:r>
              <w:rPr>
                <w:rFonts w:ascii="Times New Roman" w:hAnsi="Times New Roman" w:eastAsia="Times New Roman" w:cs="Times New Roman"/>
                <w:b w:val="0"/>
                <w:sz w:val="14"/>
              </w:rPr>
              <w:t>0</w:t>
            </w:r>
          </w:p>
        </w:tc>
        <w:tc>
          <w:tcPr>
            <w:tcW w:w="1092" w:type="dxa"/>
            <w:vAlign w:val="center"/>
            <w:tcMar>
              <w:top w:w="65" w:type="dxa"/>
              <w:start w:w="68" w:type="dxa"/>
              <w:bottom w:w="65" w:type="dxa"/>
              <w:end w:w="68" w:type="dxa"/>
            </w:tcMar>
          </w:tcPr>
          <w:p w14:paraId="047D0A70">
            <w:pPr>
              <w:spacing w:after="0" w:line="240" w:lineRule="auto" w:before="0"/>
            </w:pPr>
            <w:r>
              <w:rPr>
                <w:rFonts w:ascii="Times New Roman" w:hAnsi="Times New Roman" w:eastAsia="Times New Roman" w:cs="Times New Roman"/>
                <w:b w:val="0"/>
                <w:sz w:val="14"/>
              </w:rPr>
              <w:t>0 / 25</w:t>
            </w:r>
          </w:p>
        </w:tc>
        <w:tc>
          <w:tcPr>
            <w:tcW w:w="1092" w:type="dxa"/>
            <w:vAlign w:val="center"/>
            <w:tcMar>
              <w:top w:w="65" w:type="dxa"/>
              <w:start w:w="68" w:type="dxa"/>
              <w:bottom w:w="65" w:type="dxa"/>
              <w:end w:w="68" w:type="dxa"/>
            </w:tcMar>
          </w:tcPr>
          <w:p w14:paraId="2F991243">
            <w:pPr>
              <w:spacing w:after="0" w:line="240" w:lineRule="auto" w:before="0"/>
            </w:pPr>
            <w:r>
              <w:rPr>
                <w:rFonts w:ascii="Times New Roman" w:hAnsi="Times New Roman" w:eastAsia="Times New Roman" w:cs="Times New Roman"/>
                <w:b w:val="0"/>
                <w:sz w:val="14"/>
              </w:rPr>
              <w:t>16/20</w:t>
            </w:r>
          </w:p>
        </w:tc>
      </w:tr>
    </w:tbl>
    <w:p>
      <w:pPr/>
      <w:r>
        <w:t>Generation-health qualification (CS10). The Mamba health flags (120/120 repetition flags; 68 template echoes; 104 nonterminal completions) can overlap for the same output and were measured by technical heuristics. Such behaviour can co-occur with a response-level semantic failure or can make discourse analysis less determinate. The analysis does not include a separately validated control proving that an apparent off-task or structural label is caused by semantic rather than sequence-generation failure. Technical signatures must not be reinterpreted as intrinsic architectural semantic deficits.</w:t>
      </w:r>
    </w:p>
    <w:p>
      <w:pPr>
        <w:widowControl/>
      </w:pPr>
      <w:r>
        <w:t>Technical-output and crossed task × generator diagnostics are retained as post-hoc provenance checks rather than generator-quality comparisons. They quantify visible repetition/degeneration and pre-resolution disagreement burden in the frozen outputs, helping to motivate later shortcut-sensitivity analyses. Because the six checkpoints were purposively selected and differ in architecture, scale, tuning, prompting, and decoding history, checkpoint-level differences are not interpreted causally or ranked as model performance.</w:t>
      </w:r>
    </w:p>
    <w:p w14:paraId="2E7E13A9">
      <w:pPr>
        <w:pStyle w:val="2"/>
        <w:keepNext/>
        <w:keepLines/>
        <w:pageBreakBefore w:val="0"/>
        <w:spacing w:before="200" w:after="80"/>
      </w:pPr>
      <w:r>
        <w:rPr>
          <w:color w:val="000000"/>
        </w:rPr>
        <w:t>S6. Senior Adjudication, Targeted Manual-Consistency Re-Review, and Final Consistency Freeze</w:t>
      </w:r>
    </w:p>
    <w:p w14:paraId="65CDF919">
      <w:pPr>
        <w:pStyle w:val="3"/>
        <w:keepNext/>
        <w:keepLines/>
        <w:pageBreakBefore w:val="0"/>
        <w:spacing w:before="140" w:after="80"/>
      </w:pPr>
      <w:r>
        <w:rPr>
          <w:color w:val="000000"/>
        </w:rPr>
        <w:t>S6.1 Human resolution and freeze workflow</w:t>
      </w:r>
    </w:p>
    <w:p>
      <w:pPr>
        <w:jc w:val="both"/>
      </w:pPr>
      <w:r>
        <w:rPr>
          <w:rFonts w:ascii="Times New Roman" w:hAnsi="Times New Roman"/>
          <w:b/>
          <w:sz w:val="20"/>
        </w:rPr>
        <w:t>Reference-construction strata.</w:t>
      </w:r>
      <w:r>
        <w:rPr>
          <w:rFonts w:ascii="Times New Roman" w:hAnsi="Times New Roman"/>
          <w:sz w:val="20"/>
        </w:rPr>
        <w:t xml:space="preserve"> The 297 cases whose structured ratings were unanimous retained their A1–A3 consensus and did not receive a new A4 judgment. A4 received the underlying rater decisions when resolving the other 423 mechanically queued cases. The later 29-case re-review was deliberately enriched for manual-consistency concerns, completed by the same adjudicator, and revised 27 cases, including nine changes to failure status. Neither the 29-case proportions nor consensus status establish an independently estimated GOLD mislabelling rate. The final file remains a frozen workflow-adjudicated operational reference.</w:t>
      </w:r>
    </w:p>
    <w:p>
      <w:pPr/>
      <w:r>
        <w:t>Adjudication-trigger interpretation. Cases were queued if any of the six structured fields differed, even when the main primary, boundary and ordinal-severity decisions agreed. Consequently, 423/720 describes the union of triggers and is not the disagreement prevalence of an individual variable or an inter-rater reliability estimate for secondary labels, HREF subtype or ambiguity flags. The complete distribution of individual trigger-field activations is not established by the reported 423-case union and is not fabricated here. The 297 unanimous cases and 423 resolved cases have different scrutiny histories and neither group supplies an external criterion error rate.</w:t>
      </w:r>
    </w:p>
    <w:p w14:paraId="52CF237E">
      <w:pPr>
        <w:pStyle w:val="16"/>
        <w:keepNext/>
        <w:keepLines/>
        <w:spacing w:before="120" w:after="60"/>
        <w:jc w:val="left"/>
      </w:pPr>
      <w:r>
        <w:t>Table S38. Human resolution, senior adjudication, targeted manual-consistency re-review, and FINAL GOLD freeze workflow.</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3373"/>
        <w:gridCol w:w="3373"/>
        <w:gridCol w:w="3373"/>
      </w:tblGrid>
      <w:tr w14:paraId="1407034D">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tblHeader w:val="true"/>
          <w:jc w:val="center"/>
          <w:tblHeader w:val="true"/>
        </w:trPr>
        <w:tc>
          <w:tcPr>
            <w:tcW w:w="648"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6"/>
              </w:rPr>
              <w:t>Step</w:t>
            </w:r>
          </w:p>
        </w:tc>
        <w:tc>
          <w:tcPr>
            <w:tcW w:w="6552"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6"/>
              </w:rPr>
              <w:t>Action</w:t>
            </w:r>
          </w:p>
        </w:tc>
        <w:tc>
          <w:tcPr>
            <w:tcW w:w="2232"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6"/>
              </w:rPr>
              <w:t>Cases/output</w:t>
            </w:r>
          </w:p>
        </w:tc>
      </w:tr>
      <w:tr w14:paraId="0052E9F7">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648"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1</w:t>
            </w:r>
          </w:p>
        </w:tc>
        <w:tc>
          <w:tcPr>
            <w:tcW w:w="6552"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Freeze authoritative A1–A3 workbooks and calculate all reliability estimates.</w:t>
            </w:r>
          </w:p>
        </w:tc>
        <w:tc>
          <w:tcPr>
            <w:tcW w:w="2232"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2,160 locked pre-resolution ratings; 720 cases.</w:t>
            </w:r>
          </w:p>
        </w:tc>
      </w:tr>
      <w:tr w14:paraId="55FE8178">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648"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2</w:t>
            </w:r>
          </w:p>
        </w:tc>
        <w:tc>
          <w:tcPr>
            <w:tcW w:w="6552"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Preserve consensus/majority/median and manual-review provenance without modifying original rater files.</w:t>
            </w:r>
          </w:p>
        </w:tc>
        <w:tc>
          <w:tcPr>
            <w:tcW w:w="2232"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Derived resolution layer only.</w:t>
            </w:r>
          </w:p>
        </w:tc>
      </w:tr>
      <w:tr w14:paraId="18E45000">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648"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3</w:t>
            </w:r>
          </w:p>
        </w:tc>
        <w:tc>
          <w:tcPr>
            <w:tcW w:w="6552" w:type="dxa"/>
            <w:tcMar>
              <w:top w:w="65" w:type="dxa"/>
              <w:left w:w="70" w:type="dxa"/>
              <w:bottom w:w="65" w:type="dxa"/>
              <w:right w:w="70" w:type="dxa"/>
              <w:start w:w="68" w:type="dxa"/>
              <w:end w:w="68" w:type="dxa"/>
            </w:tcMar>
            <w:vAlign w:val="center"/>
          </w:tcPr>
          <w:p>
            <w:pPr>
              <w:spacing w:before="0" w:after="0"/>
            </w:pPr>
            <w:r>
              <w:rPr>
                <w:rFonts w:ascii="Times New Roman" w:hAnsi="Times New Roman"/>
                <w:sz w:val="16"/>
              </w:rPr>
            </w:r>
            <w:r>
              <w:rPr>
                <w:rFonts w:ascii="Times New Roman" w:hAnsi="Times New Roman"/>
                <w:b w:val="0"/>
                <w:sz w:val="16"/>
              </w:rPr>
              <w:t>A4 adjudicates every case with disagreement in at least one structured field (primary, secondary, boundary, severity, HREF subtype, or ambiguity flag) using the locked manual, case evidence, and submitted A1–A3 annotations.</w:t>
            </w:r>
          </w:p>
        </w:tc>
        <w:tc>
          <w:tcPr>
            <w:tcW w:w="2232" w:type="dxa"/>
            <w:tcMar>
              <w:top w:w="65" w:type="dxa"/>
              <w:left w:w="70" w:type="dxa"/>
              <w:bottom w:w="65" w:type="dxa"/>
              <w:right w:w="70" w:type="dxa"/>
              <w:start w:w="68" w:type="dxa"/>
              <w:end w:w="68" w:type="dxa"/>
            </w:tcMar>
            <w:vAlign w:val="center"/>
          </w:tcPr>
          <w:p>
            <w:pPr>
              <w:spacing w:before="0" w:after="0"/>
            </w:pPr>
            <w:r>
              <w:rPr>
                <w:rFonts w:ascii="Times New Roman" w:hAnsi="Times New Roman"/>
                <w:sz w:val="16"/>
              </w:rPr>
            </w:r>
            <w:r>
              <w:rPr>
                <w:rFonts w:ascii="Times New Roman" w:hAnsi="Times New Roman"/>
                <w:b w:val="0"/>
                <w:sz w:val="16"/>
              </w:rPr>
              <w:t>423 cases; A4 is not an independent fourth IAA rater.</w:t>
            </w:r>
          </w:p>
        </w:tc>
      </w:tr>
      <w:tr w14:paraId="680A63DB">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648"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4</w:t>
            </w:r>
          </w:p>
        </w:tc>
        <w:tc>
          <w:tcPr>
            <w:tcW w:w="6552" w:type="dxa"/>
            <w:tcMar>
              <w:top w:w="65" w:type="dxa"/>
              <w:left w:w="70" w:type="dxa"/>
              <w:bottom w:w="65" w:type="dxa"/>
              <w:right w:w="70" w:type="dxa"/>
              <w:start w:w="68" w:type="dxa"/>
              <w:end w:w="68" w:type="dxa"/>
            </w:tcMar>
            <w:vAlign w:val="center"/>
          </w:tcPr>
          <w:p>
            <w:pPr>
              <w:spacing w:before="0" w:after="0"/>
            </w:pPr>
            <w:r>
              <w:rPr>
                <w:rFonts w:ascii="Times New Roman" w:hAnsi="Times New Roman"/>
                <w:sz w:val="16"/>
              </w:rPr>
            </w:r>
            <w:r>
              <w:rPr>
                <w:rFonts w:ascii="Times New Roman" w:hAnsi="Times New Roman"/>
                <w:b w:val="0"/>
                <w:sz w:val="16"/>
              </w:rPr>
              <w:t>Project lead audits A4 closures against the locked manual and flags potentially inconsistent boundary/evidence/taxonomy decisions for same-adjudicator re-review.</w:t>
            </w:r>
          </w:p>
        </w:tc>
        <w:tc>
          <w:tcPr>
            <w:tcW w:w="2232" w:type="dxa"/>
            <w:tcMar>
              <w:top w:w="65" w:type="dxa"/>
              <w:left w:w="70" w:type="dxa"/>
              <w:bottom w:w="65" w:type="dxa"/>
              <w:right w:w="70" w:type="dxa"/>
              <w:start w:w="68" w:type="dxa"/>
              <w:end w:w="68" w:type="dxa"/>
            </w:tcMar>
            <w:vAlign w:val="center"/>
          </w:tcPr>
          <w:p>
            <w:pPr>
              <w:spacing w:before="0" w:after="0"/>
            </w:pPr>
            <w:r>
              <w:rPr>
                <w:rFonts w:ascii="Times New Roman" w:hAnsi="Times New Roman"/>
                <w:sz w:val="16"/>
              </w:rPr>
            </w:r>
            <w:r>
              <w:rPr>
                <w:rFonts w:ascii="Times New Roman" w:hAnsi="Times New Roman"/>
                <w:b w:val="0"/>
                <w:sz w:val="16"/>
              </w:rPr>
              <w:t>29 targeted cases.</w:t>
            </w:r>
          </w:p>
        </w:tc>
      </w:tr>
      <w:tr w14:paraId="347B5C23">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648"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5</w:t>
            </w:r>
          </w:p>
        </w:tc>
        <w:tc>
          <w:tcPr>
            <w:tcW w:w="6552" w:type="dxa"/>
            <w:tcMar>
              <w:top w:w="65" w:type="dxa"/>
              <w:left w:w="70" w:type="dxa"/>
              <w:bottom w:w="65" w:type="dxa"/>
              <w:right w:w="70" w:type="dxa"/>
              <w:start w:w="68" w:type="dxa"/>
              <w:end w:w="68" w:type="dxa"/>
            </w:tcMar>
            <w:vAlign w:val="center"/>
          </w:tcPr>
          <w:p>
            <w:pPr>
              <w:spacing w:before="0" w:after="0"/>
            </w:pPr>
            <w:r>
              <w:rPr>
                <w:rFonts w:ascii="Times New Roman" w:hAnsi="Times New Roman"/>
                <w:sz w:val="16"/>
              </w:rPr>
            </w:r>
            <w:r>
              <w:rPr>
                <w:rFonts w:ascii="Times New Roman" w:hAnsi="Times New Roman"/>
                <w:b w:val="0"/>
                <w:sz w:val="16"/>
              </w:rPr>
              <w:t>A4 re-reviews the 29 flagged cases under the same locked manual; no A1–A3 communication.</w:t>
            </w:r>
          </w:p>
        </w:tc>
        <w:tc>
          <w:tcPr>
            <w:tcW w:w="2232" w:type="dxa"/>
            <w:tcMar>
              <w:top w:w="65" w:type="dxa"/>
              <w:left w:w="70" w:type="dxa"/>
              <w:bottom w:w="65" w:type="dxa"/>
              <w:right w:w="70" w:type="dxa"/>
              <w:start w:w="68" w:type="dxa"/>
              <w:end w:w="68" w:type="dxa"/>
            </w:tcMar>
            <w:vAlign w:val="center"/>
          </w:tcPr>
          <w:p>
            <w:pPr>
              <w:spacing w:before="0" w:after="0"/>
            </w:pPr>
            <w:r>
              <w:rPr>
                <w:rFonts w:ascii="Times New Roman" w:hAnsi="Times New Roman"/>
                <w:sz w:val="16"/>
              </w:rPr>
            </w:r>
            <w:r>
              <w:rPr>
                <w:rFonts w:ascii="Times New Roman" w:hAnsi="Times New Roman"/>
                <w:b w:val="0"/>
                <w:sz w:val="16"/>
              </w:rPr>
              <w:t>29 re-review decisions.</w:t>
            </w:r>
          </w:p>
        </w:tc>
      </w:tr>
      <w:tr w14:paraId="401DFCFC">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648"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6</w:t>
            </w:r>
          </w:p>
        </w:tc>
        <w:tc>
          <w:tcPr>
            <w:tcW w:w="6552" w:type="dxa"/>
            <w:tcMar>
              <w:top w:w="65" w:type="dxa"/>
              <w:left w:w="70" w:type="dxa"/>
              <w:bottom w:w="65" w:type="dxa"/>
              <w:right w:w="70" w:type="dxa"/>
              <w:start w:w="68" w:type="dxa"/>
              <w:end w:w="68" w:type="dxa"/>
            </w:tcMar>
            <w:vAlign w:val="center"/>
          </w:tcPr>
          <w:p>
            <w:pPr>
              <w:spacing w:before="0" w:after="0"/>
            </w:pPr>
            <w:r>
              <w:rPr>
                <w:rFonts w:ascii="Times New Roman" w:hAnsi="Times New Roman"/>
                <w:sz w:val="16"/>
              </w:rPr>
            </w:r>
            <w:r>
              <w:rPr>
                <w:rFonts w:ascii="Times New Roman" w:hAnsi="Times New Roman"/>
                <w:b w:val="0"/>
                <w:sz w:val="16"/>
              </w:rPr>
              <w:t>Close targeted re-review.</w:t>
            </w:r>
          </w:p>
        </w:tc>
        <w:tc>
          <w:tcPr>
            <w:tcW w:w="2232" w:type="dxa"/>
            <w:tcMar>
              <w:top w:w="65" w:type="dxa"/>
              <w:left w:w="70" w:type="dxa"/>
              <w:bottom w:w="65" w:type="dxa"/>
              <w:right w:w="70" w:type="dxa"/>
              <w:start w:w="68" w:type="dxa"/>
              <w:end w:w="68" w:type="dxa"/>
            </w:tcMar>
            <w:vAlign w:val="center"/>
          </w:tcPr>
          <w:p>
            <w:pPr>
              <w:spacing w:before="0" w:after="0"/>
            </w:pPr>
            <w:r>
              <w:rPr>
                <w:rFonts w:ascii="Times New Roman" w:hAnsi="Times New Roman"/>
                <w:sz w:val="16"/>
              </w:rPr>
            </w:r>
            <w:r>
              <w:rPr>
                <w:rFonts w:ascii="Times New Roman" w:hAnsi="Times New Roman"/>
                <w:b w:val="0"/>
                <w:sz w:val="16"/>
              </w:rPr>
              <w:t>27 REVISE_TO_REREVIEW; 2 CONFIRM_CURRENT.</w:t>
            </w:r>
          </w:p>
        </w:tc>
      </w:tr>
      <w:tr w14:paraId="0C025DED">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648"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7</w:t>
            </w:r>
          </w:p>
        </w:tc>
        <w:tc>
          <w:tcPr>
            <w:tcW w:w="6552"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Apply deterministic published overlap-rule consistency pass.</w:t>
            </w:r>
          </w:p>
        </w:tc>
        <w:tc>
          <w:tcPr>
            <w:tcW w:w="2232"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4 primary/secondary swaps; no failure/boundary/severity changes.</w:t>
            </w:r>
          </w:p>
        </w:tc>
      </w:tr>
      <w:tr>
        <w:trPr>
          <w:cantSplit w:val="true"/>
        </w:trPr>
        <w:tc>
          <w:tcPr>
            <w:tcW w:type="dxa" w:w="3373"/>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8</w:t>
            </w:r>
          </w:p>
        </w:tc>
        <w:tc>
          <w:tcPr>
            <w:tcW w:type="dxa" w:w="3373"/>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Freeze FINAL GOLD v1.0.</w:t>
            </w:r>
          </w:p>
        </w:tc>
        <w:tc>
          <w:tcPr>
            <w:tcW w:type="dxa" w:w="3373"/>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720 final reference rows; 474 failure; 246 no_failure.</w:t>
            </w:r>
          </w:p>
        </w:tc>
      </w:tr>
    </w:tbl>
    <w:p w14:paraId="27C1EF92">
      <w:pPr>
        <w:pStyle w:val="3"/>
        <w:keepNext/>
        <w:keepLines/>
        <w:pageBreakBefore w:val="0"/>
        <w:spacing w:before="140" w:after="80"/>
      </w:pPr>
      <w:r>
        <w:t>S6.2 Targeted manual-consistency re-review outcomes and consistency normalisation</w:t>
      </w:r>
    </w:p>
    <w:p>
      <w:pPr/>
      <w:r>
        <w:t>The 29-case re-review was conducted by the same adjudicator, not an independent expert. The archived study record contains no randomly selected, independently blinded senior-validation sample. The reported inter-rater agreement therefore refers exclusively to A1–A3 before adjudication, and FINAL GOLD is an operational reference rather than independently established ground truth.</w:t>
      </w:r>
    </w:p>
    <w:p>
      <w:pPr/>
      <w:r>
        <w:t>Gold-reference conditioning limit. The original annotators contributed decisions to both consensus-preserved and A4-informed GOLD cases. Their later macro-F1/ordinal concordance with this GOLD reference is therefore internal reference compatibility; it is not an independent human performance ceiling or validation of the model targets. Likewise, 27 revisions in the targeted 29-case re-review cannot be extrapolated to the unreviewed population.</w:t>
      </w:r>
    </w:p>
    <w:p>
      <w:pPr>
        <w:keepNext/>
      </w:pPr>
      <w:r>
        <w:t>Table S39. Targeted manual-consistency re-review and final consistency-freeze summary.</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2656"/>
        <w:gridCol w:w="2677"/>
        <w:gridCol w:w="3424"/>
        <w:gridCol w:w="1541"/>
      </w:tblGrid>
      <w:tr w14:paraId="684748AD">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tblHeader w:val="true"/>
          <w:jc w:val="center"/>
          <w:tblHeader w:val="true"/>
        </w:trPr>
        <w:tc>
          <w:tcPr>
            <w:tcW w:w="3168"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6"/>
              </w:rPr>
              <w:t>Measure</w:t>
            </w:r>
          </w:p>
        </w:tc>
        <w:tc>
          <w:tcPr>
            <w:tcW w:w="2088"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6"/>
              </w:rPr>
              <w:t>Targeted pack / final freeze</w:t>
            </w:r>
          </w:p>
        </w:tc>
        <w:tc>
          <w:tcPr>
            <w:tcW w:w="4464" w:type="dxa"/>
            <w:tcMar>
              <w:top w:w="65" w:type="dxa"/>
              <w:left w:w="70" w:type="dxa"/>
              <w:bottom w:w="65" w:type="dxa"/>
              <w:right w:w="70" w:type="dxa"/>
              <w:start w:w="68" w:type="dxa"/>
              <w:end w:w="68" w:type="dxa"/>
            </w:tcMar>
            <w:vAlign w:val="center"/>
            <w:shd w:val="clear" w:color="auto" w:fill="E8F0F8"/>
          </w:tcPr>
          <w:p>
            <w:pPr>
              <w:spacing w:after="0" w:before="0" w:line="240" w:lineRule="auto"/>
              <w:jc w:val="center"/>
            </w:pPr>
            <w:r>
              <w:rPr>
                <w:rFonts w:ascii="Times New Roman" w:hAnsi="Times New Roman" w:eastAsia="Times New Roman" w:cs="Times New Roman"/>
                <w:b/>
                <w:color w:val="1E364D"/>
                <w:sz w:val="16"/>
              </w:rPr>
              <w:t>Observed result</w:t>
            </w:r>
          </w:p>
        </w:tc>
        <w:tc>
          <w:tcPr>
            <w:tcW w:w="1728" w:type="dxa"/>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6"/>
              </w:rPr>
              <w:t>Interpretation</w:t>
            </w:r>
          </w:p>
        </w:tc>
      </w:tr>
      <w:tr w14:paraId="51BECDE1">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3168"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Targeted cases</w:t>
            </w:r>
          </w:p>
        </w:tc>
        <w:tc>
          <w:tcPr>
            <w:tcW w:w="2088"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29</w:t>
            </w:r>
          </w:p>
        </w:tc>
        <w:tc>
          <w:tcPr>
            <w:tcW w:w="446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27 revised; 2 confirmed</w:t>
            </w:r>
          </w:p>
        </w:tc>
        <w:tc>
          <w:tcPr>
            <w:tcW w:w="1728" w:type="dxa"/>
            <w:vAlign w:val="center"/>
            <w:tcMar>
              <w:top w:w="65" w:type="dxa"/>
              <w:start w:w="68" w:type="dxa"/>
              <w:bottom w:w="65" w:type="dxa"/>
              <w:end w:w="68" w:type="dxa"/>
            </w:tcMar>
          </w:tcPr>
          <w:p>
            <w:pPr>
              <w:spacing w:before="0" w:after="0"/>
            </w:pPr>
            <w:r>
              <w:rPr>
                <w:rFonts w:ascii="Times New Roman" w:hAnsi="Times New Roman"/>
                <w:sz w:val="16"/>
              </w:rPr>
              <w:t>Same-adjudicator manual-consistency QC pass</w:t>
            </w:r>
          </w:p>
        </w:tc>
      </w:tr>
      <w:tr w14:paraId="5B1EFBD7">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3168"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Primary-label changes</w:t>
            </w:r>
          </w:p>
        </w:tc>
        <w:tc>
          <w:tcPr>
            <w:tcW w:w="2088"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29-case comparison</w:t>
            </w:r>
          </w:p>
        </w:tc>
        <w:tc>
          <w:tcPr>
            <w:tcW w:w="446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23</w:t>
            </w:r>
          </w:p>
        </w:tc>
        <w:tc>
          <w:tcPr>
            <w:tcW w:w="1728" w:type="dxa"/>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Senior-adjudicator decision</w:t>
            </w:r>
          </w:p>
        </w:tc>
      </w:tr>
      <w:tr w14:paraId="02772D8E">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3168"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Secondary-label changes</w:t>
            </w:r>
          </w:p>
        </w:tc>
        <w:tc>
          <w:tcPr>
            <w:tcW w:w="2088"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29-case comparison</w:t>
            </w:r>
          </w:p>
        </w:tc>
        <w:tc>
          <w:tcPr>
            <w:tcW w:w="446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12</w:t>
            </w:r>
          </w:p>
        </w:tc>
        <w:tc>
          <w:tcPr>
            <w:tcW w:w="1728" w:type="dxa"/>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Senior-adjudicator decision</w:t>
            </w:r>
          </w:p>
        </w:tc>
      </w:tr>
      <w:tr w14:paraId="7DDA8D16">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3168"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Boundary changes</w:t>
            </w:r>
          </w:p>
        </w:tc>
        <w:tc>
          <w:tcPr>
            <w:tcW w:w="2088"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29-case comparison</w:t>
            </w:r>
          </w:p>
        </w:tc>
        <w:tc>
          <w:tcPr>
            <w:tcW w:w="4464" w:type="dxa"/>
            <w:tcMar>
              <w:top w:w="65" w:type="dxa"/>
              <w:left w:w="70" w:type="dxa"/>
              <w:bottom w:w="65" w:type="dxa"/>
              <w:right w:w="70" w:type="dxa"/>
              <w:start w:w="68" w:type="dxa"/>
              <w:end w:w="68" w:type="dxa"/>
            </w:tcMar>
            <w:vAlign w:val="center"/>
          </w:tcPr>
          <w:p>
            <w:pPr>
              <w:spacing w:after="0" w:before="0" w:line="240" w:lineRule="auto"/>
            </w:pPr>
            <w:r>
              <w:rPr>
                <w:rFonts w:ascii="Times New Roman" w:hAnsi="Times New Roman" w:eastAsia="Times New Roman" w:cs="Times New Roman"/>
                <w:b w:val="0"/>
                <w:sz w:val="16"/>
              </w:rPr>
              <w:t>15</w:t>
            </w:r>
          </w:p>
        </w:tc>
        <w:tc>
          <w:tcPr>
            <w:tcW w:w="1728" w:type="dxa"/>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Senior-adjudicator decision</w:t>
            </w:r>
          </w:p>
        </w:tc>
      </w:tr>
      <w:tr w14:paraId="3730182E">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3373" w:type="dxa"/>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Severity changes</w:t>
            </w:r>
          </w:p>
        </w:tc>
        <w:tc>
          <w:tcPr>
            <w:tcW w:w="3373" w:type="dxa"/>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29-case comparison</w:t>
            </w:r>
          </w:p>
        </w:tc>
        <w:tc>
          <w:tcPr>
            <w:tcW w:w="3373" w:type="dxa"/>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21</w:t>
            </w:r>
          </w:p>
        </w:tc>
        <w:tc>
          <w:tcPr>
            <w:tcW w:w="1728" w:type="dxa"/>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Senior-adjudicator decision</w:t>
            </w:r>
          </w:p>
        </w:tc>
      </w:tr>
      <w:tr w14:paraId="2D9E7D2B">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3373" w:type="dxa"/>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HREF-subtype changes</w:t>
            </w:r>
          </w:p>
        </w:tc>
        <w:tc>
          <w:tcPr>
            <w:tcW w:w="3373" w:type="dxa"/>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29-case comparison</w:t>
            </w:r>
          </w:p>
        </w:tc>
        <w:tc>
          <w:tcPr>
            <w:tcW w:w="3373" w:type="dxa"/>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4</w:t>
            </w:r>
          </w:p>
        </w:tc>
        <w:tc>
          <w:tcPr>
            <w:tcW w:w="1728" w:type="dxa"/>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Senior-adjudicator decision</w:t>
            </w:r>
          </w:p>
        </w:tc>
      </w:tr>
      <w:tr w14:paraId="58ACB23D">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3373" w:type="dxa"/>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Failure-status changes</w:t>
            </w:r>
          </w:p>
        </w:tc>
        <w:tc>
          <w:tcPr>
            <w:tcW w:w="3373" w:type="dxa"/>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29-case comparison</w:t>
            </w:r>
          </w:p>
        </w:tc>
        <w:tc>
          <w:tcPr>
            <w:tcW w:w="3373" w:type="dxa"/>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9; all failure → no_failure</w:t>
            </w:r>
          </w:p>
        </w:tc>
        <w:tc>
          <w:tcPr>
            <w:tcW w:w="1728" w:type="dxa"/>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Senior-adjudicator decision</w:t>
            </w:r>
          </w:p>
        </w:tc>
      </w:tr>
      <w:tr w14:paraId="1302FA71">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3373" w:type="dxa"/>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Rule-consistency normalisation</w:t>
            </w:r>
          </w:p>
        </w:tc>
        <w:tc>
          <w:tcPr>
            <w:tcW w:w="3373" w:type="dxa"/>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FINAL GOLD audit</w:t>
            </w:r>
          </w:p>
        </w:tc>
        <w:tc>
          <w:tcPr>
            <w:tcW w:w="3373" w:type="dxa"/>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4 primary/secondary swaps</w:t>
            </w:r>
          </w:p>
        </w:tc>
        <w:tc>
          <w:tcPr>
            <w:tcW w:w="1728" w:type="dxa"/>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Deterministic published-rule application</w:t>
            </w:r>
          </w:p>
        </w:tc>
      </w:tr>
      <w:tr w14:paraId="5C8AE7D7">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3373" w:type="dxa"/>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Remaining primary × boundary violations</w:t>
            </w:r>
          </w:p>
        </w:tc>
        <w:tc>
          <w:tcPr>
            <w:tcW w:w="3373" w:type="dxa"/>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720 final rows</w:t>
            </w:r>
          </w:p>
        </w:tc>
        <w:tc>
          <w:tcPr>
            <w:tcW w:w="3373" w:type="dxa"/>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0</w:t>
            </w:r>
          </w:p>
        </w:tc>
        <w:tc>
          <w:tcPr>
            <w:tcW w:w="1728" w:type="dxa"/>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Consistency gate passed</w:t>
            </w:r>
          </w:p>
        </w:tc>
      </w:tr>
      <w:tr w14:paraId="59296351">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cantSplit w:val="true"/>
          <w:jc w:val="center"/>
        </w:trPr>
        <w:tc>
          <w:tcPr>
            <w:tcW w:w="3373" w:type="dxa"/>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Final failures / no-failure</w:t>
            </w:r>
          </w:p>
        </w:tc>
        <w:tc>
          <w:tcPr>
            <w:tcW w:w="3373" w:type="dxa"/>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720</w:t>
            </w:r>
          </w:p>
        </w:tc>
        <w:tc>
          <w:tcPr>
            <w:tcW w:w="3373" w:type="dxa"/>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474 / 246</w:t>
            </w:r>
          </w:p>
        </w:tc>
        <w:tc>
          <w:tcPr>
            <w:tcW w:w="1728" w:type="dxa"/>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FINAL GOLD v1.0</w:t>
            </w:r>
          </w:p>
        </w:tc>
      </w:tr>
      <w:tr w14:paraId="1EF9505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2656" w:type="dxa"/>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Final severity</w:t>
            </w:r>
          </w:p>
        </w:tc>
        <w:tc>
          <w:tcPr>
            <w:tcW w:w="2677" w:type="dxa"/>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720</w:t>
            </w:r>
          </w:p>
        </w:tc>
        <w:tc>
          <w:tcPr>
            <w:tcW w:w="3424" w:type="dxa"/>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0:246; 1:66; 2:196; 3:212</w:t>
            </w:r>
          </w:p>
        </w:tc>
        <w:tc>
          <w:tcPr>
            <w:tcW w:w="1541" w:type="dxa"/>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FINAL GOLD v1.0</w:t>
            </w:r>
          </w:p>
        </w:tc>
      </w:tr>
    </w:tbl>
    <w:p>
      <w:pPr>
        <w:widowControl/>
      </w:pPr>
      <w:r>
        <w:t>After A4 completed the mechanically selected 423 disagreement cases, a project-lead audit against the locked annotation manual flagged 29 closures for targeted same-adjudicator re-review: 26 boundary-ambiguity checks, one evidence-ambiguity check, and two taxonomy/rationale checks. A4 revised 27 and confirmed two. Within this enriched subset, primary labels changed in 23 cases, secondary labels in 12, boundaries in 15, severity in 21, HREF subtype in four, and failure status in nine; all nine status changes were failure → no_failure. Because selection was targeted and the same adjudicator performed the re-review, these proportions are quality-control outcomes rather than inter-adjudicator reliability or corpus-wide error rates.</w:t>
      </w:r>
    </w:p>
    <w:p>
      <w:pPr>
        <w:widowControl/>
      </w:pPr>
      <w:r>
        <w:t>A final deterministic consistency audit corrected primary/secondary ordering in four overlap cases where the adjudicated semantic/HREF pair had been stored in reverse order. No failure status, boundary, severity, HREF subtype, or underlying label pair changed, and no primary-label × boundary rule violation remains in FINAL GOLD v1.0. The final layer is a senior-adjudicated downstream reference; all human reliability estimates remain anchored to the immutable A1–A3 pre-resolution workbooks.</w:t>
      </w:r>
    </w:p>
    <w:p w14:paraId="58D2F20F">
      <w:pPr>
        <w:pStyle w:val="2"/>
        <w:keepNext/>
        <w:keepLines/>
        <w:pageBreakBefore w:val="0"/>
        <w:spacing w:before="200" w:after="80"/>
      </w:pPr>
      <w:r>
        <w:rPr>
          <w:color w:val="000000"/>
        </w:rPr>
        <w:t>S7. Disagreement Diagnostics and Annotator Marginals</w:t>
      </w:r>
    </w:p>
    <w:p w14:paraId="06526024">
      <w:pPr>
        <w:widowControl/>
        <w:spacing w:after="100" w:line="276" w:lineRule="auto"/>
        <w:jc w:val="both"/>
      </w:pPr>
      <w:r>
        <w:t>The diagnostics in S7 derive from the 720 locked cases containing A1–A3 ratings. Each case contributes three unordered annotator pairs, so pooled counts localise contrasts but are neither independent observations nor additional reliability coefficients. The verification package includes pair-specific and pooled machine-readable matrices. Pair-specific reliability coefficients are reported separately in Tables S25 and S32; the pooled disagreement counts below are localisation diagnostics rather than additional independent observations.</w:t>
      </w:r>
    </w:p>
    <w:p w14:paraId="42ED462E">
      <w:pPr>
        <w:pStyle w:val="3"/>
        <w:keepNext/>
        <w:keepLines/>
        <w:pageBreakBefore w:val="0"/>
        <w:spacing w:before="140" w:after="80"/>
      </w:pPr>
      <w:r>
        <w:rPr>
          <w:color w:val="000000"/>
        </w:rPr>
        <w:t>S7.1 Primary-label disagreement pairs</w:t>
      </w:r>
    </w:p>
    <w:p w14:paraId="44C0BDA6">
      <w:pPr>
        <w:widowControl/>
        <w:spacing w:after="100" w:line="276" w:lineRule="auto"/>
        <w:jc w:val="both"/>
      </w:pPr>
      <w:r>
        <w:t>The main manuscript reports the leading contrasts; S7 provides the complete pooled diagnostics, pairwise matrices, and annotator marginals.</w:t>
      </w:r>
    </w:p>
    <w:p w14:paraId="40FAAAAE">
      <w:pPr>
        <w:widowControl/>
        <w:spacing w:after="100" w:line="276" w:lineRule="auto"/>
        <w:jc w:val="both"/>
      </w:pPr>
      <w:r>
        <w:t>The leading pairwise contrasts show that disagreements concentrated at the transition from no failure to response-goal, discourse-structure, and context-grounding failures. Counts aggregate the A1-A2, A1-A3, and A2-A3 contrasts. Table S40 reports the ten most frequent pooled primary-label contrasts.</w:t>
      </w:r>
    </w:p>
    <w:p w14:paraId="09EBE02F">
      <w:pPr>
        <w:pStyle w:val="16"/>
        <w:keepNext/>
        <w:keepLines/>
        <w:spacing w:before="120" w:after="60"/>
        <w:jc w:val="left"/>
      </w:pPr>
      <w:r>
        <w:t>Table S40. Ten most frequent pooled pairwise primary-label disagreements.</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2340"/>
        <w:gridCol w:w="2340"/>
        <w:gridCol w:w="2340"/>
        <w:gridCol w:w="2340"/>
      </w:tblGrid>
      <w:tr w14:paraId="0545431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tblHeader w:val="true"/>
          <w:jc w:val="center"/>
          <w:tblHeader w:val="true"/>
        </w:trPr>
        <w:tc>
          <w:tcPr>
            <w:tcW w:w="2340" w:type="dxa"/>
            <w:vAlign w:val="center"/>
            <w:tcMar>
              <w:top w:w="65" w:type="dxa"/>
              <w:start w:w="68" w:type="dxa"/>
              <w:bottom w:w="65" w:type="dxa"/>
              <w:end w:w="68" w:type="dxa"/>
            </w:tcMar>
            <w:shd w:val="clear" w:color="auto" w:fill="E8F0F8"/>
          </w:tcPr>
          <w:p w14:paraId="44FB1806">
            <w:pPr>
              <w:spacing w:before="0" w:after="0" w:line="240" w:lineRule="auto"/>
              <w:jc w:val="center"/>
            </w:pPr>
            <w:r>
              <w:rPr>
                <w:rFonts w:ascii="Times New Roman" w:hAnsi="Times New Roman" w:eastAsia="Times New Roman" w:cs="Times New Roman"/>
                <w:b/>
                <w:color w:val="1E364D"/>
                <w:sz w:val="16"/>
              </w:rPr>
              <w:t>Label 1</w:t>
            </w:r>
          </w:p>
        </w:tc>
        <w:tc>
          <w:tcPr>
            <w:tcW w:w="2340" w:type="dxa"/>
            <w:vAlign w:val="center"/>
            <w:tcMar>
              <w:top w:w="65" w:type="dxa"/>
              <w:start w:w="68" w:type="dxa"/>
              <w:bottom w:w="65" w:type="dxa"/>
              <w:end w:w="68" w:type="dxa"/>
            </w:tcMar>
            <w:shd w:val="clear" w:color="auto" w:fill="E8F0F8"/>
          </w:tcPr>
          <w:p w14:paraId="204532C7">
            <w:pPr>
              <w:spacing w:before="0" w:after="0" w:line="240" w:lineRule="auto"/>
              <w:jc w:val="center"/>
            </w:pPr>
            <w:r>
              <w:rPr>
                <w:rFonts w:ascii="Times New Roman" w:hAnsi="Times New Roman" w:eastAsia="Times New Roman" w:cs="Times New Roman"/>
                <w:b/>
                <w:color w:val="1E364D"/>
                <w:sz w:val="16"/>
              </w:rPr>
              <w:t>Label 2</w:t>
            </w:r>
          </w:p>
        </w:tc>
        <w:tc>
          <w:tcPr>
            <w:tcW w:w="2340" w:type="dxa"/>
            <w:vAlign w:val="center"/>
            <w:tcMar>
              <w:top w:w="65" w:type="dxa"/>
              <w:start w:w="68" w:type="dxa"/>
              <w:bottom w:w="65" w:type="dxa"/>
              <w:end w:w="68" w:type="dxa"/>
            </w:tcMar>
            <w:shd w:val="clear" w:color="auto" w:fill="E8F0F8"/>
          </w:tcPr>
          <w:p w14:paraId="52950EB3">
            <w:pPr>
              <w:spacing w:before="0" w:after="0" w:line="240" w:lineRule="auto"/>
              <w:jc w:val="center"/>
            </w:pPr>
            <w:r>
              <w:rPr>
                <w:rFonts w:ascii="Times New Roman" w:hAnsi="Times New Roman" w:eastAsia="Times New Roman" w:cs="Times New Roman"/>
                <w:b/>
                <w:color w:val="1E364D"/>
                <w:sz w:val="16"/>
              </w:rPr>
              <w:t>Pair count</w:t>
            </w:r>
          </w:p>
        </w:tc>
        <w:tc>
          <w:tcPr>
            <w:tcW w:w="2340" w:type="dxa"/>
            <w:vAlign w:val="center"/>
            <w:tcMar>
              <w:top w:w="65" w:type="dxa"/>
              <w:start w:w="68" w:type="dxa"/>
              <w:bottom w:w="65" w:type="dxa"/>
              <w:end w:w="68" w:type="dxa"/>
            </w:tcMar>
            <w:shd w:val="clear" w:color="auto" w:fill="E8F0F8"/>
          </w:tcPr>
          <w:p w14:paraId="03BEECBF">
            <w:pPr>
              <w:spacing w:before="0" w:after="0" w:line="240" w:lineRule="auto"/>
              <w:jc w:val="center"/>
            </w:pPr>
            <w:r>
              <w:rPr>
                <w:rFonts w:ascii="Times New Roman" w:hAnsi="Times New Roman" w:eastAsia="Times New Roman" w:cs="Times New Roman"/>
                <w:b/>
                <w:color w:val="1E364D"/>
                <w:sz w:val="16"/>
              </w:rPr>
              <w:t>% of pairwise disagreements</w:t>
            </w:r>
          </w:p>
        </w:tc>
      </w:tr>
      <w:tr w14:paraId="13D4847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2340" w:type="dxa"/>
            <w:vAlign w:val="center"/>
            <w:tcMar>
              <w:top w:w="65" w:type="dxa"/>
              <w:start w:w="68" w:type="dxa"/>
              <w:bottom w:w="65" w:type="dxa"/>
              <w:end w:w="68" w:type="dxa"/>
            </w:tcMar>
          </w:tcPr>
          <w:p w14:paraId="34A46720">
            <w:pPr>
              <w:spacing w:before="0" w:after="0" w:line="240" w:lineRule="auto"/>
              <w:jc w:val="left"/>
            </w:pPr>
            <w:r>
              <w:rPr>
                <w:rFonts w:ascii="Times New Roman" w:hAnsi="Times New Roman" w:eastAsia="Times New Roman" w:cs="Times New Roman"/>
                <w:b w:val="0"/>
                <w:color w:val="000000"/>
                <w:sz w:val="16"/>
              </w:rPr>
              <w:t>NONE</w:t>
            </w:r>
          </w:p>
        </w:tc>
        <w:tc>
          <w:tcPr>
            <w:tcW w:w="2340" w:type="dxa"/>
            <w:vAlign w:val="center"/>
            <w:tcMar>
              <w:top w:w="65" w:type="dxa"/>
              <w:start w:w="68" w:type="dxa"/>
              <w:bottom w:w="65" w:type="dxa"/>
              <w:end w:w="68" w:type="dxa"/>
            </w:tcMar>
          </w:tcPr>
          <w:p w14:paraId="695AABCA">
            <w:pPr>
              <w:spacing w:before="0" w:after="0" w:line="240" w:lineRule="auto"/>
              <w:jc w:val="left"/>
            </w:pPr>
            <w:r>
              <w:rPr>
                <w:rFonts w:ascii="Times New Roman" w:hAnsi="Times New Roman" w:eastAsia="Times New Roman" w:cs="Times New Roman"/>
                <w:b w:val="0"/>
                <w:color w:val="000000"/>
                <w:sz w:val="16"/>
              </w:rPr>
              <w:t>SCF-03</w:t>
            </w:r>
          </w:p>
        </w:tc>
        <w:tc>
          <w:tcPr>
            <w:tcW w:w="2340" w:type="dxa"/>
            <w:vAlign w:val="center"/>
            <w:tcMar>
              <w:top w:w="65" w:type="dxa"/>
              <w:start w:w="68" w:type="dxa"/>
              <w:bottom w:w="65" w:type="dxa"/>
              <w:end w:w="68" w:type="dxa"/>
            </w:tcMar>
          </w:tcPr>
          <w:p w14:paraId="2A9ADDF2">
            <w:pPr>
              <w:spacing w:before="0" w:after="0" w:line="240" w:lineRule="auto"/>
              <w:jc w:val="left"/>
            </w:pPr>
            <w:r>
              <w:rPr>
                <w:rFonts w:ascii="Times New Roman" w:hAnsi="Times New Roman" w:eastAsia="Times New Roman" w:cs="Times New Roman"/>
                <w:b w:val="0"/>
                <w:color w:val="000000"/>
                <w:sz w:val="16"/>
              </w:rPr>
              <w:t>75</w:t>
            </w:r>
          </w:p>
        </w:tc>
        <w:tc>
          <w:tcPr>
            <w:tcW w:w="2340" w:type="dxa"/>
            <w:vAlign w:val="center"/>
            <w:tcMar>
              <w:top w:w="65" w:type="dxa"/>
              <w:start w:w="68" w:type="dxa"/>
              <w:bottom w:w="65" w:type="dxa"/>
              <w:end w:w="68" w:type="dxa"/>
            </w:tcMar>
          </w:tcPr>
          <w:p w14:paraId="1F9EC515">
            <w:pPr>
              <w:spacing w:before="0" w:after="0" w:line="240" w:lineRule="auto"/>
              <w:jc w:val="left"/>
            </w:pPr>
            <w:r>
              <w:rPr>
                <w:rFonts w:ascii="Times New Roman" w:hAnsi="Times New Roman" w:eastAsia="Times New Roman" w:cs="Times New Roman"/>
                <w:b w:val="0"/>
                <w:color w:val="000000"/>
                <w:sz w:val="16"/>
              </w:rPr>
              <w:t>15.5</w:t>
            </w:r>
          </w:p>
        </w:tc>
      </w:tr>
      <w:tr w14:paraId="362C445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2340" w:type="dxa"/>
            <w:vAlign w:val="center"/>
            <w:tcMar>
              <w:top w:w="65" w:type="dxa"/>
              <w:start w:w="68" w:type="dxa"/>
              <w:bottom w:w="65" w:type="dxa"/>
              <w:end w:w="68" w:type="dxa"/>
            </w:tcMar>
          </w:tcPr>
          <w:p w14:paraId="1AFD1C7C">
            <w:pPr>
              <w:spacing w:before="0" w:after="0" w:line="240" w:lineRule="auto"/>
              <w:jc w:val="left"/>
            </w:pPr>
            <w:r>
              <w:rPr>
                <w:rFonts w:ascii="Times New Roman" w:hAnsi="Times New Roman" w:eastAsia="Times New Roman" w:cs="Times New Roman"/>
                <w:b w:val="0"/>
                <w:color w:val="000000"/>
                <w:sz w:val="16"/>
              </w:rPr>
              <w:t>NONE</w:t>
            </w:r>
          </w:p>
        </w:tc>
        <w:tc>
          <w:tcPr>
            <w:tcW w:w="2340" w:type="dxa"/>
            <w:vAlign w:val="center"/>
            <w:tcMar>
              <w:top w:w="65" w:type="dxa"/>
              <w:start w:w="68" w:type="dxa"/>
              <w:bottom w:w="65" w:type="dxa"/>
              <w:end w:w="68" w:type="dxa"/>
            </w:tcMar>
          </w:tcPr>
          <w:p w14:paraId="7E4895DE">
            <w:pPr>
              <w:spacing w:before="0" w:after="0" w:line="240" w:lineRule="auto"/>
              <w:jc w:val="left"/>
            </w:pPr>
            <w:r>
              <w:rPr>
                <w:rFonts w:ascii="Times New Roman" w:hAnsi="Times New Roman" w:eastAsia="Times New Roman" w:cs="Times New Roman"/>
                <w:b w:val="0"/>
                <w:color w:val="000000"/>
                <w:sz w:val="16"/>
              </w:rPr>
              <w:t>SCF-04</w:t>
            </w:r>
          </w:p>
        </w:tc>
        <w:tc>
          <w:tcPr>
            <w:tcW w:w="2340" w:type="dxa"/>
            <w:vAlign w:val="center"/>
            <w:tcMar>
              <w:top w:w="65" w:type="dxa"/>
              <w:start w:w="68" w:type="dxa"/>
              <w:bottom w:w="65" w:type="dxa"/>
              <w:end w:w="68" w:type="dxa"/>
            </w:tcMar>
          </w:tcPr>
          <w:p w14:paraId="5103A08E">
            <w:pPr>
              <w:spacing w:before="0" w:after="0" w:line="240" w:lineRule="auto"/>
              <w:jc w:val="left"/>
            </w:pPr>
            <w:r>
              <w:rPr>
                <w:rFonts w:ascii="Times New Roman" w:hAnsi="Times New Roman" w:eastAsia="Times New Roman" w:cs="Times New Roman"/>
                <w:b w:val="0"/>
                <w:color w:val="000000"/>
                <w:sz w:val="16"/>
              </w:rPr>
              <w:t>65</w:t>
            </w:r>
          </w:p>
        </w:tc>
        <w:tc>
          <w:tcPr>
            <w:tcW w:w="2340" w:type="dxa"/>
            <w:vAlign w:val="center"/>
            <w:tcMar>
              <w:top w:w="65" w:type="dxa"/>
              <w:start w:w="68" w:type="dxa"/>
              <w:bottom w:w="65" w:type="dxa"/>
              <w:end w:w="68" w:type="dxa"/>
            </w:tcMar>
          </w:tcPr>
          <w:p w14:paraId="6DD11B34">
            <w:pPr>
              <w:spacing w:before="0" w:after="0" w:line="240" w:lineRule="auto"/>
              <w:jc w:val="left"/>
            </w:pPr>
            <w:r>
              <w:rPr>
                <w:rFonts w:ascii="Times New Roman" w:hAnsi="Times New Roman" w:eastAsia="Times New Roman" w:cs="Times New Roman"/>
                <w:b w:val="0"/>
                <w:color w:val="000000"/>
                <w:sz w:val="16"/>
              </w:rPr>
              <w:t>13.4</w:t>
            </w:r>
          </w:p>
        </w:tc>
      </w:tr>
      <w:tr w14:paraId="46BE7FD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2340" w:type="dxa"/>
            <w:vAlign w:val="center"/>
            <w:tcMar>
              <w:top w:w="65" w:type="dxa"/>
              <w:start w:w="68" w:type="dxa"/>
              <w:bottom w:w="65" w:type="dxa"/>
              <w:end w:w="68" w:type="dxa"/>
            </w:tcMar>
          </w:tcPr>
          <w:p w14:paraId="1F917F9F">
            <w:pPr>
              <w:spacing w:before="0" w:after="0" w:line="240" w:lineRule="auto"/>
              <w:jc w:val="left"/>
            </w:pPr>
            <w:r>
              <w:rPr>
                <w:rFonts w:ascii="Times New Roman" w:hAnsi="Times New Roman" w:eastAsia="Times New Roman" w:cs="Times New Roman"/>
                <w:b w:val="0"/>
                <w:color w:val="000000"/>
                <w:sz w:val="16"/>
              </w:rPr>
              <w:t>NONE</w:t>
            </w:r>
          </w:p>
        </w:tc>
        <w:tc>
          <w:tcPr>
            <w:tcW w:w="2340" w:type="dxa"/>
            <w:vAlign w:val="center"/>
            <w:tcMar>
              <w:top w:w="65" w:type="dxa"/>
              <w:start w:w="68" w:type="dxa"/>
              <w:bottom w:w="65" w:type="dxa"/>
              <w:end w:w="68" w:type="dxa"/>
            </w:tcMar>
          </w:tcPr>
          <w:p w14:paraId="6FE2FB1D">
            <w:pPr>
              <w:spacing w:before="0" w:after="0" w:line="240" w:lineRule="auto"/>
              <w:jc w:val="left"/>
            </w:pPr>
            <w:r>
              <w:rPr>
                <w:rFonts w:ascii="Times New Roman" w:hAnsi="Times New Roman" w:eastAsia="Times New Roman" w:cs="Times New Roman"/>
                <w:b w:val="0"/>
                <w:color w:val="000000"/>
                <w:sz w:val="16"/>
              </w:rPr>
              <w:t>OVR-02</w:t>
            </w:r>
          </w:p>
        </w:tc>
        <w:tc>
          <w:tcPr>
            <w:tcW w:w="2340" w:type="dxa"/>
            <w:vAlign w:val="center"/>
            <w:tcMar>
              <w:top w:w="65" w:type="dxa"/>
              <w:start w:w="68" w:type="dxa"/>
              <w:bottom w:w="65" w:type="dxa"/>
              <w:end w:w="68" w:type="dxa"/>
            </w:tcMar>
          </w:tcPr>
          <w:p w14:paraId="763DA4D2">
            <w:pPr>
              <w:spacing w:before="0" w:after="0" w:line="240" w:lineRule="auto"/>
              <w:jc w:val="left"/>
            </w:pPr>
            <w:r>
              <w:rPr>
                <w:rFonts w:ascii="Times New Roman" w:hAnsi="Times New Roman" w:eastAsia="Times New Roman" w:cs="Times New Roman"/>
                <w:b w:val="0"/>
                <w:color w:val="000000"/>
                <w:sz w:val="16"/>
              </w:rPr>
              <w:t>40</w:t>
            </w:r>
          </w:p>
        </w:tc>
        <w:tc>
          <w:tcPr>
            <w:tcW w:w="2340" w:type="dxa"/>
            <w:vAlign w:val="center"/>
            <w:tcMar>
              <w:top w:w="65" w:type="dxa"/>
              <w:start w:w="68" w:type="dxa"/>
              <w:bottom w:w="65" w:type="dxa"/>
              <w:end w:w="68" w:type="dxa"/>
            </w:tcMar>
          </w:tcPr>
          <w:p w14:paraId="49247FCB">
            <w:pPr>
              <w:spacing w:before="0" w:after="0" w:line="240" w:lineRule="auto"/>
              <w:jc w:val="left"/>
            </w:pPr>
            <w:r>
              <w:rPr>
                <w:rFonts w:ascii="Times New Roman" w:hAnsi="Times New Roman" w:eastAsia="Times New Roman" w:cs="Times New Roman"/>
                <w:b w:val="0"/>
                <w:color w:val="000000"/>
                <w:sz w:val="16"/>
              </w:rPr>
              <w:t>8.2</w:t>
            </w:r>
          </w:p>
        </w:tc>
      </w:tr>
      <w:tr w14:paraId="06AB648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2340" w:type="dxa"/>
            <w:vAlign w:val="center"/>
            <w:tcMar>
              <w:top w:w="65" w:type="dxa"/>
              <w:start w:w="68" w:type="dxa"/>
              <w:bottom w:w="65" w:type="dxa"/>
              <w:end w:w="68" w:type="dxa"/>
            </w:tcMar>
          </w:tcPr>
          <w:p w14:paraId="68551135">
            <w:pPr>
              <w:spacing w:before="0" w:after="0" w:line="240" w:lineRule="auto"/>
              <w:jc w:val="left"/>
            </w:pPr>
            <w:r>
              <w:rPr>
                <w:rFonts w:ascii="Times New Roman" w:hAnsi="Times New Roman" w:eastAsia="Times New Roman" w:cs="Times New Roman"/>
                <w:b w:val="0"/>
                <w:color w:val="000000"/>
                <w:sz w:val="16"/>
              </w:rPr>
              <w:t>SCF-03</w:t>
            </w:r>
          </w:p>
        </w:tc>
        <w:tc>
          <w:tcPr>
            <w:tcW w:w="2340" w:type="dxa"/>
            <w:vAlign w:val="center"/>
            <w:tcMar>
              <w:top w:w="65" w:type="dxa"/>
              <w:start w:w="68" w:type="dxa"/>
              <w:bottom w:w="65" w:type="dxa"/>
              <w:end w:w="68" w:type="dxa"/>
            </w:tcMar>
          </w:tcPr>
          <w:p w14:paraId="49479674">
            <w:pPr>
              <w:spacing w:before="0" w:after="0" w:line="240" w:lineRule="auto"/>
              <w:jc w:val="left"/>
            </w:pPr>
            <w:r>
              <w:rPr>
                <w:rFonts w:ascii="Times New Roman" w:hAnsi="Times New Roman" w:eastAsia="Times New Roman" w:cs="Times New Roman"/>
                <w:b w:val="0"/>
                <w:color w:val="000000"/>
                <w:sz w:val="16"/>
              </w:rPr>
              <w:t>SCF-04</w:t>
            </w:r>
          </w:p>
        </w:tc>
        <w:tc>
          <w:tcPr>
            <w:tcW w:w="2340" w:type="dxa"/>
            <w:vAlign w:val="center"/>
            <w:tcMar>
              <w:top w:w="65" w:type="dxa"/>
              <w:start w:w="68" w:type="dxa"/>
              <w:bottom w:w="65" w:type="dxa"/>
              <w:end w:w="68" w:type="dxa"/>
            </w:tcMar>
          </w:tcPr>
          <w:p w14:paraId="7806887B">
            <w:pPr>
              <w:spacing w:before="0" w:after="0" w:line="240" w:lineRule="auto"/>
              <w:jc w:val="left"/>
            </w:pPr>
            <w:r>
              <w:rPr>
                <w:rFonts w:ascii="Times New Roman" w:hAnsi="Times New Roman" w:eastAsia="Times New Roman" w:cs="Times New Roman"/>
                <w:b w:val="0"/>
                <w:color w:val="000000"/>
                <w:sz w:val="16"/>
              </w:rPr>
              <w:t>39</w:t>
            </w:r>
          </w:p>
        </w:tc>
        <w:tc>
          <w:tcPr>
            <w:tcW w:w="2340" w:type="dxa"/>
            <w:vAlign w:val="center"/>
            <w:tcMar>
              <w:top w:w="65" w:type="dxa"/>
              <w:start w:w="68" w:type="dxa"/>
              <w:bottom w:w="65" w:type="dxa"/>
              <w:end w:w="68" w:type="dxa"/>
            </w:tcMar>
          </w:tcPr>
          <w:p w14:paraId="11829BB8">
            <w:pPr>
              <w:spacing w:before="0" w:after="0" w:line="240" w:lineRule="auto"/>
              <w:jc w:val="left"/>
            </w:pPr>
            <w:r>
              <w:rPr>
                <w:rFonts w:ascii="Times New Roman" w:hAnsi="Times New Roman" w:eastAsia="Times New Roman" w:cs="Times New Roman"/>
                <w:b w:val="0"/>
                <w:color w:val="000000"/>
                <w:sz w:val="16"/>
              </w:rPr>
              <w:t>8.0</w:t>
            </w:r>
          </w:p>
        </w:tc>
      </w:tr>
      <w:tr w14:paraId="52E2A0A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2340" w:type="dxa"/>
            <w:vAlign w:val="center"/>
            <w:tcMar>
              <w:top w:w="65" w:type="dxa"/>
              <w:start w:w="68" w:type="dxa"/>
              <w:bottom w:w="65" w:type="dxa"/>
              <w:end w:w="68" w:type="dxa"/>
            </w:tcMar>
          </w:tcPr>
          <w:p w14:paraId="353EB386">
            <w:pPr>
              <w:spacing w:before="0" w:after="0" w:line="240" w:lineRule="auto"/>
              <w:jc w:val="left"/>
            </w:pPr>
            <w:r>
              <w:rPr>
                <w:rFonts w:ascii="Times New Roman" w:hAnsi="Times New Roman" w:eastAsia="Times New Roman" w:cs="Times New Roman"/>
                <w:b w:val="0"/>
                <w:color w:val="000000"/>
                <w:sz w:val="16"/>
              </w:rPr>
              <w:t>NONE</w:t>
            </w:r>
          </w:p>
        </w:tc>
        <w:tc>
          <w:tcPr>
            <w:tcW w:w="2340" w:type="dxa"/>
            <w:vAlign w:val="center"/>
            <w:tcMar>
              <w:top w:w="65" w:type="dxa"/>
              <w:start w:w="68" w:type="dxa"/>
              <w:bottom w:w="65" w:type="dxa"/>
              <w:end w:w="68" w:type="dxa"/>
            </w:tcMar>
          </w:tcPr>
          <w:p w14:paraId="4A5DB995">
            <w:pPr>
              <w:spacing w:before="0" w:after="0" w:line="240" w:lineRule="auto"/>
              <w:jc w:val="left"/>
            </w:pPr>
            <w:r>
              <w:rPr>
                <w:rFonts w:ascii="Times New Roman" w:hAnsi="Times New Roman" w:eastAsia="Times New Roman" w:cs="Times New Roman"/>
                <w:b w:val="0"/>
                <w:color w:val="000000"/>
                <w:sz w:val="16"/>
              </w:rPr>
              <w:t>HREF</w:t>
            </w:r>
          </w:p>
        </w:tc>
        <w:tc>
          <w:tcPr>
            <w:tcW w:w="2340" w:type="dxa"/>
            <w:vAlign w:val="center"/>
            <w:tcMar>
              <w:top w:w="65" w:type="dxa"/>
              <w:start w:w="68" w:type="dxa"/>
              <w:bottom w:w="65" w:type="dxa"/>
              <w:end w:w="68" w:type="dxa"/>
            </w:tcMar>
          </w:tcPr>
          <w:p w14:paraId="060416CC">
            <w:pPr>
              <w:spacing w:before="0" w:after="0" w:line="240" w:lineRule="auto"/>
              <w:jc w:val="left"/>
            </w:pPr>
            <w:r>
              <w:rPr>
                <w:rFonts w:ascii="Times New Roman" w:hAnsi="Times New Roman" w:eastAsia="Times New Roman" w:cs="Times New Roman"/>
                <w:b w:val="0"/>
                <w:color w:val="000000"/>
                <w:sz w:val="16"/>
              </w:rPr>
              <w:t>33</w:t>
            </w:r>
          </w:p>
        </w:tc>
        <w:tc>
          <w:tcPr>
            <w:tcW w:w="2340" w:type="dxa"/>
            <w:vAlign w:val="center"/>
            <w:tcMar>
              <w:top w:w="65" w:type="dxa"/>
              <w:start w:w="68" w:type="dxa"/>
              <w:bottom w:w="65" w:type="dxa"/>
              <w:end w:w="68" w:type="dxa"/>
            </w:tcMar>
          </w:tcPr>
          <w:p w14:paraId="7A34DA80">
            <w:pPr>
              <w:spacing w:before="0" w:after="0" w:line="240" w:lineRule="auto"/>
              <w:jc w:val="left"/>
            </w:pPr>
            <w:r>
              <w:rPr>
                <w:rFonts w:ascii="Times New Roman" w:hAnsi="Times New Roman" w:eastAsia="Times New Roman" w:cs="Times New Roman"/>
                <w:b w:val="0"/>
                <w:color w:val="000000"/>
                <w:sz w:val="16"/>
              </w:rPr>
              <w:t>6.8</w:t>
            </w:r>
          </w:p>
        </w:tc>
      </w:tr>
      <w:tr w14:paraId="290B739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2340" w:type="dxa"/>
            <w:vAlign w:val="center"/>
            <w:tcMar>
              <w:top w:w="65" w:type="dxa"/>
              <w:start w:w="68" w:type="dxa"/>
              <w:bottom w:w="65" w:type="dxa"/>
              <w:end w:w="68" w:type="dxa"/>
            </w:tcMar>
          </w:tcPr>
          <w:p w14:paraId="51E5BA37">
            <w:pPr>
              <w:spacing w:before="0" w:after="0" w:line="240" w:lineRule="auto"/>
              <w:jc w:val="left"/>
            </w:pPr>
            <w:r>
              <w:rPr>
                <w:rFonts w:ascii="Times New Roman" w:hAnsi="Times New Roman" w:eastAsia="Times New Roman" w:cs="Times New Roman"/>
                <w:b w:val="0"/>
                <w:color w:val="000000"/>
                <w:sz w:val="16"/>
              </w:rPr>
              <w:t>NONE</w:t>
            </w:r>
          </w:p>
        </w:tc>
        <w:tc>
          <w:tcPr>
            <w:tcW w:w="2340" w:type="dxa"/>
            <w:vAlign w:val="center"/>
            <w:tcMar>
              <w:top w:w="65" w:type="dxa"/>
              <w:start w:w="68" w:type="dxa"/>
              <w:bottom w:w="65" w:type="dxa"/>
              <w:end w:w="68" w:type="dxa"/>
            </w:tcMar>
          </w:tcPr>
          <w:p w14:paraId="6E1D4061">
            <w:pPr>
              <w:spacing w:before="0" w:after="0" w:line="240" w:lineRule="auto"/>
              <w:jc w:val="left"/>
            </w:pPr>
            <w:r>
              <w:rPr>
                <w:rFonts w:ascii="Times New Roman" w:hAnsi="Times New Roman" w:eastAsia="Times New Roman" w:cs="Times New Roman"/>
                <w:b w:val="0"/>
                <w:color w:val="000000"/>
                <w:sz w:val="16"/>
              </w:rPr>
              <w:t>SCF-02</w:t>
            </w:r>
          </w:p>
        </w:tc>
        <w:tc>
          <w:tcPr>
            <w:tcW w:w="2340" w:type="dxa"/>
            <w:vAlign w:val="center"/>
            <w:tcMar>
              <w:top w:w="65" w:type="dxa"/>
              <w:start w:w="68" w:type="dxa"/>
              <w:bottom w:w="65" w:type="dxa"/>
              <w:end w:w="68" w:type="dxa"/>
            </w:tcMar>
          </w:tcPr>
          <w:p w14:paraId="22699041">
            <w:pPr>
              <w:spacing w:before="0" w:after="0" w:line="240" w:lineRule="auto"/>
              <w:jc w:val="left"/>
            </w:pPr>
            <w:r>
              <w:rPr>
                <w:rFonts w:ascii="Times New Roman" w:hAnsi="Times New Roman" w:eastAsia="Times New Roman" w:cs="Times New Roman"/>
                <w:b w:val="0"/>
                <w:color w:val="000000"/>
                <w:sz w:val="16"/>
              </w:rPr>
              <w:t>28</w:t>
            </w:r>
          </w:p>
        </w:tc>
        <w:tc>
          <w:tcPr>
            <w:tcW w:w="2340" w:type="dxa"/>
            <w:vAlign w:val="center"/>
            <w:tcMar>
              <w:top w:w="65" w:type="dxa"/>
              <w:start w:w="68" w:type="dxa"/>
              <w:bottom w:w="65" w:type="dxa"/>
              <w:end w:w="68" w:type="dxa"/>
            </w:tcMar>
          </w:tcPr>
          <w:p w14:paraId="045894E5">
            <w:pPr>
              <w:spacing w:before="0" w:after="0" w:line="240" w:lineRule="auto"/>
              <w:jc w:val="left"/>
            </w:pPr>
            <w:r>
              <w:rPr>
                <w:rFonts w:ascii="Times New Roman" w:hAnsi="Times New Roman" w:eastAsia="Times New Roman" w:cs="Times New Roman"/>
                <w:b w:val="0"/>
                <w:color w:val="000000"/>
                <w:sz w:val="16"/>
              </w:rPr>
              <w:t>5.8</w:t>
            </w:r>
          </w:p>
        </w:tc>
      </w:tr>
      <w:tr w14:paraId="5D1CD71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2340" w:type="dxa"/>
            <w:vAlign w:val="center"/>
            <w:tcMar>
              <w:top w:w="65" w:type="dxa"/>
              <w:start w:w="68" w:type="dxa"/>
              <w:bottom w:w="65" w:type="dxa"/>
              <w:end w:w="68" w:type="dxa"/>
            </w:tcMar>
          </w:tcPr>
          <w:p w14:paraId="23A7DE4A">
            <w:pPr>
              <w:spacing w:before="0" w:after="0" w:line="240" w:lineRule="auto"/>
              <w:jc w:val="left"/>
            </w:pPr>
            <w:r>
              <w:rPr>
                <w:rFonts w:ascii="Times New Roman" w:hAnsi="Times New Roman" w:eastAsia="Times New Roman" w:cs="Times New Roman"/>
                <w:b w:val="0"/>
                <w:color w:val="000000"/>
                <w:sz w:val="16"/>
              </w:rPr>
              <w:t>SCF-04</w:t>
            </w:r>
          </w:p>
        </w:tc>
        <w:tc>
          <w:tcPr>
            <w:tcW w:w="2340" w:type="dxa"/>
            <w:vAlign w:val="center"/>
            <w:tcMar>
              <w:top w:w="65" w:type="dxa"/>
              <w:start w:w="68" w:type="dxa"/>
              <w:bottom w:w="65" w:type="dxa"/>
              <w:end w:w="68" w:type="dxa"/>
            </w:tcMar>
          </w:tcPr>
          <w:p w14:paraId="0BD2A4B6">
            <w:pPr>
              <w:spacing w:before="0" w:after="0" w:line="240" w:lineRule="auto"/>
              <w:jc w:val="left"/>
            </w:pPr>
            <w:r>
              <w:rPr>
                <w:rFonts w:ascii="Times New Roman" w:hAnsi="Times New Roman" w:eastAsia="Times New Roman" w:cs="Times New Roman"/>
                <w:b w:val="0"/>
                <w:color w:val="000000"/>
                <w:sz w:val="16"/>
              </w:rPr>
              <w:t>OVR-02</w:t>
            </w:r>
          </w:p>
        </w:tc>
        <w:tc>
          <w:tcPr>
            <w:tcW w:w="2340" w:type="dxa"/>
            <w:vAlign w:val="center"/>
            <w:tcMar>
              <w:top w:w="65" w:type="dxa"/>
              <w:start w:w="68" w:type="dxa"/>
              <w:bottom w:w="65" w:type="dxa"/>
              <w:end w:w="68" w:type="dxa"/>
            </w:tcMar>
          </w:tcPr>
          <w:p w14:paraId="451D0777">
            <w:pPr>
              <w:spacing w:before="0" w:after="0" w:line="240" w:lineRule="auto"/>
              <w:jc w:val="left"/>
            </w:pPr>
            <w:r>
              <w:rPr>
                <w:rFonts w:ascii="Times New Roman" w:hAnsi="Times New Roman" w:eastAsia="Times New Roman" w:cs="Times New Roman"/>
                <w:b w:val="0"/>
                <w:color w:val="000000"/>
                <w:sz w:val="16"/>
              </w:rPr>
              <w:t>23</w:t>
            </w:r>
          </w:p>
        </w:tc>
        <w:tc>
          <w:tcPr>
            <w:tcW w:w="2340" w:type="dxa"/>
            <w:vAlign w:val="center"/>
            <w:tcMar>
              <w:top w:w="65" w:type="dxa"/>
              <w:start w:w="68" w:type="dxa"/>
              <w:bottom w:w="65" w:type="dxa"/>
              <w:end w:w="68" w:type="dxa"/>
            </w:tcMar>
          </w:tcPr>
          <w:p w14:paraId="6DD81FC6">
            <w:pPr>
              <w:spacing w:before="0" w:after="0" w:line="240" w:lineRule="auto"/>
              <w:jc w:val="left"/>
            </w:pPr>
            <w:r>
              <w:rPr>
                <w:rFonts w:ascii="Times New Roman" w:hAnsi="Times New Roman" w:eastAsia="Times New Roman" w:cs="Times New Roman"/>
                <w:b w:val="0"/>
                <w:color w:val="000000"/>
                <w:sz w:val="16"/>
              </w:rPr>
              <w:t>4.7</w:t>
            </w:r>
          </w:p>
        </w:tc>
      </w:tr>
      <w:tr w14:paraId="7EFA634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2340" w:type="dxa"/>
            <w:vAlign w:val="center"/>
            <w:tcMar>
              <w:top w:w="65" w:type="dxa"/>
              <w:start w:w="68" w:type="dxa"/>
              <w:bottom w:w="65" w:type="dxa"/>
              <w:end w:w="68" w:type="dxa"/>
            </w:tcMar>
          </w:tcPr>
          <w:p w14:paraId="042842CB">
            <w:pPr>
              <w:spacing w:before="0" w:after="0" w:line="240" w:lineRule="auto"/>
              <w:jc w:val="left"/>
            </w:pPr>
            <w:r>
              <w:rPr>
                <w:rFonts w:ascii="Times New Roman" w:hAnsi="Times New Roman" w:eastAsia="Times New Roman" w:cs="Times New Roman"/>
                <w:b w:val="0"/>
                <w:color w:val="000000"/>
                <w:sz w:val="16"/>
              </w:rPr>
              <w:t>SCF-03</w:t>
            </w:r>
          </w:p>
        </w:tc>
        <w:tc>
          <w:tcPr>
            <w:tcW w:w="2340" w:type="dxa"/>
            <w:vAlign w:val="center"/>
            <w:tcMar>
              <w:top w:w="65" w:type="dxa"/>
              <w:start w:w="68" w:type="dxa"/>
              <w:bottom w:w="65" w:type="dxa"/>
              <w:end w:w="68" w:type="dxa"/>
            </w:tcMar>
          </w:tcPr>
          <w:p w14:paraId="066E2DED">
            <w:pPr>
              <w:spacing w:before="0" w:after="0" w:line="240" w:lineRule="auto"/>
              <w:jc w:val="left"/>
            </w:pPr>
            <w:r>
              <w:rPr>
                <w:rFonts w:ascii="Times New Roman" w:hAnsi="Times New Roman" w:eastAsia="Times New Roman" w:cs="Times New Roman"/>
                <w:b w:val="0"/>
                <w:color w:val="000000"/>
                <w:sz w:val="16"/>
              </w:rPr>
              <w:t>OVR-02</w:t>
            </w:r>
          </w:p>
        </w:tc>
        <w:tc>
          <w:tcPr>
            <w:tcW w:w="2340" w:type="dxa"/>
            <w:vAlign w:val="center"/>
            <w:tcMar>
              <w:top w:w="65" w:type="dxa"/>
              <w:start w:w="68" w:type="dxa"/>
              <w:bottom w:w="65" w:type="dxa"/>
              <w:end w:w="68" w:type="dxa"/>
            </w:tcMar>
          </w:tcPr>
          <w:p w14:paraId="15EA8DF4">
            <w:pPr>
              <w:spacing w:before="0" w:after="0" w:line="240" w:lineRule="auto"/>
              <w:jc w:val="left"/>
            </w:pPr>
            <w:r>
              <w:rPr>
                <w:rFonts w:ascii="Times New Roman" w:hAnsi="Times New Roman" w:eastAsia="Times New Roman" w:cs="Times New Roman"/>
                <w:b w:val="0"/>
                <w:color w:val="000000"/>
                <w:sz w:val="16"/>
              </w:rPr>
              <w:t>20</w:t>
            </w:r>
          </w:p>
        </w:tc>
        <w:tc>
          <w:tcPr>
            <w:tcW w:w="2340" w:type="dxa"/>
            <w:vAlign w:val="center"/>
            <w:tcMar>
              <w:top w:w="65" w:type="dxa"/>
              <w:start w:w="68" w:type="dxa"/>
              <w:bottom w:w="65" w:type="dxa"/>
              <w:end w:w="68" w:type="dxa"/>
            </w:tcMar>
          </w:tcPr>
          <w:p w14:paraId="66A364BD">
            <w:pPr>
              <w:spacing w:before="0" w:after="0" w:line="240" w:lineRule="auto"/>
              <w:jc w:val="left"/>
            </w:pPr>
            <w:r>
              <w:rPr>
                <w:rFonts w:ascii="Times New Roman" w:hAnsi="Times New Roman" w:eastAsia="Times New Roman" w:cs="Times New Roman"/>
                <w:b w:val="0"/>
                <w:color w:val="000000"/>
                <w:sz w:val="16"/>
              </w:rPr>
              <w:t>4.1</w:t>
            </w:r>
          </w:p>
        </w:tc>
      </w:tr>
      <w:tr w14:paraId="0F089EF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2340" w:type="dxa"/>
            <w:vAlign w:val="center"/>
            <w:tcMar>
              <w:top w:w="65" w:type="dxa"/>
              <w:start w:w="68" w:type="dxa"/>
              <w:bottom w:w="65" w:type="dxa"/>
              <w:end w:w="68" w:type="dxa"/>
            </w:tcMar>
          </w:tcPr>
          <w:p w14:paraId="5F133111">
            <w:pPr>
              <w:spacing w:before="0" w:after="0" w:line="240" w:lineRule="auto"/>
              <w:jc w:val="left"/>
            </w:pPr>
            <w:r>
              <w:rPr>
                <w:rFonts w:ascii="Times New Roman" w:hAnsi="Times New Roman" w:eastAsia="Times New Roman" w:cs="Times New Roman"/>
                <w:b w:val="0"/>
                <w:color w:val="000000"/>
                <w:sz w:val="16"/>
              </w:rPr>
              <w:t>NONE</w:t>
            </w:r>
          </w:p>
        </w:tc>
        <w:tc>
          <w:tcPr>
            <w:tcW w:w="2340" w:type="dxa"/>
            <w:vAlign w:val="center"/>
            <w:tcMar>
              <w:top w:w="65" w:type="dxa"/>
              <w:start w:w="68" w:type="dxa"/>
              <w:bottom w:w="65" w:type="dxa"/>
              <w:end w:w="68" w:type="dxa"/>
            </w:tcMar>
          </w:tcPr>
          <w:p w14:paraId="01439B9D">
            <w:pPr>
              <w:spacing w:before="0" w:after="0" w:line="240" w:lineRule="auto"/>
              <w:jc w:val="left"/>
            </w:pPr>
            <w:r>
              <w:rPr>
                <w:rFonts w:ascii="Times New Roman" w:hAnsi="Times New Roman" w:eastAsia="Times New Roman" w:cs="Times New Roman"/>
                <w:b w:val="0"/>
                <w:color w:val="000000"/>
                <w:sz w:val="16"/>
              </w:rPr>
              <w:t>OVR-01</w:t>
            </w:r>
          </w:p>
        </w:tc>
        <w:tc>
          <w:tcPr>
            <w:tcW w:w="2340" w:type="dxa"/>
            <w:vAlign w:val="center"/>
            <w:tcMar>
              <w:top w:w="65" w:type="dxa"/>
              <w:start w:w="68" w:type="dxa"/>
              <w:bottom w:w="65" w:type="dxa"/>
              <w:end w:w="68" w:type="dxa"/>
            </w:tcMar>
          </w:tcPr>
          <w:p w14:paraId="209CF522">
            <w:pPr>
              <w:spacing w:before="0" w:after="0" w:line="240" w:lineRule="auto"/>
              <w:jc w:val="left"/>
            </w:pPr>
            <w:r>
              <w:rPr>
                <w:rFonts w:ascii="Times New Roman" w:hAnsi="Times New Roman" w:eastAsia="Times New Roman" w:cs="Times New Roman"/>
                <w:b w:val="0"/>
                <w:color w:val="000000"/>
                <w:sz w:val="16"/>
              </w:rPr>
              <w:t>17</w:t>
            </w:r>
          </w:p>
        </w:tc>
        <w:tc>
          <w:tcPr>
            <w:tcW w:w="2340" w:type="dxa"/>
            <w:vAlign w:val="center"/>
            <w:tcMar>
              <w:top w:w="65" w:type="dxa"/>
              <w:start w:w="68" w:type="dxa"/>
              <w:bottom w:w="65" w:type="dxa"/>
              <w:end w:w="68" w:type="dxa"/>
            </w:tcMar>
          </w:tcPr>
          <w:p w14:paraId="61C85F10">
            <w:pPr>
              <w:spacing w:before="0" w:after="0" w:line="240" w:lineRule="auto"/>
              <w:jc w:val="left"/>
            </w:pPr>
            <w:r>
              <w:rPr>
                <w:rFonts w:ascii="Times New Roman" w:hAnsi="Times New Roman" w:eastAsia="Times New Roman" w:cs="Times New Roman"/>
                <w:b w:val="0"/>
                <w:color w:val="000000"/>
                <w:sz w:val="16"/>
              </w:rPr>
              <w:t>3.5</w:t>
            </w:r>
          </w:p>
        </w:tc>
      </w:tr>
      <w:tr w14:paraId="4909722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2340" w:type="dxa"/>
            <w:vAlign w:val="center"/>
            <w:tcMar>
              <w:top w:w="65" w:type="dxa"/>
              <w:start w:w="68" w:type="dxa"/>
              <w:bottom w:w="65" w:type="dxa"/>
              <w:end w:w="68" w:type="dxa"/>
            </w:tcMar>
          </w:tcPr>
          <w:p w14:paraId="78434E2C">
            <w:pPr>
              <w:spacing w:before="0" w:after="0" w:line="240" w:lineRule="auto"/>
              <w:jc w:val="left"/>
            </w:pPr>
            <w:r>
              <w:rPr>
                <w:rFonts w:ascii="Times New Roman" w:hAnsi="Times New Roman" w:eastAsia="Times New Roman" w:cs="Times New Roman"/>
                <w:b w:val="0"/>
                <w:color w:val="000000"/>
                <w:sz w:val="16"/>
              </w:rPr>
              <w:t>OVR-02</w:t>
            </w:r>
          </w:p>
        </w:tc>
        <w:tc>
          <w:tcPr>
            <w:tcW w:w="2340" w:type="dxa"/>
            <w:vAlign w:val="center"/>
            <w:tcMar>
              <w:top w:w="65" w:type="dxa"/>
              <w:start w:w="68" w:type="dxa"/>
              <w:bottom w:w="65" w:type="dxa"/>
              <w:end w:w="68" w:type="dxa"/>
            </w:tcMar>
          </w:tcPr>
          <w:p w14:paraId="78E3C4F5">
            <w:pPr>
              <w:spacing w:before="0" w:after="0" w:line="240" w:lineRule="auto"/>
              <w:jc w:val="left"/>
            </w:pPr>
            <w:r>
              <w:rPr>
                <w:rFonts w:ascii="Times New Roman" w:hAnsi="Times New Roman" w:eastAsia="Times New Roman" w:cs="Times New Roman"/>
                <w:b w:val="0"/>
                <w:color w:val="000000"/>
                <w:sz w:val="16"/>
              </w:rPr>
              <w:t>HREF</w:t>
            </w:r>
          </w:p>
        </w:tc>
        <w:tc>
          <w:tcPr>
            <w:tcW w:w="2340" w:type="dxa"/>
            <w:vAlign w:val="center"/>
            <w:tcMar>
              <w:top w:w="65" w:type="dxa"/>
              <w:start w:w="68" w:type="dxa"/>
              <w:bottom w:w="65" w:type="dxa"/>
              <w:end w:w="68" w:type="dxa"/>
            </w:tcMar>
          </w:tcPr>
          <w:p w14:paraId="557E966C">
            <w:pPr>
              <w:spacing w:before="0" w:after="0" w:line="240" w:lineRule="auto"/>
              <w:jc w:val="left"/>
            </w:pPr>
            <w:r>
              <w:rPr>
                <w:rFonts w:ascii="Times New Roman" w:hAnsi="Times New Roman" w:eastAsia="Times New Roman" w:cs="Times New Roman"/>
                <w:b w:val="0"/>
                <w:color w:val="000000"/>
                <w:sz w:val="16"/>
              </w:rPr>
              <w:t>14</w:t>
            </w:r>
          </w:p>
        </w:tc>
        <w:tc>
          <w:tcPr>
            <w:tcW w:w="2340" w:type="dxa"/>
            <w:vAlign w:val="center"/>
            <w:tcMar>
              <w:top w:w="65" w:type="dxa"/>
              <w:start w:w="68" w:type="dxa"/>
              <w:bottom w:w="65" w:type="dxa"/>
              <w:end w:w="68" w:type="dxa"/>
            </w:tcMar>
          </w:tcPr>
          <w:p w14:paraId="5D092B22">
            <w:pPr>
              <w:spacing w:before="0" w:after="0" w:line="240" w:lineRule="auto"/>
              <w:jc w:val="left"/>
            </w:pPr>
            <w:r>
              <w:rPr>
                <w:rFonts w:ascii="Times New Roman" w:hAnsi="Times New Roman" w:eastAsia="Times New Roman" w:cs="Times New Roman"/>
                <w:b w:val="0"/>
                <w:color w:val="000000"/>
                <w:sz w:val="16"/>
              </w:rPr>
              <w:t>2.9</w:t>
            </w:r>
          </w:p>
        </w:tc>
      </w:tr>
    </w:tbl>
    <w:p w14:paraId="06EB26DF">
      <w:pPr>
        <w:pStyle w:val="3"/>
        <w:keepNext/>
        <w:keepLines/>
        <w:pageBreakBefore w:val="0"/>
        <w:spacing w:before="140" w:after="80"/>
      </w:pPr>
      <w:r>
        <w:rPr>
          <w:color w:val="000000"/>
        </w:rPr>
        <w:t>S7.2 Boundary and severity contrasts</w:t>
      </w:r>
    </w:p>
    <w:p w14:paraId="24FF8DA3">
      <w:pPr>
        <w:pStyle w:val="16"/>
        <w:keepNext/>
        <w:keepLines/>
        <w:spacing w:before="120" w:after="60"/>
        <w:jc w:val="left"/>
      </w:pPr>
      <w:r>
        <w:t>Table S41. Pooled pairwise boundary-zone disagreements.</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2340"/>
        <w:gridCol w:w="2340"/>
        <w:gridCol w:w="2340"/>
        <w:gridCol w:w="2340"/>
      </w:tblGrid>
      <w:tr w14:paraId="4858BF8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tblHeader w:val="true"/>
          <w:jc w:val="center"/>
          <w:tblHeader w:val="true"/>
        </w:trPr>
        <w:tc>
          <w:tcPr>
            <w:tcW w:w="2340" w:type="dxa"/>
            <w:vAlign w:val="center"/>
            <w:tcMar>
              <w:top w:w="65" w:type="dxa"/>
              <w:start w:w="68" w:type="dxa"/>
              <w:bottom w:w="65" w:type="dxa"/>
              <w:end w:w="68" w:type="dxa"/>
            </w:tcMar>
            <w:shd w:val="clear" w:color="auto" w:fill="E8F0F8"/>
          </w:tcPr>
          <w:p w14:paraId="4CE52339">
            <w:pPr>
              <w:spacing w:before="0" w:after="0" w:line="240" w:lineRule="auto"/>
              <w:jc w:val="center"/>
            </w:pPr>
            <w:r>
              <w:rPr>
                <w:rFonts w:ascii="Times New Roman" w:hAnsi="Times New Roman" w:eastAsia="Times New Roman" w:cs="Times New Roman"/>
                <w:b/>
                <w:color w:val="1E364D"/>
                <w:sz w:val="16"/>
              </w:rPr>
              <w:t>Boundary 1</w:t>
            </w:r>
          </w:p>
        </w:tc>
        <w:tc>
          <w:tcPr>
            <w:tcW w:w="2340" w:type="dxa"/>
            <w:vAlign w:val="center"/>
            <w:tcMar>
              <w:top w:w="65" w:type="dxa"/>
              <w:start w:w="68" w:type="dxa"/>
              <w:bottom w:w="65" w:type="dxa"/>
              <w:end w:w="68" w:type="dxa"/>
            </w:tcMar>
            <w:shd w:val="clear" w:color="auto" w:fill="E8F0F8"/>
          </w:tcPr>
          <w:p w14:paraId="5367C296">
            <w:pPr>
              <w:spacing w:before="0" w:after="0" w:line="240" w:lineRule="auto"/>
              <w:jc w:val="center"/>
            </w:pPr>
            <w:r>
              <w:rPr>
                <w:rFonts w:ascii="Times New Roman" w:hAnsi="Times New Roman" w:eastAsia="Times New Roman" w:cs="Times New Roman"/>
                <w:b/>
                <w:color w:val="1E364D"/>
                <w:sz w:val="16"/>
              </w:rPr>
              <w:t>Boundary 2</w:t>
            </w:r>
          </w:p>
        </w:tc>
        <w:tc>
          <w:tcPr>
            <w:tcW w:w="2340" w:type="dxa"/>
            <w:vAlign w:val="center"/>
            <w:tcMar>
              <w:top w:w="65" w:type="dxa"/>
              <w:start w:w="68" w:type="dxa"/>
              <w:bottom w:w="65" w:type="dxa"/>
              <w:end w:w="68" w:type="dxa"/>
            </w:tcMar>
            <w:shd w:val="clear" w:color="auto" w:fill="E8F0F8"/>
          </w:tcPr>
          <w:p w14:paraId="77184D84">
            <w:pPr>
              <w:spacing w:before="0" w:after="0" w:line="240" w:lineRule="auto"/>
              <w:jc w:val="center"/>
            </w:pPr>
            <w:r>
              <w:rPr>
                <w:rFonts w:ascii="Times New Roman" w:hAnsi="Times New Roman" w:eastAsia="Times New Roman" w:cs="Times New Roman"/>
                <w:b/>
                <w:color w:val="1E364D"/>
                <w:sz w:val="16"/>
              </w:rPr>
              <w:t>Pair count</w:t>
            </w:r>
          </w:p>
        </w:tc>
        <w:tc>
          <w:tcPr>
            <w:tcW w:w="2340" w:type="dxa"/>
            <w:vAlign w:val="center"/>
            <w:tcMar>
              <w:top w:w="65" w:type="dxa"/>
              <w:start w:w="68" w:type="dxa"/>
              <w:bottom w:w="65" w:type="dxa"/>
              <w:end w:w="68" w:type="dxa"/>
            </w:tcMar>
            <w:shd w:val="clear" w:color="auto" w:fill="E8F0F8"/>
          </w:tcPr>
          <w:p w14:paraId="722FDE7A">
            <w:pPr>
              <w:spacing w:before="0" w:after="0" w:line="240" w:lineRule="auto"/>
              <w:jc w:val="center"/>
            </w:pPr>
            <w:r>
              <w:rPr>
                <w:rFonts w:ascii="Times New Roman" w:hAnsi="Times New Roman" w:eastAsia="Times New Roman" w:cs="Times New Roman"/>
                <w:b/>
                <w:color w:val="1E364D"/>
                <w:sz w:val="16"/>
              </w:rPr>
              <w:t>% of boundary disagreements</w:t>
            </w:r>
          </w:p>
        </w:tc>
      </w:tr>
      <w:tr w14:paraId="680F7A7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2340" w:type="dxa"/>
            <w:vAlign w:val="center"/>
            <w:tcMar>
              <w:top w:w="65" w:type="dxa"/>
              <w:start w:w="68" w:type="dxa"/>
              <w:bottom w:w="65" w:type="dxa"/>
              <w:end w:w="68" w:type="dxa"/>
            </w:tcMar>
          </w:tcPr>
          <w:p w14:paraId="051CCA77">
            <w:pPr>
              <w:spacing w:before="0" w:after="0" w:line="240" w:lineRule="auto"/>
              <w:jc w:val="left"/>
            </w:pPr>
            <w:r>
              <w:rPr>
                <w:rFonts w:ascii="Times New Roman" w:hAnsi="Times New Roman" w:eastAsia="Times New Roman" w:cs="Times New Roman"/>
                <w:b w:val="0"/>
                <w:color w:val="000000"/>
                <w:sz w:val="16"/>
              </w:rPr>
              <w:t>no_failure</w:t>
            </w:r>
          </w:p>
        </w:tc>
        <w:tc>
          <w:tcPr>
            <w:tcW w:w="2340" w:type="dxa"/>
            <w:vAlign w:val="center"/>
            <w:tcMar>
              <w:top w:w="65" w:type="dxa"/>
              <w:start w:w="68" w:type="dxa"/>
              <w:bottom w:w="65" w:type="dxa"/>
              <w:end w:w="68" w:type="dxa"/>
            </w:tcMar>
          </w:tcPr>
          <w:p w14:paraId="378CA8EA">
            <w:pPr>
              <w:spacing w:before="0" w:after="0" w:line="240" w:lineRule="auto"/>
              <w:jc w:val="left"/>
            </w:pPr>
            <w:r>
              <w:rPr>
                <w:rFonts w:ascii="Times New Roman" w:hAnsi="Times New Roman" w:eastAsia="Times New Roman" w:cs="Times New Roman"/>
                <w:b w:val="0"/>
                <w:color w:val="000000"/>
                <w:sz w:val="16"/>
              </w:rPr>
              <w:t>semantic_only</w:t>
            </w:r>
          </w:p>
        </w:tc>
        <w:tc>
          <w:tcPr>
            <w:tcW w:w="2340" w:type="dxa"/>
            <w:vAlign w:val="center"/>
            <w:tcMar>
              <w:top w:w="65" w:type="dxa"/>
              <w:start w:w="68" w:type="dxa"/>
              <w:bottom w:w="65" w:type="dxa"/>
              <w:end w:w="68" w:type="dxa"/>
            </w:tcMar>
          </w:tcPr>
          <w:p w14:paraId="72BAC1D1">
            <w:pPr>
              <w:spacing w:before="0" w:after="0" w:line="240" w:lineRule="auto"/>
              <w:jc w:val="left"/>
            </w:pPr>
            <w:r>
              <w:rPr>
                <w:rFonts w:ascii="Times New Roman" w:hAnsi="Times New Roman" w:eastAsia="Times New Roman" w:cs="Times New Roman"/>
                <w:b w:val="0"/>
                <w:color w:val="000000"/>
                <w:sz w:val="16"/>
              </w:rPr>
              <w:t>160</w:t>
            </w:r>
          </w:p>
        </w:tc>
        <w:tc>
          <w:tcPr>
            <w:tcW w:w="2340" w:type="dxa"/>
            <w:vAlign w:val="center"/>
            <w:tcMar>
              <w:top w:w="65" w:type="dxa"/>
              <w:start w:w="68" w:type="dxa"/>
              <w:bottom w:w="65" w:type="dxa"/>
              <w:end w:w="68" w:type="dxa"/>
            </w:tcMar>
          </w:tcPr>
          <w:p w14:paraId="5E3D850E">
            <w:pPr>
              <w:spacing w:before="0" w:after="0" w:line="240" w:lineRule="auto"/>
              <w:jc w:val="left"/>
            </w:pPr>
            <w:r>
              <w:rPr>
                <w:rFonts w:ascii="Times New Roman" w:hAnsi="Times New Roman" w:eastAsia="Times New Roman" w:cs="Times New Roman"/>
                <w:b w:val="0"/>
                <w:color w:val="000000"/>
                <w:sz w:val="16"/>
              </w:rPr>
              <w:t>40.5</w:t>
            </w:r>
          </w:p>
        </w:tc>
      </w:tr>
      <w:tr w14:paraId="66016C9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2340" w:type="dxa"/>
            <w:vAlign w:val="center"/>
            <w:tcMar>
              <w:top w:w="65" w:type="dxa"/>
              <w:start w:w="68" w:type="dxa"/>
              <w:bottom w:w="65" w:type="dxa"/>
              <w:end w:w="68" w:type="dxa"/>
            </w:tcMar>
          </w:tcPr>
          <w:p w14:paraId="49215626">
            <w:pPr>
              <w:spacing w:before="0" w:after="0" w:line="240" w:lineRule="auto"/>
              <w:jc w:val="left"/>
            </w:pPr>
            <w:r>
              <w:rPr>
                <w:rFonts w:ascii="Times New Roman" w:hAnsi="Times New Roman" w:eastAsia="Times New Roman" w:cs="Times New Roman"/>
                <w:b w:val="0"/>
                <w:color w:val="000000"/>
                <w:sz w:val="16"/>
              </w:rPr>
              <w:t>no_failure</w:t>
            </w:r>
          </w:p>
        </w:tc>
        <w:tc>
          <w:tcPr>
            <w:tcW w:w="2340" w:type="dxa"/>
            <w:vAlign w:val="center"/>
            <w:tcMar>
              <w:top w:w="65" w:type="dxa"/>
              <w:start w:w="68" w:type="dxa"/>
              <w:bottom w:w="65" w:type="dxa"/>
              <w:end w:w="68" w:type="dxa"/>
            </w:tcMar>
          </w:tcPr>
          <w:p w14:paraId="3EAB59F4">
            <w:pPr>
              <w:spacing w:before="0" w:after="0" w:line="240" w:lineRule="auto"/>
              <w:jc w:val="left"/>
            </w:pPr>
            <w:r>
              <w:rPr>
                <w:rFonts w:ascii="Times New Roman" w:hAnsi="Times New Roman" w:eastAsia="Times New Roman" w:cs="Times New Roman"/>
                <w:b w:val="0"/>
                <w:color w:val="000000"/>
                <w:sz w:val="16"/>
              </w:rPr>
              <w:t>overlap</w:t>
            </w:r>
          </w:p>
        </w:tc>
        <w:tc>
          <w:tcPr>
            <w:tcW w:w="2340" w:type="dxa"/>
            <w:vAlign w:val="center"/>
            <w:tcMar>
              <w:top w:w="65" w:type="dxa"/>
              <w:start w:w="68" w:type="dxa"/>
              <w:bottom w:w="65" w:type="dxa"/>
              <w:end w:w="68" w:type="dxa"/>
            </w:tcMar>
          </w:tcPr>
          <w:p w14:paraId="139055D3">
            <w:pPr>
              <w:spacing w:before="0" w:after="0" w:line="240" w:lineRule="auto"/>
              <w:jc w:val="left"/>
            </w:pPr>
            <w:r>
              <w:rPr>
                <w:rFonts w:ascii="Times New Roman" w:hAnsi="Times New Roman" w:eastAsia="Times New Roman" w:cs="Times New Roman"/>
                <w:b w:val="0"/>
                <w:color w:val="000000"/>
                <w:sz w:val="16"/>
              </w:rPr>
              <w:t>92</w:t>
            </w:r>
          </w:p>
        </w:tc>
        <w:tc>
          <w:tcPr>
            <w:tcW w:w="2340" w:type="dxa"/>
            <w:vAlign w:val="center"/>
            <w:tcMar>
              <w:top w:w="65" w:type="dxa"/>
              <w:start w:w="68" w:type="dxa"/>
              <w:bottom w:w="65" w:type="dxa"/>
              <w:end w:w="68" w:type="dxa"/>
            </w:tcMar>
          </w:tcPr>
          <w:p w14:paraId="188A7AF0">
            <w:pPr>
              <w:spacing w:before="0" w:after="0" w:line="240" w:lineRule="auto"/>
              <w:jc w:val="left"/>
            </w:pPr>
            <w:r>
              <w:rPr>
                <w:rFonts w:ascii="Times New Roman" w:hAnsi="Times New Roman" w:eastAsia="Times New Roman" w:cs="Times New Roman"/>
                <w:b w:val="0"/>
                <w:color w:val="000000"/>
                <w:sz w:val="16"/>
              </w:rPr>
              <w:t>23.3</w:t>
            </w:r>
          </w:p>
        </w:tc>
      </w:tr>
      <w:tr w14:paraId="52D1F48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2340" w:type="dxa"/>
            <w:vAlign w:val="center"/>
            <w:tcMar>
              <w:top w:w="65" w:type="dxa"/>
              <w:start w:w="68" w:type="dxa"/>
              <w:bottom w:w="65" w:type="dxa"/>
              <w:end w:w="68" w:type="dxa"/>
            </w:tcMar>
          </w:tcPr>
          <w:p w14:paraId="6D70F5AC">
            <w:pPr>
              <w:spacing w:before="0" w:after="0" w:line="240" w:lineRule="auto"/>
              <w:jc w:val="left"/>
            </w:pPr>
            <w:r>
              <w:rPr>
                <w:rFonts w:ascii="Times New Roman" w:hAnsi="Times New Roman" w:eastAsia="Times New Roman" w:cs="Times New Roman"/>
                <w:b w:val="0"/>
                <w:color w:val="000000"/>
                <w:sz w:val="16"/>
              </w:rPr>
              <w:t>semantic_only</w:t>
            </w:r>
          </w:p>
        </w:tc>
        <w:tc>
          <w:tcPr>
            <w:tcW w:w="2340" w:type="dxa"/>
            <w:vAlign w:val="center"/>
            <w:tcMar>
              <w:top w:w="65" w:type="dxa"/>
              <w:start w:w="68" w:type="dxa"/>
              <w:bottom w:w="65" w:type="dxa"/>
              <w:end w:w="68" w:type="dxa"/>
            </w:tcMar>
          </w:tcPr>
          <w:p w14:paraId="2398ACC5">
            <w:pPr>
              <w:spacing w:before="0" w:after="0" w:line="240" w:lineRule="auto"/>
              <w:jc w:val="left"/>
            </w:pPr>
            <w:r>
              <w:rPr>
                <w:rFonts w:ascii="Times New Roman" w:hAnsi="Times New Roman" w:eastAsia="Times New Roman" w:cs="Times New Roman"/>
                <w:b w:val="0"/>
                <w:color w:val="000000"/>
                <w:sz w:val="16"/>
              </w:rPr>
              <w:t>overlap</w:t>
            </w:r>
          </w:p>
        </w:tc>
        <w:tc>
          <w:tcPr>
            <w:tcW w:w="2340" w:type="dxa"/>
            <w:vAlign w:val="center"/>
            <w:tcMar>
              <w:top w:w="65" w:type="dxa"/>
              <w:start w:w="68" w:type="dxa"/>
              <w:bottom w:w="65" w:type="dxa"/>
              <w:end w:w="68" w:type="dxa"/>
            </w:tcMar>
          </w:tcPr>
          <w:p w14:paraId="3FC727DA">
            <w:pPr>
              <w:spacing w:before="0" w:after="0" w:line="240" w:lineRule="auto"/>
              <w:jc w:val="left"/>
            </w:pPr>
            <w:r>
              <w:rPr>
                <w:rFonts w:ascii="Times New Roman" w:hAnsi="Times New Roman" w:eastAsia="Times New Roman" w:cs="Times New Roman"/>
                <w:b w:val="0"/>
                <w:color w:val="000000"/>
                <w:sz w:val="16"/>
              </w:rPr>
              <w:t>89</w:t>
            </w:r>
          </w:p>
        </w:tc>
        <w:tc>
          <w:tcPr>
            <w:tcW w:w="2340" w:type="dxa"/>
            <w:vAlign w:val="center"/>
            <w:tcMar>
              <w:top w:w="65" w:type="dxa"/>
              <w:start w:w="68" w:type="dxa"/>
              <w:bottom w:w="65" w:type="dxa"/>
              <w:end w:w="68" w:type="dxa"/>
            </w:tcMar>
          </w:tcPr>
          <w:p w14:paraId="13359316">
            <w:pPr>
              <w:spacing w:before="0" w:after="0" w:line="240" w:lineRule="auto"/>
              <w:jc w:val="left"/>
            </w:pPr>
            <w:r>
              <w:rPr>
                <w:rFonts w:ascii="Times New Roman" w:hAnsi="Times New Roman" w:eastAsia="Times New Roman" w:cs="Times New Roman"/>
                <w:b w:val="0"/>
                <w:color w:val="000000"/>
                <w:sz w:val="16"/>
              </w:rPr>
              <w:t>22.5</w:t>
            </w:r>
          </w:p>
        </w:tc>
      </w:tr>
      <w:tr w14:paraId="67EC6D6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2340" w:type="dxa"/>
            <w:vAlign w:val="center"/>
            <w:tcMar>
              <w:top w:w="65" w:type="dxa"/>
              <w:start w:w="68" w:type="dxa"/>
              <w:bottom w:w="65" w:type="dxa"/>
              <w:end w:w="68" w:type="dxa"/>
            </w:tcMar>
          </w:tcPr>
          <w:p w14:paraId="43076821">
            <w:pPr>
              <w:spacing w:before="0" w:after="0" w:line="240" w:lineRule="auto"/>
              <w:jc w:val="left"/>
            </w:pPr>
            <w:r>
              <w:rPr>
                <w:rFonts w:ascii="Times New Roman" w:hAnsi="Times New Roman" w:eastAsia="Times New Roman" w:cs="Times New Roman"/>
                <w:b w:val="0"/>
                <w:color w:val="000000"/>
                <w:sz w:val="16"/>
              </w:rPr>
              <w:t>no_failure</w:t>
            </w:r>
          </w:p>
        </w:tc>
        <w:tc>
          <w:tcPr>
            <w:tcW w:w="2340" w:type="dxa"/>
            <w:vAlign w:val="center"/>
            <w:tcMar>
              <w:top w:w="65" w:type="dxa"/>
              <w:start w:w="68" w:type="dxa"/>
              <w:bottom w:w="65" w:type="dxa"/>
              <w:end w:w="68" w:type="dxa"/>
            </w:tcMar>
          </w:tcPr>
          <w:p w14:paraId="4E669554">
            <w:pPr>
              <w:spacing w:before="0" w:after="0" w:line="240" w:lineRule="auto"/>
              <w:jc w:val="left"/>
            </w:pPr>
            <w:r>
              <w:rPr>
                <w:rFonts w:ascii="Times New Roman" w:hAnsi="Times New Roman" w:eastAsia="Times New Roman" w:cs="Times New Roman"/>
                <w:b w:val="0"/>
                <w:color w:val="000000"/>
                <w:sz w:val="16"/>
              </w:rPr>
              <w:t>hallucination_only</w:t>
            </w:r>
          </w:p>
        </w:tc>
        <w:tc>
          <w:tcPr>
            <w:tcW w:w="2340" w:type="dxa"/>
            <w:vAlign w:val="center"/>
            <w:tcMar>
              <w:top w:w="65" w:type="dxa"/>
              <w:start w:w="68" w:type="dxa"/>
              <w:bottom w:w="65" w:type="dxa"/>
              <w:end w:w="68" w:type="dxa"/>
            </w:tcMar>
          </w:tcPr>
          <w:p w14:paraId="6F3C0D96">
            <w:pPr>
              <w:spacing w:before="0" w:after="0" w:line="240" w:lineRule="auto"/>
              <w:jc w:val="left"/>
            </w:pPr>
            <w:r>
              <w:rPr>
                <w:rFonts w:ascii="Times New Roman" w:hAnsi="Times New Roman" w:eastAsia="Times New Roman" w:cs="Times New Roman"/>
                <w:b w:val="0"/>
                <w:color w:val="000000"/>
                <w:sz w:val="16"/>
              </w:rPr>
              <w:t>32</w:t>
            </w:r>
          </w:p>
        </w:tc>
        <w:tc>
          <w:tcPr>
            <w:tcW w:w="2340" w:type="dxa"/>
            <w:vAlign w:val="center"/>
            <w:tcMar>
              <w:top w:w="65" w:type="dxa"/>
              <w:start w:w="68" w:type="dxa"/>
              <w:bottom w:w="65" w:type="dxa"/>
              <w:end w:w="68" w:type="dxa"/>
            </w:tcMar>
          </w:tcPr>
          <w:p w14:paraId="5903AEA3">
            <w:pPr>
              <w:spacing w:before="0" w:after="0" w:line="240" w:lineRule="auto"/>
              <w:jc w:val="left"/>
            </w:pPr>
            <w:r>
              <w:rPr>
                <w:rFonts w:ascii="Times New Roman" w:hAnsi="Times New Roman" w:eastAsia="Times New Roman" w:cs="Times New Roman"/>
                <w:b w:val="0"/>
                <w:color w:val="000000"/>
                <w:sz w:val="16"/>
              </w:rPr>
              <w:t>8.1</w:t>
            </w:r>
          </w:p>
        </w:tc>
      </w:tr>
      <w:tr w14:paraId="19526AA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2340" w:type="dxa"/>
            <w:vAlign w:val="center"/>
            <w:tcMar>
              <w:top w:w="65" w:type="dxa"/>
              <w:start w:w="68" w:type="dxa"/>
              <w:bottom w:w="65" w:type="dxa"/>
              <w:end w:w="68" w:type="dxa"/>
            </w:tcMar>
          </w:tcPr>
          <w:p w14:paraId="22A990D8">
            <w:pPr>
              <w:spacing w:before="0" w:after="0" w:line="240" w:lineRule="auto"/>
              <w:jc w:val="left"/>
            </w:pPr>
            <w:r>
              <w:rPr>
                <w:rFonts w:ascii="Times New Roman" w:hAnsi="Times New Roman" w:eastAsia="Times New Roman" w:cs="Times New Roman"/>
                <w:b w:val="0"/>
                <w:color w:val="000000"/>
                <w:sz w:val="16"/>
              </w:rPr>
              <w:t>hallucination_only</w:t>
            </w:r>
          </w:p>
        </w:tc>
        <w:tc>
          <w:tcPr>
            <w:tcW w:w="2340" w:type="dxa"/>
            <w:vAlign w:val="center"/>
            <w:tcMar>
              <w:top w:w="65" w:type="dxa"/>
              <w:start w:w="68" w:type="dxa"/>
              <w:bottom w:w="65" w:type="dxa"/>
              <w:end w:w="68" w:type="dxa"/>
            </w:tcMar>
          </w:tcPr>
          <w:p w14:paraId="3DF3160C">
            <w:pPr>
              <w:spacing w:before="0" w:after="0" w:line="240" w:lineRule="auto"/>
              <w:jc w:val="left"/>
            </w:pPr>
            <w:r>
              <w:rPr>
                <w:rFonts w:ascii="Times New Roman" w:hAnsi="Times New Roman" w:eastAsia="Times New Roman" w:cs="Times New Roman"/>
                <w:b w:val="0"/>
                <w:color w:val="000000"/>
                <w:sz w:val="16"/>
              </w:rPr>
              <w:t>overlap</w:t>
            </w:r>
          </w:p>
        </w:tc>
        <w:tc>
          <w:tcPr>
            <w:tcW w:w="2340" w:type="dxa"/>
            <w:vAlign w:val="center"/>
            <w:tcMar>
              <w:top w:w="65" w:type="dxa"/>
              <w:start w:w="68" w:type="dxa"/>
              <w:bottom w:w="65" w:type="dxa"/>
              <w:end w:w="68" w:type="dxa"/>
            </w:tcMar>
          </w:tcPr>
          <w:p w14:paraId="04EF5E16">
            <w:pPr>
              <w:spacing w:before="0" w:after="0" w:line="240" w:lineRule="auto"/>
              <w:jc w:val="left"/>
            </w:pPr>
            <w:r>
              <w:rPr>
                <w:rFonts w:ascii="Times New Roman" w:hAnsi="Times New Roman" w:eastAsia="Times New Roman" w:cs="Times New Roman"/>
                <w:b w:val="0"/>
                <w:color w:val="000000"/>
                <w:sz w:val="16"/>
              </w:rPr>
              <w:t>21</w:t>
            </w:r>
          </w:p>
        </w:tc>
        <w:tc>
          <w:tcPr>
            <w:tcW w:w="2340" w:type="dxa"/>
            <w:vAlign w:val="center"/>
            <w:tcMar>
              <w:top w:w="65" w:type="dxa"/>
              <w:start w:w="68" w:type="dxa"/>
              <w:bottom w:w="65" w:type="dxa"/>
              <w:end w:w="68" w:type="dxa"/>
            </w:tcMar>
          </w:tcPr>
          <w:p w14:paraId="12BF5B84">
            <w:pPr>
              <w:spacing w:before="0" w:after="0" w:line="240" w:lineRule="auto"/>
              <w:jc w:val="left"/>
            </w:pPr>
            <w:r>
              <w:rPr>
                <w:rFonts w:ascii="Times New Roman" w:hAnsi="Times New Roman" w:eastAsia="Times New Roman" w:cs="Times New Roman"/>
                <w:b w:val="0"/>
                <w:color w:val="000000"/>
                <w:sz w:val="16"/>
              </w:rPr>
              <w:t>5.3</w:t>
            </w:r>
          </w:p>
        </w:tc>
      </w:tr>
      <w:tr w14:paraId="2091FA1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2340" w:type="dxa"/>
            <w:vAlign w:val="center"/>
            <w:tcMar>
              <w:top w:w="65" w:type="dxa"/>
              <w:start w:w="68" w:type="dxa"/>
              <w:bottom w:w="65" w:type="dxa"/>
              <w:end w:w="68" w:type="dxa"/>
            </w:tcMar>
          </w:tcPr>
          <w:p w14:paraId="293F26C3">
            <w:pPr>
              <w:spacing w:before="0" w:after="0" w:line="240" w:lineRule="auto"/>
              <w:jc w:val="left"/>
            </w:pPr>
            <w:r>
              <w:rPr>
                <w:rFonts w:ascii="Times New Roman" w:hAnsi="Times New Roman" w:eastAsia="Times New Roman" w:cs="Times New Roman"/>
                <w:b w:val="0"/>
                <w:color w:val="000000"/>
                <w:sz w:val="16"/>
              </w:rPr>
              <w:t>semantic_only</w:t>
            </w:r>
          </w:p>
        </w:tc>
        <w:tc>
          <w:tcPr>
            <w:tcW w:w="2340" w:type="dxa"/>
            <w:vAlign w:val="center"/>
            <w:tcMar>
              <w:top w:w="65" w:type="dxa"/>
              <w:start w:w="68" w:type="dxa"/>
              <w:bottom w:w="65" w:type="dxa"/>
              <w:end w:w="68" w:type="dxa"/>
            </w:tcMar>
          </w:tcPr>
          <w:p w14:paraId="6F48EB49">
            <w:pPr>
              <w:spacing w:before="0" w:after="0" w:line="240" w:lineRule="auto"/>
              <w:jc w:val="left"/>
            </w:pPr>
            <w:r>
              <w:rPr>
                <w:rFonts w:ascii="Times New Roman" w:hAnsi="Times New Roman" w:eastAsia="Times New Roman" w:cs="Times New Roman"/>
                <w:b w:val="0"/>
                <w:color w:val="000000"/>
                <w:sz w:val="16"/>
              </w:rPr>
              <w:t>hallucination_only</w:t>
            </w:r>
          </w:p>
        </w:tc>
        <w:tc>
          <w:tcPr>
            <w:tcW w:w="2340" w:type="dxa"/>
            <w:vAlign w:val="center"/>
            <w:tcMar>
              <w:top w:w="65" w:type="dxa"/>
              <w:start w:w="68" w:type="dxa"/>
              <w:bottom w:w="65" w:type="dxa"/>
              <w:end w:w="68" w:type="dxa"/>
            </w:tcMar>
          </w:tcPr>
          <w:p w14:paraId="631939B7">
            <w:pPr>
              <w:spacing w:before="0" w:after="0" w:line="240" w:lineRule="auto"/>
              <w:jc w:val="left"/>
            </w:pPr>
            <w:r>
              <w:rPr>
                <w:rFonts w:ascii="Times New Roman" w:hAnsi="Times New Roman" w:eastAsia="Times New Roman" w:cs="Times New Roman"/>
                <w:b w:val="0"/>
                <w:color w:val="000000"/>
                <w:sz w:val="16"/>
              </w:rPr>
              <w:t>1</w:t>
            </w:r>
          </w:p>
        </w:tc>
        <w:tc>
          <w:tcPr>
            <w:tcW w:w="2340" w:type="dxa"/>
            <w:vAlign w:val="center"/>
            <w:tcMar>
              <w:top w:w="65" w:type="dxa"/>
              <w:start w:w="68" w:type="dxa"/>
              <w:bottom w:w="65" w:type="dxa"/>
              <w:end w:w="68" w:type="dxa"/>
            </w:tcMar>
          </w:tcPr>
          <w:p w14:paraId="2E6EF130">
            <w:pPr>
              <w:spacing w:before="0" w:after="0" w:line="240" w:lineRule="auto"/>
              <w:jc w:val="left"/>
            </w:pPr>
            <w:r>
              <w:rPr>
                <w:rFonts w:ascii="Times New Roman" w:hAnsi="Times New Roman" w:eastAsia="Times New Roman" w:cs="Times New Roman"/>
                <w:b w:val="0"/>
                <w:color w:val="000000"/>
                <w:sz w:val="16"/>
              </w:rPr>
              <w:t>0.3</w:t>
            </w:r>
          </w:p>
        </w:tc>
      </w:tr>
    </w:tbl>
    <w:p w14:paraId="4C8D80EF">
      <w:pPr>
        <w:pStyle w:val="16"/>
        <w:keepNext/>
        <w:keepLines/>
        <w:spacing w:before="120" w:after="60"/>
        <w:jc w:val="left"/>
      </w:pPr>
      <w:r>
        <w:t>Table S42. Pooled pairwise non-identical severity contrasts.</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2340"/>
        <w:gridCol w:w="2340"/>
        <w:gridCol w:w="2340"/>
        <w:gridCol w:w="2340"/>
      </w:tblGrid>
      <w:tr w14:paraId="751DF75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tblHeader w:val="true"/>
          <w:jc w:val="center"/>
          <w:tblHeader w:val="true"/>
        </w:trPr>
        <w:tc>
          <w:tcPr>
            <w:tcW w:w="2340" w:type="dxa"/>
            <w:vAlign w:val="center"/>
            <w:tcMar>
              <w:top w:w="65" w:type="dxa"/>
              <w:start w:w="68" w:type="dxa"/>
              <w:bottom w:w="65" w:type="dxa"/>
              <w:end w:w="68" w:type="dxa"/>
            </w:tcMar>
            <w:shd w:val="clear" w:color="auto" w:fill="E8F0F8"/>
          </w:tcPr>
          <w:p w14:paraId="167597BC">
            <w:pPr>
              <w:spacing w:before="0" w:after="0" w:line="240" w:lineRule="auto"/>
              <w:jc w:val="center"/>
            </w:pPr>
            <w:r>
              <w:rPr>
                <w:rFonts w:ascii="Times New Roman" w:hAnsi="Times New Roman" w:eastAsia="Times New Roman" w:cs="Times New Roman"/>
                <w:b/>
                <w:color w:val="1E364D"/>
                <w:sz w:val="16"/>
              </w:rPr>
              <w:t>Severity 1</w:t>
            </w:r>
          </w:p>
        </w:tc>
        <w:tc>
          <w:tcPr>
            <w:tcW w:w="2340" w:type="dxa"/>
            <w:vAlign w:val="center"/>
            <w:tcMar>
              <w:top w:w="65" w:type="dxa"/>
              <w:start w:w="68" w:type="dxa"/>
              <w:bottom w:w="65" w:type="dxa"/>
              <w:end w:w="68" w:type="dxa"/>
            </w:tcMar>
            <w:shd w:val="clear" w:color="auto" w:fill="E8F0F8"/>
          </w:tcPr>
          <w:p w14:paraId="660E6336">
            <w:pPr>
              <w:spacing w:before="0" w:after="0" w:line="240" w:lineRule="auto"/>
              <w:jc w:val="center"/>
            </w:pPr>
            <w:r>
              <w:rPr>
                <w:rFonts w:ascii="Times New Roman" w:hAnsi="Times New Roman" w:eastAsia="Times New Roman" w:cs="Times New Roman"/>
                <w:b/>
                <w:color w:val="1E364D"/>
                <w:sz w:val="16"/>
              </w:rPr>
              <w:t>Severity 2</w:t>
            </w:r>
          </w:p>
        </w:tc>
        <w:tc>
          <w:tcPr>
            <w:tcW w:w="2340" w:type="dxa"/>
            <w:vAlign w:val="center"/>
            <w:tcMar>
              <w:top w:w="65" w:type="dxa"/>
              <w:start w:w="68" w:type="dxa"/>
              <w:bottom w:w="65" w:type="dxa"/>
              <w:end w:w="68" w:type="dxa"/>
            </w:tcMar>
            <w:shd w:val="clear" w:color="auto" w:fill="E8F0F8"/>
          </w:tcPr>
          <w:p w14:paraId="75ACFDD9">
            <w:pPr>
              <w:spacing w:before="0" w:after="0" w:line="240" w:lineRule="auto"/>
              <w:jc w:val="center"/>
            </w:pPr>
            <w:r>
              <w:rPr>
                <w:rFonts w:ascii="Times New Roman" w:hAnsi="Times New Roman" w:eastAsia="Times New Roman" w:cs="Times New Roman"/>
                <w:b/>
                <w:color w:val="1E364D"/>
                <w:sz w:val="16"/>
              </w:rPr>
              <w:t>Pair count</w:t>
            </w:r>
          </w:p>
        </w:tc>
        <w:tc>
          <w:tcPr>
            <w:tcW w:w="2340" w:type="dxa"/>
            <w:vAlign w:val="center"/>
            <w:tcMar>
              <w:top w:w="65" w:type="dxa"/>
              <w:start w:w="68" w:type="dxa"/>
              <w:bottom w:w="65" w:type="dxa"/>
              <w:end w:w="68" w:type="dxa"/>
            </w:tcMar>
            <w:shd w:val="clear" w:color="auto" w:fill="E8F0F8"/>
          </w:tcPr>
          <w:p w14:paraId="6BF0E429">
            <w:pPr>
              <w:spacing w:before="0" w:after="0" w:line="240" w:lineRule="auto"/>
              <w:jc w:val="center"/>
            </w:pPr>
            <w:r>
              <w:rPr>
                <w:rFonts w:ascii="Times New Roman" w:hAnsi="Times New Roman" w:eastAsia="Times New Roman" w:cs="Times New Roman"/>
                <w:b/>
                <w:color w:val="1E364D"/>
                <w:sz w:val="16"/>
              </w:rPr>
              <w:t>% of severity disagreements</w:t>
            </w:r>
          </w:p>
        </w:tc>
      </w:tr>
      <w:tr w14:paraId="3E368AC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2340" w:type="dxa"/>
            <w:vAlign w:val="center"/>
            <w:tcMar>
              <w:top w:w="65" w:type="dxa"/>
              <w:start w:w="68" w:type="dxa"/>
              <w:bottom w:w="65" w:type="dxa"/>
              <w:end w:w="68" w:type="dxa"/>
            </w:tcMar>
          </w:tcPr>
          <w:p w14:paraId="60E0BC7F">
            <w:pPr>
              <w:spacing w:before="0" w:after="0" w:line="240" w:lineRule="auto"/>
              <w:jc w:val="left"/>
            </w:pPr>
            <w:r>
              <w:rPr>
                <w:rFonts w:ascii="Times New Roman" w:hAnsi="Times New Roman" w:eastAsia="Times New Roman" w:cs="Times New Roman"/>
                <w:b w:val="0"/>
                <w:color w:val="000000"/>
                <w:sz w:val="16"/>
              </w:rPr>
              <w:t>2</w:t>
            </w:r>
          </w:p>
        </w:tc>
        <w:tc>
          <w:tcPr>
            <w:tcW w:w="2340" w:type="dxa"/>
            <w:vAlign w:val="center"/>
            <w:tcMar>
              <w:top w:w="65" w:type="dxa"/>
              <w:start w:w="68" w:type="dxa"/>
              <w:bottom w:w="65" w:type="dxa"/>
              <w:end w:w="68" w:type="dxa"/>
            </w:tcMar>
          </w:tcPr>
          <w:p w14:paraId="5CB80BD1">
            <w:pPr>
              <w:spacing w:before="0" w:after="0" w:line="240" w:lineRule="auto"/>
              <w:jc w:val="left"/>
            </w:pPr>
            <w:r>
              <w:rPr>
                <w:rFonts w:ascii="Times New Roman" w:hAnsi="Times New Roman" w:eastAsia="Times New Roman" w:cs="Times New Roman"/>
                <w:b w:val="0"/>
                <w:color w:val="000000"/>
                <w:sz w:val="16"/>
              </w:rPr>
              <w:t>3</w:t>
            </w:r>
          </w:p>
        </w:tc>
        <w:tc>
          <w:tcPr>
            <w:tcW w:w="2340" w:type="dxa"/>
            <w:vAlign w:val="center"/>
            <w:tcMar>
              <w:top w:w="65" w:type="dxa"/>
              <w:start w:w="68" w:type="dxa"/>
              <w:bottom w:w="65" w:type="dxa"/>
              <w:end w:w="68" w:type="dxa"/>
            </w:tcMar>
          </w:tcPr>
          <w:p w14:paraId="127BCA36">
            <w:pPr>
              <w:spacing w:before="0" w:after="0" w:line="240" w:lineRule="auto"/>
              <w:jc w:val="left"/>
            </w:pPr>
            <w:r>
              <w:rPr>
                <w:rFonts w:ascii="Times New Roman" w:hAnsi="Times New Roman" w:eastAsia="Times New Roman" w:cs="Times New Roman"/>
                <w:b w:val="0"/>
                <w:color w:val="000000"/>
                <w:sz w:val="16"/>
              </w:rPr>
              <w:t>226</w:t>
            </w:r>
          </w:p>
        </w:tc>
        <w:tc>
          <w:tcPr>
            <w:tcW w:w="2340" w:type="dxa"/>
            <w:vAlign w:val="center"/>
            <w:tcMar>
              <w:top w:w="65" w:type="dxa"/>
              <w:start w:w="68" w:type="dxa"/>
              <w:bottom w:w="65" w:type="dxa"/>
              <w:end w:w="68" w:type="dxa"/>
            </w:tcMar>
          </w:tcPr>
          <w:p w14:paraId="389FD690">
            <w:pPr>
              <w:spacing w:before="0" w:after="0" w:line="240" w:lineRule="auto"/>
              <w:jc w:val="left"/>
            </w:pPr>
            <w:r>
              <w:rPr>
                <w:rFonts w:ascii="Times New Roman" w:hAnsi="Times New Roman" w:eastAsia="Times New Roman" w:cs="Times New Roman"/>
                <w:b w:val="0"/>
                <w:color w:val="000000"/>
                <w:sz w:val="16"/>
              </w:rPr>
              <w:t>37.0</w:t>
            </w:r>
          </w:p>
        </w:tc>
      </w:tr>
      <w:tr w14:paraId="44F855B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2340" w:type="dxa"/>
            <w:vAlign w:val="center"/>
            <w:tcMar>
              <w:top w:w="65" w:type="dxa"/>
              <w:start w:w="68" w:type="dxa"/>
              <w:bottom w:w="65" w:type="dxa"/>
              <w:end w:w="68" w:type="dxa"/>
            </w:tcMar>
          </w:tcPr>
          <w:p w14:paraId="56C676AA">
            <w:pPr>
              <w:spacing w:before="0" w:after="0" w:line="240" w:lineRule="auto"/>
              <w:jc w:val="left"/>
            </w:pPr>
            <w:r>
              <w:rPr>
                <w:rFonts w:ascii="Times New Roman" w:hAnsi="Times New Roman" w:eastAsia="Times New Roman" w:cs="Times New Roman"/>
                <w:b w:val="0"/>
                <w:color w:val="000000"/>
                <w:sz w:val="16"/>
              </w:rPr>
              <w:t>0</w:t>
            </w:r>
          </w:p>
        </w:tc>
        <w:tc>
          <w:tcPr>
            <w:tcW w:w="2340" w:type="dxa"/>
            <w:vAlign w:val="center"/>
            <w:tcMar>
              <w:top w:w="65" w:type="dxa"/>
              <w:start w:w="68" w:type="dxa"/>
              <w:bottom w:w="65" w:type="dxa"/>
              <w:end w:w="68" w:type="dxa"/>
            </w:tcMar>
          </w:tcPr>
          <w:p w14:paraId="7A67438A">
            <w:pPr>
              <w:spacing w:before="0" w:after="0" w:line="240" w:lineRule="auto"/>
              <w:jc w:val="left"/>
            </w:pPr>
            <w:r>
              <w:rPr>
                <w:rFonts w:ascii="Times New Roman" w:hAnsi="Times New Roman" w:eastAsia="Times New Roman" w:cs="Times New Roman"/>
                <w:b w:val="0"/>
                <w:color w:val="000000"/>
                <w:sz w:val="16"/>
              </w:rPr>
              <w:t>2</w:t>
            </w:r>
          </w:p>
        </w:tc>
        <w:tc>
          <w:tcPr>
            <w:tcW w:w="2340" w:type="dxa"/>
            <w:vAlign w:val="center"/>
            <w:tcMar>
              <w:top w:w="65" w:type="dxa"/>
              <w:start w:w="68" w:type="dxa"/>
              <w:bottom w:w="65" w:type="dxa"/>
              <w:end w:w="68" w:type="dxa"/>
            </w:tcMar>
          </w:tcPr>
          <w:p w14:paraId="36B449A8">
            <w:pPr>
              <w:spacing w:before="0" w:after="0" w:line="240" w:lineRule="auto"/>
              <w:jc w:val="left"/>
            </w:pPr>
            <w:r>
              <w:rPr>
                <w:rFonts w:ascii="Times New Roman" w:hAnsi="Times New Roman" w:eastAsia="Times New Roman" w:cs="Times New Roman"/>
                <w:b w:val="0"/>
                <w:color w:val="000000"/>
                <w:sz w:val="16"/>
              </w:rPr>
              <w:t>124</w:t>
            </w:r>
          </w:p>
        </w:tc>
        <w:tc>
          <w:tcPr>
            <w:tcW w:w="2340" w:type="dxa"/>
            <w:vAlign w:val="center"/>
            <w:tcMar>
              <w:top w:w="65" w:type="dxa"/>
              <w:start w:w="68" w:type="dxa"/>
              <w:bottom w:w="65" w:type="dxa"/>
              <w:end w:w="68" w:type="dxa"/>
            </w:tcMar>
          </w:tcPr>
          <w:p w14:paraId="45DE7130">
            <w:pPr>
              <w:spacing w:before="0" w:after="0" w:line="240" w:lineRule="auto"/>
              <w:jc w:val="left"/>
            </w:pPr>
            <w:r>
              <w:rPr>
                <w:rFonts w:ascii="Times New Roman" w:hAnsi="Times New Roman" w:eastAsia="Times New Roman" w:cs="Times New Roman"/>
                <w:b w:val="0"/>
                <w:color w:val="000000"/>
                <w:sz w:val="16"/>
              </w:rPr>
              <w:t>20.3</w:t>
            </w:r>
          </w:p>
        </w:tc>
      </w:tr>
      <w:tr w14:paraId="277E59F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2340" w:type="dxa"/>
            <w:vAlign w:val="center"/>
            <w:tcMar>
              <w:top w:w="65" w:type="dxa"/>
              <w:start w:w="68" w:type="dxa"/>
              <w:bottom w:w="65" w:type="dxa"/>
              <w:end w:w="68" w:type="dxa"/>
            </w:tcMar>
          </w:tcPr>
          <w:p w14:paraId="02928FCA">
            <w:pPr>
              <w:spacing w:before="0" w:after="0" w:line="240" w:lineRule="auto"/>
              <w:jc w:val="left"/>
            </w:pPr>
            <w:r>
              <w:rPr>
                <w:rFonts w:ascii="Times New Roman" w:hAnsi="Times New Roman" w:eastAsia="Times New Roman" w:cs="Times New Roman"/>
                <w:b w:val="0"/>
                <w:color w:val="000000"/>
                <w:sz w:val="16"/>
              </w:rPr>
              <w:t>0</w:t>
            </w:r>
          </w:p>
        </w:tc>
        <w:tc>
          <w:tcPr>
            <w:tcW w:w="2340" w:type="dxa"/>
            <w:vAlign w:val="center"/>
            <w:tcMar>
              <w:top w:w="65" w:type="dxa"/>
              <w:start w:w="68" w:type="dxa"/>
              <w:bottom w:w="65" w:type="dxa"/>
              <w:end w:w="68" w:type="dxa"/>
            </w:tcMar>
          </w:tcPr>
          <w:p w14:paraId="51AC1D9E">
            <w:pPr>
              <w:spacing w:before="0" w:after="0" w:line="240" w:lineRule="auto"/>
              <w:jc w:val="left"/>
            </w:pPr>
            <w:r>
              <w:rPr>
                <w:rFonts w:ascii="Times New Roman" w:hAnsi="Times New Roman" w:eastAsia="Times New Roman" w:cs="Times New Roman"/>
                <w:b w:val="0"/>
                <w:color w:val="000000"/>
                <w:sz w:val="16"/>
              </w:rPr>
              <w:t>1</w:t>
            </w:r>
          </w:p>
        </w:tc>
        <w:tc>
          <w:tcPr>
            <w:tcW w:w="2340" w:type="dxa"/>
            <w:vAlign w:val="center"/>
            <w:tcMar>
              <w:top w:w="65" w:type="dxa"/>
              <w:start w:w="68" w:type="dxa"/>
              <w:bottom w:w="65" w:type="dxa"/>
              <w:end w:w="68" w:type="dxa"/>
            </w:tcMar>
          </w:tcPr>
          <w:p w14:paraId="7153D9E3">
            <w:pPr>
              <w:spacing w:before="0" w:after="0" w:line="240" w:lineRule="auto"/>
              <w:jc w:val="left"/>
            </w:pPr>
            <w:r>
              <w:rPr>
                <w:rFonts w:ascii="Times New Roman" w:hAnsi="Times New Roman" w:eastAsia="Times New Roman" w:cs="Times New Roman"/>
                <w:b w:val="0"/>
                <w:color w:val="000000"/>
                <w:sz w:val="16"/>
              </w:rPr>
              <w:t>106</w:t>
            </w:r>
          </w:p>
        </w:tc>
        <w:tc>
          <w:tcPr>
            <w:tcW w:w="2340" w:type="dxa"/>
            <w:vAlign w:val="center"/>
            <w:tcMar>
              <w:top w:w="65" w:type="dxa"/>
              <w:start w:w="68" w:type="dxa"/>
              <w:bottom w:w="65" w:type="dxa"/>
              <w:end w:w="68" w:type="dxa"/>
            </w:tcMar>
          </w:tcPr>
          <w:p w14:paraId="350B4CD5">
            <w:pPr>
              <w:spacing w:before="0" w:after="0" w:line="240" w:lineRule="auto"/>
              <w:jc w:val="left"/>
            </w:pPr>
            <w:r>
              <w:rPr>
                <w:rFonts w:ascii="Times New Roman" w:hAnsi="Times New Roman" w:eastAsia="Times New Roman" w:cs="Times New Roman"/>
                <w:b w:val="0"/>
                <w:color w:val="000000"/>
                <w:sz w:val="16"/>
              </w:rPr>
              <w:t>17.4</w:t>
            </w:r>
          </w:p>
        </w:tc>
      </w:tr>
      <w:tr w14:paraId="3FAB251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2340" w:type="dxa"/>
            <w:vAlign w:val="center"/>
            <w:tcMar>
              <w:top w:w="65" w:type="dxa"/>
              <w:start w:w="68" w:type="dxa"/>
              <w:bottom w:w="65" w:type="dxa"/>
              <w:end w:w="68" w:type="dxa"/>
            </w:tcMar>
          </w:tcPr>
          <w:p w14:paraId="1189C8FE">
            <w:pPr>
              <w:spacing w:before="0" w:after="0" w:line="240" w:lineRule="auto"/>
              <w:jc w:val="left"/>
            </w:pPr>
            <w:r>
              <w:rPr>
                <w:rFonts w:ascii="Times New Roman" w:hAnsi="Times New Roman" w:eastAsia="Times New Roman" w:cs="Times New Roman"/>
                <w:b w:val="0"/>
                <w:color w:val="000000"/>
                <w:sz w:val="16"/>
              </w:rPr>
              <w:t>1</w:t>
            </w:r>
          </w:p>
        </w:tc>
        <w:tc>
          <w:tcPr>
            <w:tcW w:w="2340" w:type="dxa"/>
            <w:vAlign w:val="center"/>
            <w:tcMar>
              <w:top w:w="65" w:type="dxa"/>
              <w:start w:w="68" w:type="dxa"/>
              <w:bottom w:w="65" w:type="dxa"/>
              <w:end w:w="68" w:type="dxa"/>
            </w:tcMar>
          </w:tcPr>
          <w:p w14:paraId="6113CCC1">
            <w:pPr>
              <w:spacing w:before="0" w:after="0" w:line="240" w:lineRule="auto"/>
              <w:jc w:val="left"/>
            </w:pPr>
            <w:r>
              <w:rPr>
                <w:rFonts w:ascii="Times New Roman" w:hAnsi="Times New Roman" w:eastAsia="Times New Roman" w:cs="Times New Roman"/>
                <w:b w:val="0"/>
                <w:color w:val="000000"/>
                <w:sz w:val="16"/>
              </w:rPr>
              <w:t>2</w:t>
            </w:r>
          </w:p>
        </w:tc>
        <w:tc>
          <w:tcPr>
            <w:tcW w:w="2340" w:type="dxa"/>
            <w:vAlign w:val="center"/>
            <w:tcMar>
              <w:top w:w="65" w:type="dxa"/>
              <w:start w:w="68" w:type="dxa"/>
              <w:bottom w:w="65" w:type="dxa"/>
              <w:end w:w="68" w:type="dxa"/>
            </w:tcMar>
          </w:tcPr>
          <w:p w14:paraId="1FF1B61E">
            <w:pPr>
              <w:spacing w:before="0" w:after="0" w:line="240" w:lineRule="auto"/>
              <w:jc w:val="left"/>
            </w:pPr>
            <w:r>
              <w:rPr>
                <w:rFonts w:ascii="Times New Roman" w:hAnsi="Times New Roman" w:eastAsia="Times New Roman" w:cs="Times New Roman"/>
                <w:b w:val="0"/>
                <w:color w:val="000000"/>
                <w:sz w:val="16"/>
              </w:rPr>
              <w:t>82</w:t>
            </w:r>
          </w:p>
        </w:tc>
        <w:tc>
          <w:tcPr>
            <w:tcW w:w="2340" w:type="dxa"/>
            <w:vAlign w:val="center"/>
            <w:tcMar>
              <w:top w:w="65" w:type="dxa"/>
              <w:start w:w="68" w:type="dxa"/>
              <w:bottom w:w="65" w:type="dxa"/>
              <w:end w:w="68" w:type="dxa"/>
            </w:tcMar>
          </w:tcPr>
          <w:p w14:paraId="0E917A97">
            <w:pPr>
              <w:spacing w:before="0" w:after="0" w:line="240" w:lineRule="auto"/>
              <w:jc w:val="left"/>
            </w:pPr>
            <w:r>
              <w:rPr>
                <w:rFonts w:ascii="Times New Roman" w:hAnsi="Times New Roman" w:eastAsia="Times New Roman" w:cs="Times New Roman"/>
                <w:b w:val="0"/>
                <w:color w:val="000000"/>
                <w:sz w:val="16"/>
              </w:rPr>
              <w:t>13.4</w:t>
            </w:r>
          </w:p>
        </w:tc>
      </w:tr>
      <w:tr w14:paraId="4C6FEE2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2340" w:type="dxa"/>
            <w:vAlign w:val="center"/>
            <w:tcMar>
              <w:top w:w="65" w:type="dxa"/>
              <w:start w:w="68" w:type="dxa"/>
              <w:bottom w:w="65" w:type="dxa"/>
              <w:end w:w="68" w:type="dxa"/>
            </w:tcMar>
          </w:tcPr>
          <w:p w14:paraId="7F6A6B6A">
            <w:pPr>
              <w:spacing w:before="0" w:after="0" w:line="240" w:lineRule="auto"/>
              <w:jc w:val="left"/>
            </w:pPr>
            <w:r>
              <w:rPr>
                <w:rFonts w:ascii="Times New Roman" w:hAnsi="Times New Roman" w:eastAsia="Times New Roman" w:cs="Times New Roman"/>
                <w:b w:val="0"/>
                <w:color w:val="000000"/>
                <w:sz w:val="16"/>
              </w:rPr>
              <w:t>0</w:t>
            </w:r>
          </w:p>
        </w:tc>
        <w:tc>
          <w:tcPr>
            <w:tcW w:w="2340" w:type="dxa"/>
            <w:vAlign w:val="center"/>
            <w:tcMar>
              <w:top w:w="65" w:type="dxa"/>
              <w:start w:w="68" w:type="dxa"/>
              <w:bottom w:w="65" w:type="dxa"/>
              <w:end w:w="68" w:type="dxa"/>
            </w:tcMar>
          </w:tcPr>
          <w:p w14:paraId="4A9D75EA">
            <w:pPr>
              <w:spacing w:before="0" w:after="0" w:line="240" w:lineRule="auto"/>
              <w:jc w:val="left"/>
            </w:pPr>
            <w:r>
              <w:rPr>
                <w:rFonts w:ascii="Times New Roman" w:hAnsi="Times New Roman" w:eastAsia="Times New Roman" w:cs="Times New Roman"/>
                <w:b w:val="0"/>
                <w:color w:val="000000"/>
                <w:sz w:val="16"/>
              </w:rPr>
              <w:t>3</w:t>
            </w:r>
          </w:p>
        </w:tc>
        <w:tc>
          <w:tcPr>
            <w:tcW w:w="2340" w:type="dxa"/>
            <w:vAlign w:val="center"/>
            <w:tcMar>
              <w:top w:w="65" w:type="dxa"/>
              <w:start w:w="68" w:type="dxa"/>
              <w:bottom w:w="65" w:type="dxa"/>
              <w:end w:w="68" w:type="dxa"/>
            </w:tcMar>
          </w:tcPr>
          <w:p w14:paraId="770E4153">
            <w:pPr>
              <w:spacing w:before="0" w:after="0" w:line="240" w:lineRule="auto"/>
              <w:jc w:val="left"/>
            </w:pPr>
            <w:r>
              <w:rPr>
                <w:rFonts w:ascii="Times New Roman" w:hAnsi="Times New Roman" w:eastAsia="Times New Roman" w:cs="Times New Roman"/>
                <w:b w:val="0"/>
                <w:color w:val="000000"/>
                <w:sz w:val="16"/>
              </w:rPr>
              <w:t>54</w:t>
            </w:r>
          </w:p>
        </w:tc>
        <w:tc>
          <w:tcPr>
            <w:tcW w:w="2340" w:type="dxa"/>
            <w:vAlign w:val="center"/>
            <w:tcMar>
              <w:top w:w="65" w:type="dxa"/>
              <w:start w:w="68" w:type="dxa"/>
              <w:bottom w:w="65" w:type="dxa"/>
              <w:end w:w="68" w:type="dxa"/>
            </w:tcMar>
          </w:tcPr>
          <w:p w14:paraId="594D373F">
            <w:pPr>
              <w:spacing w:before="0" w:after="0" w:line="240" w:lineRule="auto"/>
              <w:jc w:val="left"/>
            </w:pPr>
            <w:r>
              <w:rPr>
                <w:rFonts w:ascii="Times New Roman" w:hAnsi="Times New Roman" w:eastAsia="Times New Roman" w:cs="Times New Roman"/>
                <w:b w:val="0"/>
                <w:color w:val="000000"/>
                <w:sz w:val="16"/>
              </w:rPr>
              <w:t>8.9</w:t>
            </w:r>
          </w:p>
        </w:tc>
      </w:tr>
      <w:tr w14:paraId="4CE3F50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2340" w:type="dxa"/>
            <w:vAlign w:val="center"/>
            <w:tcMar>
              <w:top w:w="65" w:type="dxa"/>
              <w:start w:w="68" w:type="dxa"/>
              <w:bottom w:w="65" w:type="dxa"/>
              <w:end w:w="68" w:type="dxa"/>
            </w:tcMar>
          </w:tcPr>
          <w:p w14:paraId="042EA86E">
            <w:pPr>
              <w:spacing w:before="0" w:after="0" w:line="240" w:lineRule="auto"/>
              <w:jc w:val="left"/>
            </w:pPr>
            <w:r>
              <w:rPr>
                <w:rFonts w:ascii="Times New Roman" w:hAnsi="Times New Roman" w:eastAsia="Times New Roman" w:cs="Times New Roman"/>
                <w:b w:val="0"/>
                <w:color w:val="000000"/>
                <w:sz w:val="16"/>
              </w:rPr>
              <w:t>1</w:t>
            </w:r>
          </w:p>
        </w:tc>
        <w:tc>
          <w:tcPr>
            <w:tcW w:w="2340" w:type="dxa"/>
            <w:vAlign w:val="center"/>
            <w:tcMar>
              <w:top w:w="65" w:type="dxa"/>
              <w:start w:w="68" w:type="dxa"/>
              <w:bottom w:w="65" w:type="dxa"/>
              <w:end w:w="68" w:type="dxa"/>
            </w:tcMar>
          </w:tcPr>
          <w:p w14:paraId="4C65DF64">
            <w:pPr>
              <w:spacing w:before="0" w:after="0" w:line="240" w:lineRule="auto"/>
              <w:jc w:val="left"/>
            </w:pPr>
            <w:r>
              <w:rPr>
                <w:rFonts w:ascii="Times New Roman" w:hAnsi="Times New Roman" w:eastAsia="Times New Roman" w:cs="Times New Roman"/>
                <w:b w:val="0"/>
                <w:color w:val="000000"/>
                <w:sz w:val="16"/>
              </w:rPr>
              <w:t>3</w:t>
            </w:r>
          </w:p>
        </w:tc>
        <w:tc>
          <w:tcPr>
            <w:tcW w:w="2340" w:type="dxa"/>
            <w:vAlign w:val="center"/>
            <w:tcMar>
              <w:top w:w="65" w:type="dxa"/>
              <w:start w:w="68" w:type="dxa"/>
              <w:bottom w:w="65" w:type="dxa"/>
              <w:end w:w="68" w:type="dxa"/>
            </w:tcMar>
          </w:tcPr>
          <w:p w14:paraId="60E1A072">
            <w:pPr>
              <w:spacing w:before="0" w:after="0" w:line="240" w:lineRule="auto"/>
              <w:jc w:val="left"/>
            </w:pPr>
            <w:r>
              <w:rPr>
                <w:rFonts w:ascii="Times New Roman" w:hAnsi="Times New Roman" w:eastAsia="Times New Roman" w:cs="Times New Roman"/>
                <w:b w:val="0"/>
                <w:color w:val="000000"/>
                <w:sz w:val="16"/>
              </w:rPr>
              <w:t>18</w:t>
            </w:r>
          </w:p>
        </w:tc>
        <w:tc>
          <w:tcPr>
            <w:tcW w:w="2340" w:type="dxa"/>
            <w:vAlign w:val="center"/>
            <w:tcMar>
              <w:top w:w="65" w:type="dxa"/>
              <w:start w:w="68" w:type="dxa"/>
              <w:bottom w:w="65" w:type="dxa"/>
              <w:end w:w="68" w:type="dxa"/>
            </w:tcMar>
          </w:tcPr>
          <w:p w14:paraId="79990130">
            <w:pPr>
              <w:spacing w:before="0" w:after="0" w:line="240" w:lineRule="auto"/>
              <w:jc w:val="left"/>
            </w:pPr>
            <w:r>
              <w:rPr>
                <w:rFonts w:ascii="Times New Roman" w:hAnsi="Times New Roman" w:eastAsia="Times New Roman" w:cs="Times New Roman"/>
                <w:b w:val="0"/>
                <w:color w:val="000000"/>
                <w:sz w:val="16"/>
              </w:rPr>
              <w:t>3.0</w:t>
            </w:r>
          </w:p>
        </w:tc>
      </w:tr>
    </w:tbl>
    <w:p w14:paraId="6839352C">
      <w:pPr>
        <w:pStyle w:val="16"/>
        <w:keepNext/>
        <w:keepLines/>
        <w:spacing w:before="120" w:after="60"/>
        <w:jc w:val="left"/>
      </w:pPr>
      <w:r>
        <w:t>Table S43. Pairwise severity-distance distribution.</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3120"/>
        <w:gridCol w:w="3120"/>
        <w:gridCol w:w="3120"/>
      </w:tblGrid>
      <w:tr w14:paraId="073DF3E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tblHeader w:val="true"/>
          <w:jc w:val="center"/>
          <w:tblHeader w:val="true"/>
        </w:trPr>
        <w:tc>
          <w:tcPr>
            <w:tcW w:w="3120" w:type="dxa"/>
            <w:vAlign w:val="center"/>
            <w:tcMar>
              <w:top w:w="65" w:type="dxa"/>
              <w:start w:w="68" w:type="dxa"/>
              <w:bottom w:w="65" w:type="dxa"/>
              <w:end w:w="68" w:type="dxa"/>
            </w:tcMar>
            <w:shd w:val="clear" w:color="auto" w:fill="E8F0F8"/>
          </w:tcPr>
          <w:p w14:paraId="68C2F326">
            <w:pPr>
              <w:spacing w:before="0" w:after="0" w:line="240" w:lineRule="auto"/>
              <w:jc w:val="center"/>
            </w:pPr>
            <w:r>
              <w:rPr>
                <w:rFonts w:ascii="Times New Roman" w:hAnsi="Times New Roman" w:eastAsia="Times New Roman" w:cs="Times New Roman"/>
                <w:b/>
                <w:color w:val="1E364D"/>
                <w:sz w:val="16"/>
              </w:rPr>
              <w:t>Absolute distance</w:t>
            </w:r>
          </w:p>
        </w:tc>
        <w:tc>
          <w:tcPr>
            <w:tcW w:w="3120" w:type="dxa"/>
            <w:vAlign w:val="center"/>
            <w:tcMar>
              <w:top w:w="65" w:type="dxa"/>
              <w:start w:w="68" w:type="dxa"/>
              <w:bottom w:w="65" w:type="dxa"/>
              <w:end w:w="68" w:type="dxa"/>
            </w:tcMar>
            <w:shd w:val="clear" w:color="auto" w:fill="E8F0F8"/>
          </w:tcPr>
          <w:p w14:paraId="533C4B6D">
            <w:pPr>
              <w:spacing w:before="0" w:after="0" w:line="240" w:lineRule="auto"/>
              <w:jc w:val="center"/>
            </w:pPr>
            <w:r>
              <w:rPr>
                <w:rFonts w:ascii="Times New Roman" w:hAnsi="Times New Roman" w:eastAsia="Times New Roman" w:cs="Times New Roman"/>
                <w:b/>
                <w:color w:val="1E364D"/>
                <w:sz w:val="16"/>
              </w:rPr>
              <w:t>Pair count</w:t>
            </w:r>
          </w:p>
        </w:tc>
        <w:tc>
          <w:tcPr>
            <w:tcW w:w="3120" w:type="dxa"/>
            <w:vAlign w:val="center"/>
            <w:tcMar>
              <w:top w:w="65" w:type="dxa"/>
              <w:start w:w="68" w:type="dxa"/>
              <w:bottom w:w="65" w:type="dxa"/>
              <w:end w:w="68" w:type="dxa"/>
            </w:tcMar>
            <w:shd w:val="clear" w:color="auto" w:fill="E8F0F8"/>
          </w:tcPr>
          <w:p w14:paraId="0D6AF405">
            <w:pPr>
              <w:spacing w:before="0" w:after="0" w:line="240" w:lineRule="auto"/>
              <w:jc w:val="center"/>
            </w:pPr>
            <w:r>
              <w:rPr>
                <w:rFonts w:ascii="Times New Roman" w:hAnsi="Times New Roman" w:eastAsia="Times New Roman" w:cs="Times New Roman"/>
                <w:b/>
                <w:color w:val="1E364D"/>
                <w:sz w:val="16"/>
              </w:rPr>
              <w:t>% of all 2,160 rater pairs</w:t>
            </w:r>
          </w:p>
        </w:tc>
      </w:tr>
      <w:tr w14:paraId="62015DE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3120" w:type="dxa"/>
            <w:vAlign w:val="center"/>
            <w:tcMar>
              <w:top w:w="65" w:type="dxa"/>
              <w:start w:w="68" w:type="dxa"/>
              <w:bottom w:w="65" w:type="dxa"/>
              <w:end w:w="68" w:type="dxa"/>
            </w:tcMar>
          </w:tcPr>
          <w:p w14:paraId="3EFBBC08">
            <w:pPr>
              <w:spacing w:before="0" w:after="0" w:line="240" w:lineRule="auto"/>
              <w:jc w:val="left"/>
            </w:pPr>
            <w:r>
              <w:rPr>
                <w:rFonts w:ascii="Times New Roman" w:hAnsi="Times New Roman" w:eastAsia="Times New Roman" w:cs="Times New Roman"/>
                <w:b w:val="0"/>
                <w:color w:val="000000"/>
                <w:sz w:val="16"/>
              </w:rPr>
              <w:t>0</w:t>
            </w:r>
          </w:p>
        </w:tc>
        <w:tc>
          <w:tcPr>
            <w:tcW w:w="3120" w:type="dxa"/>
            <w:vAlign w:val="center"/>
            <w:tcMar>
              <w:top w:w="65" w:type="dxa"/>
              <w:start w:w="68" w:type="dxa"/>
              <w:bottom w:w="65" w:type="dxa"/>
              <w:end w:w="68" w:type="dxa"/>
            </w:tcMar>
          </w:tcPr>
          <w:p w14:paraId="12654078">
            <w:pPr>
              <w:spacing w:before="0" w:after="0" w:line="240" w:lineRule="auto"/>
              <w:jc w:val="left"/>
            </w:pPr>
            <w:r>
              <w:rPr>
                <w:rFonts w:ascii="Times New Roman" w:hAnsi="Times New Roman" w:eastAsia="Times New Roman" w:cs="Times New Roman"/>
                <w:b w:val="0"/>
                <w:color w:val="000000"/>
                <w:sz w:val="16"/>
              </w:rPr>
              <w:t>1550</w:t>
            </w:r>
          </w:p>
        </w:tc>
        <w:tc>
          <w:tcPr>
            <w:tcW w:w="3120" w:type="dxa"/>
            <w:vAlign w:val="center"/>
            <w:tcMar>
              <w:top w:w="65" w:type="dxa"/>
              <w:start w:w="68" w:type="dxa"/>
              <w:bottom w:w="65" w:type="dxa"/>
              <w:end w:w="68" w:type="dxa"/>
            </w:tcMar>
          </w:tcPr>
          <w:p w14:paraId="101F0245">
            <w:pPr>
              <w:spacing w:before="0" w:after="0" w:line="240" w:lineRule="auto"/>
              <w:jc w:val="left"/>
            </w:pPr>
            <w:r>
              <w:rPr>
                <w:rFonts w:ascii="Times New Roman" w:hAnsi="Times New Roman" w:eastAsia="Times New Roman" w:cs="Times New Roman"/>
                <w:b w:val="0"/>
                <w:color w:val="000000"/>
                <w:sz w:val="16"/>
              </w:rPr>
              <w:t>71.8</w:t>
            </w:r>
          </w:p>
        </w:tc>
      </w:tr>
      <w:tr w14:paraId="1D7B989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3120" w:type="dxa"/>
            <w:vAlign w:val="center"/>
            <w:tcMar>
              <w:top w:w="65" w:type="dxa"/>
              <w:start w:w="68" w:type="dxa"/>
              <w:bottom w:w="65" w:type="dxa"/>
              <w:end w:w="68" w:type="dxa"/>
            </w:tcMar>
          </w:tcPr>
          <w:p w14:paraId="580ED188">
            <w:pPr>
              <w:spacing w:before="0" w:after="0" w:line="240" w:lineRule="auto"/>
              <w:jc w:val="left"/>
            </w:pPr>
            <w:r>
              <w:rPr>
                <w:rFonts w:ascii="Times New Roman" w:hAnsi="Times New Roman" w:eastAsia="Times New Roman" w:cs="Times New Roman"/>
                <w:b w:val="0"/>
                <w:color w:val="000000"/>
                <w:sz w:val="16"/>
              </w:rPr>
              <w:t>1</w:t>
            </w:r>
          </w:p>
        </w:tc>
        <w:tc>
          <w:tcPr>
            <w:tcW w:w="3120" w:type="dxa"/>
            <w:vAlign w:val="center"/>
            <w:tcMar>
              <w:top w:w="65" w:type="dxa"/>
              <w:start w:w="68" w:type="dxa"/>
              <w:bottom w:w="65" w:type="dxa"/>
              <w:end w:w="68" w:type="dxa"/>
            </w:tcMar>
          </w:tcPr>
          <w:p w14:paraId="6DB00B95">
            <w:pPr>
              <w:spacing w:before="0" w:after="0" w:line="240" w:lineRule="auto"/>
              <w:jc w:val="left"/>
            </w:pPr>
            <w:r>
              <w:rPr>
                <w:rFonts w:ascii="Times New Roman" w:hAnsi="Times New Roman" w:eastAsia="Times New Roman" w:cs="Times New Roman"/>
                <w:b w:val="0"/>
                <w:color w:val="000000"/>
                <w:sz w:val="16"/>
              </w:rPr>
              <w:t>414</w:t>
            </w:r>
          </w:p>
        </w:tc>
        <w:tc>
          <w:tcPr>
            <w:tcW w:w="3120" w:type="dxa"/>
            <w:vAlign w:val="center"/>
            <w:tcMar>
              <w:top w:w="65" w:type="dxa"/>
              <w:start w:w="68" w:type="dxa"/>
              <w:bottom w:w="65" w:type="dxa"/>
              <w:end w:w="68" w:type="dxa"/>
            </w:tcMar>
          </w:tcPr>
          <w:p w14:paraId="318F8744">
            <w:pPr>
              <w:spacing w:before="0" w:after="0" w:line="240" w:lineRule="auto"/>
              <w:jc w:val="left"/>
            </w:pPr>
            <w:r>
              <w:rPr>
                <w:rFonts w:ascii="Times New Roman" w:hAnsi="Times New Roman" w:eastAsia="Times New Roman" w:cs="Times New Roman"/>
                <w:b w:val="0"/>
                <w:color w:val="000000"/>
                <w:sz w:val="16"/>
              </w:rPr>
              <w:t>19.2</w:t>
            </w:r>
          </w:p>
        </w:tc>
      </w:tr>
      <w:tr w14:paraId="4184A4F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3120" w:type="dxa"/>
            <w:vAlign w:val="center"/>
            <w:tcMar>
              <w:top w:w="65" w:type="dxa"/>
              <w:start w:w="68" w:type="dxa"/>
              <w:bottom w:w="65" w:type="dxa"/>
              <w:end w:w="68" w:type="dxa"/>
            </w:tcMar>
          </w:tcPr>
          <w:p w14:paraId="3217C069">
            <w:pPr>
              <w:spacing w:before="0" w:after="0" w:line="240" w:lineRule="auto"/>
              <w:jc w:val="left"/>
            </w:pPr>
            <w:r>
              <w:rPr>
                <w:rFonts w:ascii="Times New Roman" w:hAnsi="Times New Roman" w:eastAsia="Times New Roman" w:cs="Times New Roman"/>
                <w:b w:val="0"/>
                <w:color w:val="000000"/>
                <w:sz w:val="16"/>
              </w:rPr>
              <w:t>2</w:t>
            </w:r>
          </w:p>
        </w:tc>
        <w:tc>
          <w:tcPr>
            <w:tcW w:w="3120" w:type="dxa"/>
            <w:vAlign w:val="center"/>
            <w:tcMar>
              <w:top w:w="65" w:type="dxa"/>
              <w:start w:w="68" w:type="dxa"/>
              <w:bottom w:w="65" w:type="dxa"/>
              <w:end w:w="68" w:type="dxa"/>
            </w:tcMar>
          </w:tcPr>
          <w:p w14:paraId="347B5A18">
            <w:pPr>
              <w:spacing w:before="0" w:after="0" w:line="240" w:lineRule="auto"/>
              <w:jc w:val="left"/>
            </w:pPr>
            <w:r>
              <w:rPr>
                <w:rFonts w:ascii="Times New Roman" w:hAnsi="Times New Roman" w:eastAsia="Times New Roman" w:cs="Times New Roman"/>
                <w:b w:val="0"/>
                <w:color w:val="000000"/>
                <w:sz w:val="16"/>
              </w:rPr>
              <w:t>142</w:t>
            </w:r>
          </w:p>
        </w:tc>
        <w:tc>
          <w:tcPr>
            <w:tcW w:w="3120" w:type="dxa"/>
            <w:vAlign w:val="center"/>
            <w:tcMar>
              <w:top w:w="65" w:type="dxa"/>
              <w:start w:w="68" w:type="dxa"/>
              <w:bottom w:w="65" w:type="dxa"/>
              <w:end w:w="68" w:type="dxa"/>
            </w:tcMar>
          </w:tcPr>
          <w:p w14:paraId="4267A19A">
            <w:pPr>
              <w:spacing w:before="0" w:after="0" w:line="240" w:lineRule="auto"/>
              <w:jc w:val="left"/>
            </w:pPr>
            <w:r>
              <w:rPr>
                <w:rFonts w:ascii="Times New Roman" w:hAnsi="Times New Roman" w:eastAsia="Times New Roman" w:cs="Times New Roman"/>
                <w:b w:val="0"/>
                <w:color w:val="000000"/>
                <w:sz w:val="16"/>
              </w:rPr>
              <w:t>6.6</w:t>
            </w:r>
          </w:p>
        </w:tc>
      </w:tr>
      <w:tr w14:paraId="631BD57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3120" w:type="dxa"/>
            <w:vAlign w:val="center"/>
            <w:tcMar>
              <w:top w:w="65" w:type="dxa"/>
              <w:start w:w="68" w:type="dxa"/>
              <w:bottom w:w="65" w:type="dxa"/>
              <w:end w:w="68" w:type="dxa"/>
            </w:tcMar>
          </w:tcPr>
          <w:p w14:paraId="7D81E188">
            <w:pPr>
              <w:spacing w:before="0" w:after="0" w:line="240" w:lineRule="auto"/>
              <w:jc w:val="left"/>
            </w:pPr>
            <w:r>
              <w:rPr>
                <w:rFonts w:ascii="Times New Roman" w:hAnsi="Times New Roman" w:eastAsia="Times New Roman" w:cs="Times New Roman"/>
                <w:b w:val="0"/>
                <w:color w:val="000000"/>
                <w:sz w:val="16"/>
              </w:rPr>
              <w:t>3</w:t>
            </w:r>
          </w:p>
        </w:tc>
        <w:tc>
          <w:tcPr>
            <w:tcW w:w="3120" w:type="dxa"/>
            <w:vAlign w:val="center"/>
            <w:tcMar>
              <w:top w:w="65" w:type="dxa"/>
              <w:start w:w="68" w:type="dxa"/>
              <w:bottom w:w="65" w:type="dxa"/>
              <w:end w:w="68" w:type="dxa"/>
            </w:tcMar>
          </w:tcPr>
          <w:p w14:paraId="500C68CD">
            <w:pPr>
              <w:spacing w:before="0" w:after="0" w:line="240" w:lineRule="auto"/>
              <w:jc w:val="left"/>
            </w:pPr>
            <w:r>
              <w:rPr>
                <w:rFonts w:ascii="Times New Roman" w:hAnsi="Times New Roman" w:eastAsia="Times New Roman" w:cs="Times New Roman"/>
                <w:b w:val="0"/>
                <w:color w:val="000000"/>
                <w:sz w:val="16"/>
              </w:rPr>
              <w:t>54</w:t>
            </w:r>
          </w:p>
        </w:tc>
        <w:tc>
          <w:tcPr>
            <w:tcW w:w="3120" w:type="dxa"/>
            <w:vAlign w:val="center"/>
            <w:tcMar>
              <w:top w:w="65" w:type="dxa"/>
              <w:start w:w="68" w:type="dxa"/>
              <w:bottom w:w="65" w:type="dxa"/>
              <w:end w:w="68" w:type="dxa"/>
            </w:tcMar>
          </w:tcPr>
          <w:p w14:paraId="3CECD3B0">
            <w:pPr>
              <w:spacing w:before="0" w:after="0" w:line="240" w:lineRule="auto"/>
              <w:jc w:val="left"/>
            </w:pPr>
            <w:r>
              <w:rPr>
                <w:rFonts w:ascii="Times New Roman" w:hAnsi="Times New Roman" w:eastAsia="Times New Roman" w:cs="Times New Roman"/>
                <w:b w:val="0"/>
                <w:color w:val="000000"/>
                <w:sz w:val="16"/>
              </w:rPr>
              <w:t>2.5</w:t>
            </w:r>
          </w:p>
        </w:tc>
      </w:tr>
    </w:tbl>
    <w:p w14:paraId="32000706">
      <w:pPr>
        <w:pStyle w:val="3"/>
        <w:keepNext/>
        <w:keepLines/>
        <w:pageBreakBefore w:val="0"/>
        <w:spacing w:before="140" w:after="80"/>
      </w:pPr>
      <w:r>
        <w:rPr>
          <w:color w:val="000000"/>
        </w:rPr>
        <w:t>S7.3 Annotator marginals</w:t>
      </w:r>
    </w:p>
    <w:p w14:paraId="606D8EFB">
      <w:pPr>
        <w:widowControl/>
        <w:spacing w:after="100" w:line="276" w:lineRule="auto"/>
        <w:jc w:val="both"/>
      </w:pPr>
      <w:r>
        <w:t>Marginals are reported to identify systematic differences in label and severity use that can be obscured by a single chance-corrected coefficient. A1 selected NONE more often than A2 or A3, while A3 selected severity 3 more often. These are descriptive calibration signals and do not establish that any annotator was correct or biased. Tables S44 and S45 report the selected primary-label and severity marginals.</w:t>
      </w:r>
    </w:p>
    <w:p>
      <w:pPr/>
      <w:r>
        <w:t>Numerical threshold-use audit. From the 720 locked decisions per annotator, NONE counts were A1/A2/A3 = 333/246/264 (46.3%/34.2%/36.7%); severity-3 counts were 151/190/280 (21.0%/26.4%/38.9%). The A3–A1 difference in top-category use is 129/720 = 17.9 percentage points. These are marginal proportions rather than paired transition probabilities, inferential p-values or proof of rater error. Pair-specific severity exact/within-one agreement and QWK are in Table S32, and selected primary/severity marginal count tables are S44/S45.</w:t>
      </w:r>
    </w:p>
    <w:p w14:paraId="4B1F2102">
      <w:pPr>
        <w:pStyle w:val="16"/>
        <w:keepNext/>
        <w:keepLines/>
        <w:spacing w:before="120" w:after="60"/>
        <w:jc w:val="left"/>
      </w:pPr>
      <w:r>
        <w:t>Table S44. Selected annotator primary-label marginals.</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2340"/>
        <w:gridCol w:w="2340"/>
        <w:gridCol w:w="2340"/>
        <w:gridCol w:w="2340"/>
      </w:tblGrid>
      <w:tr w14:paraId="7800378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tblHeader w:val="true"/>
          <w:jc w:val="center"/>
          <w:tblHeader w:val="true"/>
        </w:trPr>
        <w:tc>
          <w:tcPr>
            <w:tcW w:w="2340" w:type="dxa"/>
            <w:vAlign w:val="center"/>
            <w:tcMar>
              <w:top w:w="65" w:type="dxa"/>
              <w:start w:w="68" w:type="dxa"/>
              <w:bottom w:w="65" w:type="dxa"/>
              <w:end w:w="68" w:type="dxa"/>
            </w:tcMar>
            <w:shd w:val="clear" w:color="auto" w:fill="E8F0F8"/>
          </w:tcPr>
          <w:p w14:paraId="27D5E7ED">
            <w:pPr>
              <w:spacing w:before="0" w:after="0" w:line="240" w:lineRule="auto"/>
              <w:jc w:val="center"/>
            </w:pPr>
            <w:r>
              <w:rPr>
                <w:rFonts w:ascii="Times New Roman" w:hAnsi="Times New Roman" w:eastAsia="Times New Roman" w:cs="Times New Roman"/>
                <w:b/>
                <w:color w:val="1E364D"/>
                <w:sz w:val="16"/>
              </w:rPr>
              <w:t>Primary label</w:t>
            </w:r>
          </w:p>
        </w:tc>
        <w:tc>
          <w:tcPr>
            <w:tcW w:w="2340" w:type="dxa"/>
            <w:vAlign w:val="center"/>
            <w:tcMar>
              <w:top w:w="65" w:type="dxa"/>
              <w:start w:w="68" w:type="dxa"/>
              <w:bottom w:w="65" w:type="dxa"/>
              <w:end w:w="68" w:type="dxa"/>
            </w:tcMar>
            <w:shd w:val="clear" w:color="auto" w:fill="E8F0F8"/>
          </w:tcPr>
          <w:p w14:paraId="436B867A">
            <w:pPr>
              <w:spacing w:before="0" w:after="0" w:line="240" w:lineRule="auto"/>
              <w:jc w:val="center"/>
            </w:pPr>
            <w:r>
              <w:rPr>
                <w:rFonts w:ascii="Times New Roman" w:hAnsi="Times New Roman" w:eastAsia="Times New Roman" w:cs="Times New Roman"/>
                <w:b/>
                <w:color w:val="1E364D"/>
                <w:sz w:val="16"/>
              </w:rPr>
              <w:t>A1</w:t>
            </w:r>
          </w:p>
        </w:tc>
        <w:tc>
          <w:tcPr>
            <w:tcW w:w="2340" w:type="dxa"/>
            <w:vAlign w:val="center"/>
            <w:tcMar>
              <w:top w:w="65" w:type="dxa"/>
              <w:start w:w="68" w:type="dxa"/>
              <w:bottom w:w="65" w:type="dxa"/>
              <w:end w:w="68" w:type="dxa"/>
            </w:tcMar>
            <w:shd w:val="clear" w:color="auto" w:fill="E8F0F8"/>
          </w:tcPr>
          <w:p w14:paraId="49B07B6D">
            <w:pPr>
              <w:spacing w:before="0" w:after="0" w:line="240" w:lineRule="auto"/>
              <w:jc w:val="center"/>
            </w:pPr>
            <w:r>
              <w:rPr>
                <w:rFonts w:ascii="Times New Roman" w:hAnsi="Times New Roman" w:eastAsia="Times New Roman" w:cs="Times New Roman"/>
                <w:b/>
                <w:color w:val="1E364D"/>
                <w:sz w:val="16"/>
              </w:rPr>
              <w:t>A2</w:t>
            </w:r>
          </w:p>
        </w:tc>
        <w:tc>
          <w:tcPr>
            <w:tcW w:w="2340" w:type="dxa"/>
            <w:vAlign w:val="center"/>
            <w:tcMar>
              <w:top w:w="65" w:type="dxa"/>
              <w:start w:w="68" w:type="dxa"/>
              <w:bottom w:w="65" w:type="dxa"/>
              <w:end w:w="68" w:type="dxa"/>
            </w:tcMar>
            <w:shd w:val="clear" w:color="auto" w:fill="E8F0F8"/>
          </w:tcPr>
          <w:p w14:paraId="605D0FF2">
            <w:pPr>
              <w:spacing w:before="0" w:after="0" w:line="240" w:lineRule="auto"/>
              <w:jc w:val="center"/>
            </w:pPr>
            <w:r>
              <w:rPr>
                <w:rFonts w:ascii="Times New Roman" w:hAnsi="Times New Roman" w:eastAsia="Times New Roman" w:cs="Times New Roman"/>
                <w:b/>
                <w:color w:val="1E364D"/>
                <w:sz w:val="16"/>
              </w:rPr>
              <w:t>A3</w:t>
            </w:r>
          </w:p>
        </w:tc>
      </w:tr>
      <w:tr w14:paraId="79B0531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2340" w:type="dxa"/>
            <w:vAlign w:val="center"/>
            <w:tcMar>
              <w:top w:w="65" w:type="dxa"/>
              <w:start w:w="68" w:type="dxa"/>
              <w:bottom w:w="65" w:type="dxa"/>
              <w:end w:w="68" w:type="dxa"/>
            </w:tcMar>
          </w:tcPr>
          <w:p w14:paraId="45A675D4">
            <w:pPr>
              <w:spacing w:before="0" w:after="0" w:line="240" w:lineRule="auto"/>
              <w:jc w:val="left"/>
            </w:pPr>
            <w:r>
              <w:rPr>
                <w:rFonts w:ascii="Times New Roman" w:hAnsi="Times New Roman" w:eastAsia="Times New Roman" w:cs="Times New Roman"/>
                <w:b w:val="0"/>
                <w:color w:val="000000"/>
                <w:sz w:val="16"/>
              </w:rPr>
              <w:t>NONE</w:t>
            </w:r>
          </w:p>
        </w:tc>
        <w:tc>
          <w:tcPr>
            <w:tcW w:w="2340" w:type="dxa"/>
            <w:vAlign w:val="center"/>
            <w:tcMar>
              <w:top w:w="65" w:type="dxa"/>
              <w:start w:w="68" w:type="dxa"/>
              <w:bottom w:w="65" w:type="dxa"/>
              <w:end w:w="68" w:type="dxa"/>
            </w:tcMar>
          </w:tcPr>
          <w:p w14:paraId="29377A67">
            <w:pPr>
              <w:spacing w:before="0" w:after="0" w:line="240" w:lineRule="auto"/>
              <w:jc w:val="left"/>
            </w:pPr>
            <w:r>
              <w:rPr>
                <w:rFonts w:ascii="Times New Roman" w:hAnsi="Times New Roman" w:eastAsia="Times New Roman" w:cs="Times New Roman"/>
                <w:b w:val="0"/>
                <w:color w:val="000000"/>
                <w:sz w:val="16"/>
              </w:rPr>
              <w:t>333</w:t>
            </w:r>
          </w:p>
        </w:tc>
        <w:tc>
          <w:tcPr>
            <w:tcW w:w="2340" w:type="dxa"/>
            <w:vAlign w:val="center"/>
            <w:tcMar>
              <w:top w:w="65" w:type="dxa"/>
              <w:start w:w="68" w:type="dxa"/>
              <w:bottom w:w="65" w:type="dxa"/>
              <w:end w:w="68" w:type="dxa"/>
            </w:tcMar>
          </w:tcPr>
          <w:p w14:paraId="2E919396">
            <w:pPr>
              <w:spacing w:before="0" w:after="0" w:line="240" w:lineRule="auto"/>
              <w:jc w:val="left"/>
            </w:pPr>
            <w:r>
              <w:rPr>
                <w:rFonts w:ascii="Times New Roman" w:hAnsi="Times New Roman" w:eastAsia="Times New Roman" w:cs="Times New Roman"/>
                <w:b w:val="0"/>
                <w:color w:val="000000"/>
                <w:sz w:val="16"/>
              </w:rPr>
              <w:t>246</w:t>
            </w:r>
          </w:p>
        </w:tc>
        <w:tc>
          <w:tcPr>
            <w:tcW w:w="2340" w:type="dxa"/>
            <w:vAlign w:val="center"/>
            <w:tcMar>
              <w:top w:w="65" w:type="dxa"/>
              <w:start w:w="68" w:type="dxa"/>
              <w:bottom w:w="65" w:type="dxa"/>
              <w:end w:w="68" w:type="dxa"/>
            </w:tcMar>
          </w:tcPr>
          <w:p w14:paraId="18FAC01B">
            <w:pPr>
              <w:spacing w:before="0" w:after="0" w:line="240" w:lineRule="auto"/>
              <w:jc w:val="left"/>
            </w:pPr>
            <w:r>
              <w:rPr>
                <w:rFonts w:ascii="Times New Roman" w:hAnsi="Times New Roman" w:eastAsia="Times New Roman" w:cs="Times New Roman"/>
                <w:b w:val="0"/>
                <w:color w:val="000000"/>
                <w:sz w:val="16"/>
              </w:rPr>
              <w:t>264</w:t>
            </w:r>
          </w:p>
        </w:tc>
      </w:tr>
      <w:tr w14:paraId="7730291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2340" w:type="dxa"/>
            <w:vAlign w:val="center"/>
            <w:tcMar>
              <w:top w:w="65" w:type="dxa"/>
              <w:start w:w="68" w:type="dxa"/>
              <w:bottom w:w="65" w:type="dxa"/>
              <w:end w:w="68" w:type="dxa"/>
            </w:tcMar>
          </w:tcPr>
          <w:p w14:paraId="2DF31707">
            <w:pPr>
              <w:spacing w:before="0" w:after="0" w:line="240" w:lineRule="auto"/>
              <w:jc w:val="left"/>
            </w:pPr>
            <w:r>
              <w:rPr>
                <w:rFonts w:ascii="Times New Roman" w:hAnsi="Times New Roman" w:eastAsia="Times New Roman" w:cs="Times New Roman"/>
                <w:b w:val="0"/>
                <w:color w:val="000000"/>
                <w:sz w:val="16"/>
              </w:rPr>
              <w:t>SCF-03</w:t>
            </w:r>
          </w:p>
        </w:tc>
        <w:tc>
          <w:tcPr>
            <w:tcW w:w="2340" w:type="dxa"/>
            <w:vAlign w:val="center"/>
            <w:tcMar>
              <w:top w:w="65" w:type="dxa"/>
              <w:start w:w="68" w:type="dxa"/>
              <w:bottom w:w="65" w:type="dxa"/>
              <w:end w:w="68" w:type="dxa"/>
            </w:tcMar>
          </w:tcPr>
          <w:p w14:paraId="0D009053">
            <w:pPr>
              <w:spacing w:before="0" w:after="0" w:line="240" w:lineRule="auto"/>
              <w:jc w:val="left"/>
            </w:pPr>
            <w:r>
              <w:rPr>
                <w:rFonts w:ascii="Times New Roman" w:hAnsi="Times New Roman" w:eastAsia="Times New Roman" w:cs="Times New Roman"/>
                <w:b w:val="0"/>
                <w:color w:val="000000"/>
                <w:sz w:val="16"/>
              </w:rPr>
              <w:t>143</w:t>
            </w:r>
          </w:p>
        </w:tc>
        <w:tc>
          <w:tcPr>
            <w:tcW w:w="2340" w:type="dxa"/>
            <w:vAlign w:val="center"/>
            <w:tcMar>
              <w:top w:w="65" w:type="dxa"/>
              <w:start w:w="68" w:type="dxa"/>
              <w:bottom w:w="65" w:type="dxa"/>
              <w:end w:w="68" w:type="dxa"/>
            </w:tcMar>
          </w:tcPr>
          <w:p w14:paraId="3F9204B8">
            <w:pPr>
              <w:spacing w:before="0" w:after="0" w:line="240" w:lineRule="auto"/>
              <w:jc w:val="left"/>
            </w:pPr>
            <w:r>
              <w:rPr>
                <w:rFonts w:ascii="Times New Roman" w:hAnsi="Times New Roman" w:eastAsia="Times New Roman" w:cs="Times New Roman"/>
                <w:b w:val="0"/>
                <w:color w:val="000000"/>
                <w:sz w:val="16"/>
              </w:rPr>
              <w:t>160</w:t>
            </w:r>
          </w:p>
        </w:tc>
        <w:tc>
          <w:tcPr>
            <w:tcW w:w="2340" w:type="dxa"/>
            <w:vAlign w:val="center"/>
            <w:tcMar>
              <w:top w:w="65" w:type="dxa"/>
              <w:start w:w="68" w:type="dxa"/>
              <w:bottom w:w="65" w:type="dxa"/>
              <w:end w:w="68" w:type="dxa"/>
            </w:tcMar>
          </w:tcPr>
          <w:p w14:paraId="4B584D89">
            <w:pPr>
              <w:spacing w:before="0" w:after="0" w:line="240" w:lineRule="auto"/>
              <w:jc w:val="left"/>
            </w:pPr>
            <w:r>
              <w:rPr>
                <w:rFonts w:ascii="Times New Roman" w:hAnsi="Times New Roman" w:eastAsia="Times New Roman" w:cs="Times New Roman"/>
                <w:b w:val="0"/>
                <w:color w:val="000000"/>
                <w:sz w:val="16"/>
              </w:rPr>
              <w:t>168</w:t>
            </w:r>
          </w:p>
        </w:tc>
      </w:tr>
      <w:tr w14:paraId="379B965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2340" w:type="dxa"/>
            <w:vAlign w:val="center"/>
            <w:tcMar>
              <w:top w:w="65" w:type="dxa"/>
              <w:start w:w="68" w:type="dxa"/>
              <w:bottom w:w="65" w:type="dxa"/>
              <w:end w:w="68" w:type="dxa"/>
            </w:tcMar>
          </w:tcPr>
          <w:p w14:paraId="07873B4F">
            <w:pPr>
              <w:spacing w:before="0" w:after="0" w:line="240" w:lineRule="auto"/>
              <w:jc w:val="left"/>
            </w:pPr>
            <w:r>
              <w:rPr>
                <w:rFonts w:ascii="Times New Roman" w:hAnsi="Times New Roman" w:eastAsia="Times New Roman" w:cs="Times New Roman"/>
                <w:b w:val="0"/>
                <w:color w:val="000000"/>
                <w:sz w:val="16"/>
              </w:rPr>
              <w:t>SCF-04</w:t>
            </w:r>
          </w:p>
        </w:tc>
        <w:tc>
          <w:tcPr>
            <w:tcW w:w="2340" w:type="dxa"/>
            <w:vAlign w:val="center"/>
            <w:tcMar>
              <w:top w:w="65" w:type="dxa"/>
              <w:start w:w="68" w:type="dxa"/>
              <w:bottom w:w="65" w:type="dxa"/>
              <w:end w:w="68" w:type="dxa"/>
            </w:tcMar>
          </w:tcPr>
          <w:p w14:paraId="25D1DDFF">
            <w:pPr>
              <w:spacing w:before="0" w:after="0" w:line="240" w:lineRule="auto"/>
              <w:jc w:val="left"/>
            </w:pPr>
            <w:r>
              <w:rPr>
                <w:rFonts w:ascii="Times New Roman" w:hAnsi="Times New Roman" w:eastAsia="Times New Roman" w:cs="Times New Roman"/>
                <w:b w:val="0"/>
                <w:color w:val="000000"/>
                <w:sz w:val="16"/>
              </w:rPr>
              <w:t>129</w:t>
            </w:r>
          </w:p>
        </w:tc>
        <w:tc>
          <w:tcPr>
            <w:tcW w:w="2340" w:type="dxa"/>
            <w:vAlign w:val="center"/>
            <w:tcMar>
              <w:top w:w="65" w:type="dxa"/>
              <w:start w:w="68" w:type="dxa"/>
              <w:bottom w:w="65" w:type="dxa"/>
              <w:end w:w="68" w:type="dxa"/>
            </w:tcMar>
          </w:tcPr>
          <w:p w14:paraId="30427122">
            <w:pPr>
              <w:spacing w:before="0" w:after="0" w:line="240" w:lineRule="auto"/>
              <w:jc w:val="left"/>
            </w:pPr>
            <w:r>
              <w:rPr>
                <w:rFonts w:ascii="Times New Roman" w:hAnsi="Times New Roman" w:eastAsia="Times New Roman" w:cs="Times New Roman"/>
                <w:b w:val="0"/>
                <w:color w:val="000000"/>
                <w:sz w:val="16"/>
              </w:rPr>
              <w:t>142</w:t>
            </w:r>
          </w:p>
        </w:tc>
        <w:tc>
          <w:tcPr>
            <w:tcW w:w="2340" w:type="dxa"/>
            <w:vAlign w:val="center"/>
            <w:tcMar>
              <w:top w:w="65" w:type="dxa"/>
              <w:start w:w="68" w:type="dxa"/>
              <w:bottom w:w="65" w:type="dxa"/>
              <w:end w:w="68" w:type="dxa"/>
            </w:tcMar>
          </w:tcPr>
          <w:p w14:paraId="31ADDB65">
            <w:pPr>
              <w:spacing w:before="0" w:after="0" w:line="240" w:lineRule="auto"/>
              <w:jc w:val="left"/>
            </w:pPr>
            <w:r>
              <w:rPr>
                <w:rFonts w:ascii="Times New Roman" w:hAnsi="Times New Roman" w:eastAsia="Times New Roman" w:cs="Times New Roman"/>
                <w:b w:val="0"/>
                <w:color w:val="000000"/>
                <w:sz w:val="16"/>
              </w:rPr>
              <w:t>123</w:t>
            </w:r>
          </w:p>
        </w:tc>
      </w:tr>
      <w:tr w14:paraId="75CDFD7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2340" w:type="dxa"/>
            <w:vAlign w:val="center"/>
            <w:tcMar>
              <w:top w:w="65" w:type="dxa"/>
              <w:start w:w="68" w:type="dxa"/>
              <w:bottom w:w="65" w:type="dxa"/>
              <w:end w:w="68" w:type="dxa"/>
            </w:tcMar>
          </w:tcPr>
          <w:p w14:paraId="11C33AE0">
            <w:pPr>
              <w:spacing w:before="0" w:after="0" w:line="240" w:lineRule="auto"/>
              <w:jc w:val="left"/>
            </w:pPr>
            <w:r>
              <w:rPr>
                <w:rFonts w:ascii="Times New Roman" w:hAnsi="Times New Roman" w:eastAsia="Times New Roman" w:cs="Times New Roman"/>
                <w:b w:val="0"/>
                <w:color w:val="000000"/>
                <w:sz w:val="16"/>
              </w:rPr>
              <w:t>OVR-02</w:t>
            </w:r>
          </w:p>
        </w:tc>
        <w:tc>
          <w:tcPr>
            <w:tcW w:w="2340" w:type="dxa"/>
            <w:vAlign w:val="center"/>
            <w:tcMar>
              <w:top w:w="65" w:type="dxa"/>
              <w:start w:w="68" w:type="dxa"/>
              <w:bottom w:w="65" w:type="dxa"/>
              <w:end w:w="68" w:type="dxa"/>
            </w:tcMar>
          </w:tcPr>
          <w:p w14:paraId="46FC574C">
            <w:pPr>
              <w:spacing w:before="0" w:after="0" w:line="240" w:lineRule="auto"/>
              <w:jc w:val="left"/>
            </w:pPr>
            <w:r>
              <w:rPr>
                <w:rFonts w:ascii="Times New Roman" w:hAnsi="Times New Roman" w:eastAsia="Times New Roman" w:cs="Times New Roman"/>
                <w:b w:val="0"/>
                <w:color w:val="000000"/>
                <w:sz w:val="16"/>
              </w:rPr>
              <w:t>61</w:t>
            </w:r>
          </w:p>
        </w:tc>
        <w:tc>
          <w:tcPr>
            <w:tcW w:w="2340" w:type="dxa"/>
            <w:vAlign w:val="center"/>
            <w:tcMar>
              <w:top w:w="65" w:type="dxa"/>
              <w:start w:w="68" w:type="dxa"/>
              <w:bottom w:w="65" w:type="dxa"/>
              <w:end w:w="68" w:type="dxa"/>
            </w:tcMar>
          </w:tcPr>
          <w:p w14:paraId="6DF8DE87">
            <w:pPr>
              <w:spacing w:before="0" w:after="0" w:line="240" w:lineRule="auto"/>
              <w:jc w:val="left"/>
            </w:pPr>
            <w:r>
              <w:rPr>
                <w:rFonts w:ascii="Times New Roman" w:hAnsi="Times New Roman" w:eastAsia="Times New Roman" w:cs="Times New Roman"/>
                <w:b w:val="0"/>
                <w:color w:val="000000"/>
                <w:sz w:val="16"/>
              </w:rPr>
              <w:t>81</w:t>
            </w:r>
          </w:p>
        </w:tc>
        <w:tc>
          <w:tcPr>
            <w:tcW w:w="2340" w:type="dxa"/>
            <w:vAlign w:val="center"/>
            <w:tcMar>
              <w:top w:w="65" w:type="dxa"/>
              <w:start w:w="68" w:type="dxa"/>
              <w:bottom w:w="65" w:type="dxa"/>
              <w:end w:w="68" w:type="dxa"/>
            </w:tcMar>
          </w:tcPr>
          <w:p w14:paraId="4E1F216B">
            <w:pPr>
              <w:spacing w:before="0" w:after="0" w:line="240" w:lineRule="auto"/>
              <w:jc w:val="left"/>
            </w:pPr>
            <w:r>
              <w:rPr>
                <w:rFonts w:ascii="Times New Roman" w:hAnsi="Times New Roman" w:eastAsia="Times New Roman" w:cs="Times New Roman"/>
                <w:b w:val="0"/>
                <w:color w:val="000000"/>
                <w:sz w:val="16"/>
              </w:rPr>
              <w:t>55</w:t>
            </w:r>
          </w:p>
        </w:tc>
      </w:tr>
      <w:tr w14:paraId="3BBB8A2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2340" w:type="dxa"/>
            <w:vAlign w:val="center"/>
            <w:tcMar>
              <w:top w:w="65" w:type="dxa"/>
              <w:start w:w="68" w:type="dxa"/>
              <w:bottom w:w="65" w:type="dxa"/>
              <w:end w:w="68" w:type="dxa"/>
            </w:tcMar>
          </w:tcPr>
          <w:p w14:paraId="5B7D5D32">
            <w:pPr>
              <w:spacing w:before="0" w:after="0" w:line="240" w:lineRule="auto"/>
              <w:jc w:val="left"/>
            </w:pPr>
            <w:r>
              <w:rPr>
                <w:rFonts w:ascii="Times New Roman" w:hAnsi="Times New Roman" w:eastAsia="Times New Roman" w:cs="Times New Roman"/>
                <w:b w:val="0"/>
                <w:color w:val="000000"/>
                <w:sz w:val="16"/>
              </w:rPr>
              <w:t>HREF</w:t>
            </w:r>
          </w:p>
        </w:tc>
        <w:tc>
          <w:tcPr>
            <w:tcW w:w="2340" w:type="dxa"/>
            <w:vAlign w:val="center"/>
            <w:tcMar>
              <w:top w:w="65" w:type="dxa"/>
              <w:start w:w="68" w:type="dxa"/>
              <w:bottom w:w="65" w:type="dxa"/>
              <w:end w:w="68" w:type="dxa"/>
            </w:tcMar>
          </w:tcPr>
          <w:p w14:paraId="20F73472">
            <w:pPr>
              <w:spacing w:before="0" w:after="0" w:line="240" w:lineRule="auto"/>
              <w:jc w:val="left"/>
            </w:pPr>
            <w:r>
              <w:rPr>
                <w:rFonts w:ascii="Times New Roman" w:hAnsi="Times New Roman" w:eastAsia="Times New Roman" w:cs="Times New Roman"/>
                <w:b w:val="0"/>
                <w:color w:val="000000"/>
                <w:sz w:val="16"/>
              </w:rPr>
              <w:t>11</w:t>
            </w:r>
          </w:p>
        </w:tc>
        <w:tc>
          <w:tcPr>
            <w:tcW w:w="2340" w:type="dxa"/>
            <w:vAlign w:val="center"/>
            <w:tcMar>
              <w:top w:w="65" w:type="dxa"/>
              <w:start w:w="68" w:type="dxa"/>
              <w:bottom w:w="65" w:type="dxa"/>
              <w:end w:w="68" w:type="dxa"/>
            </w:tcMar>
          </w:tcPr>
          <w:p w14:paraId="749B0B1C">
            <w:pPr>
              <w:spacing w:before="0" w:after="0" w:line="240" w:lineRule="auto"/>
              <w:jc w:val="left"/>
            </w:pPr>
            <w:r>
              <w:rPr>
                <w:rFonts w:ascii="Times New Roman" w:hAnsi="Times New Roman" w:eastAsia="Times New Roman" w:cs="Times New Roman"/>
                <w:b w:val="0"/>
                <w:color w:val="000000"/>
                <w:sz w:val="16"/>
              </w:rPr>
              <w:t>15</w:t>
            </w:r>
          </w:p>
        </w:tc>
        <w:tc>
          <w:tcPr>
            <w:tcW w:w="2340" w:type="dxa"/>
            <w:vAlign w:val="center"/>
            <w:tcMar>
              <w:top w:w="65" w:type="dxa"/>
              <w:start w:w="68" w:type="dxa"/>
              <w:bottom w:w="65" w:type="dxa"/>
              <w:end w:w="68" w:type="dxa"/>
            </w:tcMar>
          </w:tcPr>
          <w:p w14:paraId="269D1BC6">
            <w:pPr>
              <w:spacing w:before="0" w:after="0" w:line="240" w:lineRule="auto"/>
              <w:jc w:val="left"/>
            </w:pPr>
            <w:r>
              <w:rPr>
                <w:rFonts w:ascii="Times New Roman" w:hAnsi="Times New Roman" w:eastAsia="Times New Roman" w:cs="Times New Roman"/>
                <w:b w:val="0"/>
                <w:color w:val="000000"/>
                <w:sz w:val="16"/>
              </w:rPr>
              <w:t>33</w:t>
            </w:r>
          </w:p>
        </w:tc>
      </w:tr>
    </w:tbl>
    <w:p w14:paraId="6E431743">
      <w:pPr>
        <w:pStyle w:val="16"/>
        <w:keepNext/>
        <w:keepLines/>
        <w:spacing w:before="120" w:after="60"/>
        <w:jc w:val="left"/>
      </w:pPr>
      <w:r>
        <w:t>Table S45. Annotator severity marginals.</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2340"/>
        <w:gridCol w:w="2340"/>
        <w:gridCol w:w="2340"/>
        <w:gridCol w:w="2340"/>
      </w:tblGrid>
      <w:tr w14:paraId="3359A5E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tblHeader w:val="true"/>
          <w:jc w:val="center"/>
          <w:tblHeader w:val="true"/>
        </w:trPr>
        <w:tc>
          <w:tcPr>
            <w:tcW w:w="2340" w:type="dxa"/>
            <w:vAlign w:val="center"/>
            <w:tcMar>
              <w:top w:w="65" w:type="dxa"/>
              <w:start w:w="68" w:type="dxa"/>
              <w:bottom w:w="65" w:type="dxa"/>
              <w:end w:w="68" w:type="dxa"/>
            </w:tcMar>
            <w:shd w:val="clear" w:color="auto" w:fill="E8F0F8"/>
          </w:tcPr>
          <w:p w14:paraId="6C11348A">
            <w:pPr>
              <w:spacing w:before="0" w:after="0" w:line="240" w:lineRule="auto"/>
              <w:jc w:val="center"/>
            </w:pPr>
            <w:r>
              <w:rPr>
                <w:rFonts w:ascii="Times New Roman" w:hAnsi="Times New Roman" w:eastAsia="Times New Roman" w:cs="Times New Roman"/>
                <w:b/>
                <w:color w:val="1E364D"/>
                <w:sz w:val="16"/>
              </w:rPr>
              <w:t>Severity</w:t>
            </w:r>
          </w:p>
        </w:tc>
        <w:tc>
          <w:tcPr>
            <w:tcW w:w="2340" w:type="dxa"/>
            <w:vAlign w:val="center"/>
            <w:tcMar>
              <w:top w:w="65" w:type="dxa"/>
              <w:start w:w="68" w:type="dxa"/>
              <w:bottom w:w="65" w:type="dxa"/>
              <w:end w:w="68" w:type="dxa"/>
            </w:tcMar>
            <w:shd w:val="clear" w:color="auto" w:fill="E8F0F8"/>
          </w:tcPr>
          <w:p w14:paraId="099826C2">
            <w:pPr>
              <w:spacing w:before="0" w:after="0" w:line="240" w:lineRule="auto"/>
              <w:jc w:val="center"/>
            </w:pPr>
            <w:r>
              <w:rPr>
                <w:rFonts w:ascii="Times New Roman" w:hAnsi="Times New Roman" w:eastAsia="Times New Roman" w:cs="Times New Roman"/>
                <w:b/>
                <w:color w:val="1E364D"/>
                <w:sz w:val="16"/>
              </w:rPr>
              <w:t>A1</w:t>
            </w:r>
          </w:p>
        </w:tc>
        <w:tc>
          <w:tcPr>
            <w:tcW w:w="2340" w:type="dxa"/>
            <w:vAlign w:val="center"/>
            <w:tcMar>
              <w:top w:w="65" w:type="dxa"/>
              <w:start w:w="68" w:type="dxa"/>
              <w:bottom w:w="65" w:type="dxa"/>
              <w:end w:w="68" w:type="dxa"/>
            </w:tcMar>
            <w:shd w:val="clear" w:color="auto" w:fill="E8F0F8"/>
          </w:tcPr>
          <w:p w14:paraId="47A758DD">
            <w:pPr>
              <w:spacing w:before="0" w:after="0" w:line="240" w:lineRule="auto"/>
              <w:jc w:val="center"/>
            </w:pPr>
            <w:r>
              <w:rPr>
                <w:rFonts w:ascii="Times New Roman" w:hAnsi="Times New Roman" w:eastAsia="Times New Roman" w:cs="Times New Roman"/>
                <w:b/>
                <w:color w:val="1E364D"/>
                <w:sz w:val="16"/>
              </w:rPr>
              <w:t>A2</w:t>
            </w:r>
          </w:p>
        </w:tc>
        <w:tc>
          <w:tcPr>
            <w:tcW w:w="2340" w:type="dxa"/>
            <w:vAlign w:val="center"/>
            <w:tcMar>
              <w:top w:w="65" w:type="dxa"/>
              <w:start w:w="68" w:type="dxa"/>
              <w:bottom w:w="65" w:type="dxa"/>
              <w:end w:w="68" w:type="dxa"/>
            </w:tcMar>
            <w:shd w:val="clear" w:color="auto" w:fill="E8F0F8"/>
          </w:tcPr>
          <w:p w14:paraId="06BA4FBA">
            <w:pPr>
              <w:spacing w:before="0" w:after="0" w:line="240" w:lineRule="auto"/>
              <w:jc w:val="center"/>
            </w:pPr>
            <w:r>
              <w:rPr>
                <w:rFonts w:ascii="Times New Roman" w:hAnsi="Times New Roman" w:eastAsia="Times New Roman" w:cs="Times New Roman"/>
                <w:b/>
                <w:color w:val="1E364D"/>
                <w:sz w:val="16"/>
              </w:rPr>
              <w:t>A3</w:t>
            </w:r>
          </w:p>
        </w:tc>
      </w:tr>
      <w:tr w14:paraId="16B99DA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2340" w:type="dxa"/>
            <w:vAlign w:val="center"/>
            <w:tcMar>
              <w:top w:w="65" w:type="dxa"/>
              <w:start w:w="68" w:type="dxa"/>
              <w:bottom w:w="65" w:type="dxa"/>
              <w:end w:w="68" w:type="dxa"/>
            </w:tcMar>
          </w:tcPr>
          <w:p w14:paraId="4C2AFEB5">
            <w:pPr>
              <w:spacing w:before="0" w:after="0" w:line="240" w:lineRule="auto"/>
              <w:jc w:val="left"/>
            </w:pPr>
            <w:r>
              <w:rPr>
                <w:rFonts w:ascii="Times New Roman" w:hAnsi="Times New Roman" w:eastAsia="Times New Roman" w:cs="Times New Roman"/>
                <w:b w:val="0"/>
                <w:color w:val="000000"/>
                <w:sz w:val="16"/>
              </w:rPr>
              <w:t>0</w:t>
            </w:r>
          </w:p>
        </w:tc>
        <w:tc>
          <w:tcPr>
            <w:tcW w:w="2340" w:type="dxa"/>
            <w:vAlign w:val="center"/>
            <w:tcMar>
              <w:top w:w="65" w:type="dxa"/>
              <w:start w:w="68" w:type="dxa"/>
              <w:bottom w:w="65" w:type="dxa"/>
              <w:end w:w="68" w:type="dxa"/>
            </w:tcMar>
          </w:tcPr>
          <w:p w14:paraId="1A216894">
            <w:pPr>
              <w:spacing w:before="0" w:after="0" w:line="240" w:lineRule="auto"/>
              <w:jc w:val="left"/>
            </w:pPr>
            <w:r>
              <w:rPr>
                <w:rFonts w:ascii="Times New Roman" w:hAnsi="Times New Roman" w:eastAsia="Times New Roman" w:cs="Times New Roman"/>
                <w:b w:val="0"/>
                <w:color w:val="000000"/>
                <w:sz w:val="16"/>
              </w:rPr>
              <w:t>333</w:t>
            </w:r>
          </w:p>
        </w:tc>
        <w:tc>
          <w:tcPr>
            <w:tcW w:w="2340" w:type="dxa"/>
            <w:vAlign w:val="center"/>
            <w:tcMar>
              <w:top w:w="65" w:type="dxa"/>
              <w:start w:w="68" w:type="dxa"/>
              <w:bottom w:w="65" w:type="dxa"/>
              <w:end w:w="68" w:type="dxa"/>
            </w:tcMar>
          </w:tcPr>
          <w:p w14:paraId="102208AB">
            <w:pPr>
              <w:spacing w:before="0" w:after="0" w:line="240" w:lineRule="auto"/>
              <w:jc w:val="left"/>
            </w:pPr>
            <w:r>
              <w:rPr>
                <w:rFonts w:ascii="Times New Roman" w:hAnsi="Times New Roman" w:eastAsia="Times New Roman" w:cs="Times New Roman"/>
                <w:b w:val="0"/>
                <w:color w:val="000000"/>
                <w:sz w:val="16"/>
              </w:rPr>
              <w:t>246</w:t>
            </w:r>
          </w:p>
        </w:tc>
        <w:tc>
          <w:tcPr>
            <w:tcW w:w="2340" w:type="dxa"/>
            <w:vAlign w:val="center"/>
            <w:tcMar>
              <w:top w:w="65" w:type="dxa"/>
              <w:start w:w="68" w:type="dxa"/>
              <w:bottom w:w="65" w:type="dxa"/>
              <w:end w:w="68" w:type="dxa"/>
            </w:tcMar>
          </w:tcPr>
          <w:p w14:paraId="3764C616">
            <w:pPr>
              <w:spacing w:before="0" w:after="0" w:line="240" w:lineRule="auto"/>
              <w:jc w:val="left"/>
            </w:pPr>
            <w:r>
              <w:rPr>
                <w:rFonts w:ascii="Times New Roman" w:hAnsi="Times New Roman" w:eastAsia="Times New Roman" w:cs="Times New Roman"/>
                <w:b w:val="0"/>
                <w:color w:val="000000"/>
                <w:sz w:val="16"/>
              </w:rPr>
              <w:t>264</w:t>
            </w:r>
          </w:p>
        </w:tc>
      </w:tr>
      <w:tr w14:paraId="512D778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2340" w:type="dxa"/>
            <w:vAlign w:val="center"/>
            <w:tcMar>
              <w:top w:w="65" w:type="dxa"/>
              <w:start w:w="68" w:type="dxa"/>
              <w:bottom w:w="65" w:type="dxa"/>
              <w:end w:w="68" w:type="dxa"/>
            </w:tcMar>
          </w:tcPr>
          <w:p w14:paraId="4F1FC866">
            <w:pPr>
              <w:spacing w:before="0" w:after="0" w:line="240" w:lineRule="auto"/>
              <w:jc w:val="left"/>
            </w:pPr>
            <w:r>
              <w:rPr>
                <w:rFonts w:ascii="Times New Roman" w:hAnsi="Times New Roman" w:eastAsia="Times New Roman" w:cs="Times New Roman"/>
                <w:b w:val="0"/>
                <w:color w:val="000000"/>
                <w:sz w:val="16"/>
              </w:rPr>
              <w:t>1</w:t>
            </w:r>
          </w:p>
        </w:tc>
        <w:tc>
          <w:tcPr>
            <w:tcW w:w="2340" w:type="dxa"/>
            <w:vAlign w:val="center"/>
            <w:tcMar>
              <w:top w:w="65" w:type="dxa"/>
              <w:start w:w="68" w:type="dxa"/>
              <w:bottom w:w="65" w:type="dxa"/>
              <w:end w:w="68" w:type="dxa"/>
            </w:tcMar>
          </w:tcPr>
          <w:p w14:paraId="39C3A9D6">
            <w:pPr>
              <w:spacing w:before="0" w:after="0" w:line="240" w:lineRule="auto"/>
              <w:jc w:val="left"/>
            </w:pPr>
            <w:r>
              <w:rPr>
                <w:rFonts w:ascii="Times New Roman" w:hAnsi="Times New Roman" w:eastAsia="Times New Roman" w:cs="Times New Roman"/>
                <w:b w:val="0"/>
                <w:color w:val="000000"/>
                <w:sz w:val="16"/>
              </w:rPr>
              <w:t>66</w:t>
            </w:r>
          </w:p>
        </w:tc>
        <w:tc>
          <w:tcPr>
            <w:tcW w:w="2340" w:type="dxa"/>
            <w:vAlign w:val="center"/>
            <w:tcMar>
              <w:top w:w="65" w:type="dxa"/>
              <w:start w:w="68" w:type="dxa"/>
              <w:bottom w:w="65" w:type="dxa"/>
              <w:end w:w="68" w:type="dxa"/>
            </w:tcMar>
          </w:tcPr>
          <w:p w14:paraId="7FA5CA0A">
            <w:pPr>
              <w:spacing w:before="0" w:after="0" w:line="240" w:lineRule="auto"/>
              <w:jc w:val="left"/>
            </w:pPr>
            <w:r>
              <w:rPr>
                <w:rFonts w:ascii="Times New Roman" w:hAnsi="Times New Roman" w:eastAsia="Times New Roman" w:cs="Times New Roman"/>
                <w:b w:val="0"/>
                <w:color w:val="000000"/>
                <w:sz w:val="16"/>
              </w:rPr>
              <w:t>64</w:t>
            </w:r>
          </w:p>
        </w:tc>
        <w:tc>
          <w:tcPr>
            <w:tcW w:w="2340" w:type="dxa"/>
            <w:vAlign w:val="center"/>
            <w:tcMar>
              <w:top w:w="65" w:type="dxa"/>
              <w:start w:w="68" w:type="dxa"/>
              <w:bottom w:w="65" w:type="dxa"/>
              <w:end w:w="68" w:type="dxa"/>
            </w:tcMar>
          </w:tcPr>
          <w:p w14:paraId="4DE80191">
            <w:pPr>
              <w:spacing w:before="0" w:after="0" w:line="240" w:lineRule="auto"/>
              <w:jc w:val="left"/>
            </w:pPr>
            <w:r>
              <w:rPr>
                <w:rFonts w:ascii="Times New Roman" w:hAnsi="Times New Roman" w:eastAsia="Times New Roman" w:cs="Times New Roman"/>
                <w:b w:val="0"/>
                <w:color w:val="000000"/>
                <w:sz w:val="16"/>
              </w:rPr>
              <w:t>40</w:t>
            </w:r>
          </w:p>
        </w:tc>
      </w:tr>
      <w:tr w14:paraId="08CE0C9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2340" w:type="dxa"/>
            <w:vAlign w:val="center"/>
            <w:tcMar>
              <w:top w:w="65" w:type="dxa"/>
              <w:start w:w="68" w:type="dxa"/>
              <w:bottom w:w="65" w:type="dxa"/>
              <w:end w:w="68" w:type="dxa"/>
            </w:tcMar>
          </w:tcPr>
          <w:p w14:paraId="0BDA183F">
            <w:pPr>
              <w:spacing w:before="0" w:after="0" w:line="240" w:lineRule="auto"/>
              <w:jc w:val="left"/>
            </w:pPr>
            <w:r>
              <w:rPr>
                <w:rFonts w:ascii="Times New Roman" w:hAnsi="Times New Roman" w:eastAsia="Times New Roman" w:cs="Times New Roman"/>
                <w:b w:val="0"/>
                <w:color w:val="000000"/>
                <w:sz w:val="16"/>
              </w:rPr>
              <w:t>2</w:t>
            </w:r>
          </w:p>
        </w:tc>
        <w:tc>
          <w:tcPr>
            <w:tcW w:w="2340" w:type="dxa"/>
            <w:vAlign w:val="center"/>
            <w:tcMar>
              <w:top w:w="65" w:type="dxa"/>
              <w:start w:w="68" w:type="dxa"/>
              <w:bottom w:w="65" w:type="dxa"/>
              <w:end w:w="68" w:type="dxa"/>
            </w:tcMar>
          </w:tcPr>
          <w:p w14:paraId="48A225E9">
            <w:pPr>
              <w:spacing w:before="0" w:after="0" w:line="240" w:lineRule="auto"/>
              <w:jc w:val="left"/>
            </w:pPr>
            <w:r>
              <w:rPr>
                <w:rFonts w:ascii="Times New Roman" w:hAnsi="Times New Roman" w:eastAsia="Times New Roman" w:cs="Times New Roman"/>
                <w:b w:val="0"/>
                <w:color w:val="000000"/>
                <w:sz w:val="16"/>
              </w:rPr>
              <w:t>170</w:t>
            </w:r>
          </w:p>
        </w:tc>
        <w:tc>
          <w:tcPr>
            <w:tcW w:w="2340" w:type="dxa"/>
            <w:vAlign w:val="center"/>
            <w:tcMar>
              <w:top w:w="65" w:type="dxa"/>
              <w:start w:w="68" w:type="dxa"/>
              <w:bottom w:w="65" w:type="dxa"/>
              <w:end w:w="68" w:type="dxa"/>
            </w:tcMar>
          </w:tcPr>
          <w:p w14:paraId="39B24651">
            <w:pPr>
              <w:spacing w:before="0" w:after="0" w:line="240" w:lineRule="auto"/>
              <w:jc w:val="left"/>
            </w:pPr>
            <w:r>
              <w:rPr>
                <w:rFonts w:ascii="Times New Roman" w:hAnsi="Times New Roman" w:eastAsia="Times New Roman" w:cs="Times New Roman"/>
                <w:b w:val="0"/>
                <w:color w:val="000000"/>
                <w:sz w:val="16"/>
              </w:rPr>
              <w:t>220</w:t>
            </w:r>
          </w:p>
        </w:tc>
        <w:tc>
          <w:tcPr>
            <w:tcW w:w="2340" w:type="dxa"/>
            <w:vAlign w:val="center"/>
            <w:tcMar>
              <w:top w:w="65" w:type="dxa"/>
              <w:start w:w="68" w:type="dxa"/>
              <w:bottom w:w="65" w:type="dxa"/>
              <w:end w:w="68" w:type="dxa"/>
            </w:tcMar>
          </w:tcPr>
          <w:p w14:paraId="3D3F6F3B">
            <w:pPr>
              <w:spacing w:before="0" w:after="0" w:line="240" w:lineRule="auto"/>
              <w:jc w:val="left"/>
            </w:pPr>
            <w:r>
              <w:rPr>
                <w:rFonts w:ascii="Times New Roman" w:hAnsi="Times New Roman" w:eastAsia="Times New Roman" w:cs="Times New Roman"/>
                <w:b w:val="0"/>
                <w:color w:val="000000"/>
                <w:sz w:val="16"/>
              </w:rPr>
              <w:t>136</w:t>
            </w:r>
          </w:p>
        </w:tc>
      </w:tr>
      <w:tr w14:paraId="300AE87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2340" w:type="dxa"/>
            <w:vAlign w:val="center"/>
            <w:tcMar>
              <w:top w:w="65" w:type="dxa"/>
              <w:start w:w="68" w:type="dxa"/>
              <w:bottom w:w="65" w:type="dxa"/>
              <w:end w:w="68" w:type="dxa"/>
            </w:tcMar>
          </w:tcPr>
          <w:p w14:paraId="353DF242">
            <w:pPr>
              <w:spacing w:before="0" w:after="0" w:line="240" w:lineRule="auto"/>
              <w:jc w:val="left"/>
            </w:pPr>
            <w:r>
              <w:rPr>
                <w:rFonts w:ascii="Times New Roman" w:hAnsi="Times New Roman" w:eastAsia="Times New Roman" w:cs="Times New Roman"/>
                <w:b w:val="0"/>
                <w:color w:val="000000"/>
                <w:sz w:val="16"/>
              </w:rPr>
              <w:t>3</w:t>
            </w:r>
          </w:p>
        </w:tc>
        <w:tc>
          <w:tcPr>
            <w:tcW w:w="2340" w:type="dxa"/>
            <w:vAlign w:val="center"/>
            <w:tcMar>
              <w:top w:w="65" w:type="dxa"/>
              <w:start w:w="68" w:type="dxa"/>
              <w:bottom w:w="65" w:type="dxa"/>
              <w:end w:w="68" w:type="dxa"/>
            </w:tcMar>
          </w:tcPr>
          <w:p w14:paraId="5EF9EE2F">
            <w:pPr>
              <w:spacing w:before="0" w:after="0" w:line="240" w:lineRule="auto"/>
              <w:jc w:val="left"/>
            </w:pPr>
            <w:r>
              <w:rPr>
                <w:rFonts w:ascii="Times New Roman" w:hAnsi="Times New Roman" w:eastAsia="Times New Roman" w:cs="Times New Roman"/>
                <w:b w:val="0"/>
                <w:color w:val="000000"/>
                <w:sz w:val="16"/>
              </w:rPr>
              <w:t>151</w:t>
            </w:r>
          </w:p>
        </w:tc>
        <w:tc>
          <w:tcPr>
            <w:tcW w:w="2340" w:type="dxa"/>
            <w:vAlign w:val="center"/>
            <w:tcMar>
              <w:top w:w="65" w:type="dxa"/>
              <w:start w:w="68" w:type="dxa"/>
              <w:bottom w:w="65" w:type="dxa"/>
              <w:end w:w="68" w:type="dxa"/>
            </w:tcMar>
          </w:tcPr>
          <w:p w14:paraId="1A0C3BD1">
            <w:pPr>
              <w:spacing w:before="0" w:after="0" w:line="240" w:lineRule="auto"/>
              <w:jc w:val="left"/>
            </w:pPr>
            <w:r>
              <w:rPr>
                <w:rFonts w:ascii="Times New Roman" w:hAnsi="Times New Roman" w:eastAsia="Times New Roman" w:cs="Times New Roman"/>
                <w:b w:val="0"/>
                <w:color w:val="000000"/>
                <w:sz w:val="16"/>
              </w:rPr>
              <w:t>190</w:t>
            </w:r>
          </w:p>
        </w:tc>
        <w:tc>
          <w:tcPr>
            <w:tcW w:w="2340" w:type="dxa"/>
            <w:vAlign w:val="center"/>
            <w:tcMar>
              <w:top w:w="65" w:type="dxa"/>
              <w:start w:w="68" w:type="dxa"/>
              <w:bottom w:w="65" w:type="dxa"/>
              <w:end w:w="68" w:type="dxa"/>
            </w:tcMar>
          </w:tcPr>
          <w:p w14:paraId="3273BEF9">
            <w:pPr>
              <w:spacing w:before="0" w:after="0" w:line="240" w:lineRule="auto"/>
              <w:jc w:val="left"/>
            </w:pPr>
            <w:r>
              <w:rPr>
                <w:rFonts w:ascii="Times New Roman" w:hAnsi="Times New Roman" w:eastAsia="Times New Roman" w:cs="Times New Roman"/>
                <w:b w:val="0"/>
                <w:color w:val="000000"/>
                <w:sz w:val="16"/>
              </w:rPr>
              <w:t>280</w:t>
            </w:r>
          </w:p>
        </w:tc>
      </w:tr>
    </w:tbl>
    <w:p w14:paraId="22620323">
      <w:pPr>
        <w:pStyle w:val="3"/>
        <w:keepNext/>
        <w:keepLines/>
        <w:pageBreakBefore w:val="0"/>
        <w:spacing w:before="140" w:after="80"/>
      </w:pPr>
      <w:r>
        <w:rPr>
          <w:color w:val="000000"/>
        </w:rPr>
        <w:t>S7.4 Complete pooled matrices and interpretation boundary</w:t>
      </w:r>
    </w:p>
    <w:p w14:paraId="583C361A">
      <w:pPr>
        <w:spacing w:after="100" w:line="276" w:lineRule="auto"/>
        <w:jc w:val="both"/>
      </w:pPr>
      <w:r>
        <w:rPr>
          <w:rFonts w:ascii="Times New Roman" w:hAnsi="Times New Roman" w:eastAsia="Times New Roman"/>
          <w:color w:val="000000"/>
          <w:sz w:val="22"/>
        </w:rPr>
      </w:r>
    </w:p>
    <w:p w14:paraId="449B070D">
      <w:pPr>
        <w:widowControl/>
      </w:pPr>
      <w:r>
        <w:t>Figures S1–S3 visualise the complete pooled primary-label, boundary-zone, and severity matrices used to localise pairwise agreement and disagreement.</w:t>
      </w:r>
    </w:p>
    <w:p w14:paraId="583C361A">
      <w:pPr>
        <w:spacing w:after="100" w:line="276" w:lineRule="auto"/>
        <w:jc w:val="both"/>
      </w:pPr>
      <w:r>
        <w:rPr>
          <w:rFonts w:ascii="Times New Roman" w:hAnsi="Times New Roman" w:eastAsia="Times New Roman"/>
          <w:color w:val="000000"/>
          <w:sz w:val="22"/>
        </w:rPr>
        <w:drawing>
          <wp:inline distT="0" distB="0" distL="114300" distR="114300">
            <wp:extent cx="6035040" cy="5579110"/>
            <wp:effectExtent l="0" t="0" r="1016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a:off x="0" y="0"/>
                      <a:ext cx="6035040" cy="5579378"/>
                    </a:xfrm>
                    <a:prstGeom prst="rect">
                      <a:avLst/>
                    </a:prstGeom>
                  </pic:spPr>
                </pic:pic>
              </a:graphicData>
            </a:graphic>
          </wp:inline>
        </w:drawing>
      </w:r>
    </w:p>
    <w:p w14:paraId="11B87414">
      <w:pPr>
        <w:pStyle w:val="16"/>
        <w:keepNext/>
        <w:keepLines/>
        <w:spacing w:before="120" w:after="60"/>
        <w:jc w:val="left"/>
      </w:pPr>
      <w:r>
        <w:rPr>
          <w:rFonts w:ascii="Times New Roman" w:hAnsi="Times New Roman" w:eastAsia="Times New Roman" w:cs="Times New Roman"/>
          <w:b/>
          <w:sz w:val="17"/>
        </w:rPr>
        <w:t>Figure S1.</w:t>
      </w:r>
      <w:r>
        <w:rPr>
          <w:rFonts w:ascii="Times New Roman" w:hAnsi="Times New Roman" w:eastAsia="Times New Roman" w:cs="Times New Roman"/>
          <w:b w:val="0"/>
          <w:sz w:val="17"/>
        </w:rPr>
        <w:t xml:space="preserve"> Pooled symmetric primary-label rating matrix. The diagonal contains matching pairwise ratings; off-diagonal cells localise pairwise contrasts.</w:t>
      </w:r>
    </w:p>
    <w:p w14:paraId="58E2B684">
      <w:pPr>
        <w:spacing w:after="100" w:line="276" w:lineRule="auto"/>
        <w:jc w:val="both"/>
      </w:pPr>
      <w:r>
        <w:rPr>
          <w:rFonts w:ascii="Times New Roman" w:hAnsi="Times New Roman" w:eastAsia="Times New Roman"/>
          <w:color w:val="000000"/>
          <w:sz w:val="22"/>
        </w:rPr>
      </w:r>
    </w:p>
    <w:p w14:paraId="58E2B684">
      <w:pPr>
        <w:spacing w:after="100" w:line="276" w:lineRule="auto"/>
        <w:jc w:val="both"/>
      </w:pPr>
      <w:r>
        <w:rPr>
          <w:rFonts w:ascii="Times New Roman" w:hAnsi="Times New Roman" w:eastAsia="Times New Roman"/>
          <w:color w:val="000000"/>
          <w:sz w:val="22"/>
        </w:rPr>
        <w:drawing>
          <wp:inline distT="0" distB="0" distL="114300" distR="114300">
            <wp:extent cx="5120640" cy="4237990"/>
            <wp:effectExtent l="0" t="0" r="698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7"/>
                    <a:stretch>
                      <a:fillRect/>
                    </a:stretch>
                  </pic:blipFill>
                  <pic:spPr>
                    <a:xfrm>
                      <a:off x="0" y="0"/>
                      <a:ext cx="5120640" cy="4238270"/>
                    </a:xfrm>
                    <a:prstGeom prst="rect">
                      <a:avLst/>
                    </a:prstGeom>
                  </pic:spPr>
                </pic:pic>
              </a:graphicData>
            </a:graphic>
          </wp:inline>
        </w:drawing>
      </w:r>
    </w:p>
    <w:p w14:paraId="3BE5B0D1">
      <w:pPr>
        <w:pStyle w:val="16"/>
        <w:keepNext/>
        <w:keepLines/>
        <w:spacing w:before="120" w:after="60"/>
        <w:jc w:val="left"/>
      </w:pPr>
      <w:r>
        <w:rPr>
          <w:rFonts w:ascii="Times New Roman" w:hAnsi="Times New Roman" w:eastAsia="Times New Roman" w:cs="Times New Roman"/>
          <w:b/>
          <w:sz w:val="17"/>
        </w:rPr>
        <w:t>Figure S2.</w:t>
      </w:r>
      <w:r>
        <w:rPr>
          <w:rFonts w:ascii="Times New Roman" w:hAnsi="Times New Roman" w:eastAsia="Times New Roman" w:cs="Times New Roman"/>
          <w:b w:val="0"/>
          <w:sz w:val="17"/>
        </w:rPr>
        <w:t xml:space="preserve"> Pooled symmetric boundary-zone rating matrix. Diagonal cells are matching pairwise ratings; off-diagonal cells show boundary contrasts.</w:t>
      </w:r>
    </w:p>
    <w:p w14:paraId="7A8F4925">
      <w:pPr>
        <w:spacing w:after="100" w:line="276" w:lineRule="auto"/>
        <w:jc w:val="both"/>
      </w:pPr>
      <w:r>
        <w:rPr>
          <w:rFonts w:ascii="Times New Roman" w:hAnsi="Times New Roman" w:eastAsia="Times New Roman"/>
          <w:color w:val="000000"/>
          <w:sz w:val="22"/>
        </w:rPr>
      </w:r>
    </w:p>
    <w:p w14:paraId="7A8F4925">
      <w:pPr>
        <w:keepNext/>
        <w:spacing w:after="100" w:line="276" w:lineRule="auto"/>
        <w:jc w:val="both"/>
      </w:pPr>
      <w:r>
        <w:rPr>
          <w:rFonts w:ascii="Times New Roman" w:hAnsi="Times New Roman" w:eastAsia="Times New Roman"/>
          <w:color w:val="000000"/>
          <w:sz w:val="22"/>
        </w:rPr>
        <w:drawing>
          <wp:inline distT="0" distB="0" distL="114300" distR="114300">
            <wp:extent cx="4754880" cy="3938270"/>
            <wp:effectExtent l="0" t="0" r="571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8"/>
                    <a:stretch>
                      <a:fillRect/>
                    </a:stretch>
                  </pic:blipFill>
                  <pic:spPr>
                    <a:xfrm>
                      <a:off x="0" y="0"/>
                      <a:ext cx="4754880" cy="3938318"/>
                    </a:xfrm>
                    <a:prstGeom prst="rect">
                      <a:avLst/>
                    </a:prstGeom>
                  </pic:spPr>
                </pic:pic>
              </a:graphicData>
            </a:graphic>
          </wp:inline>
        </w:drawing>
      </w:r>
    </w:p>
    <w:p w14:paraId="162AA398">
      <w:pPr>
        <w:pStyle w:val="16"/>
        <w:keepNext/>
        <w:keepLines/>
        <w:spacing w:before="120" w:after="60"/>
        <w:jc w:val="left"/>
      </w:pPr>
      <w:r>
        <w:rPr>
          <w:rFonts w:ascii="Times New Roman" w:hAnsi="Times New Roman" w:eastAsia="Times New Roman" w:cs="Times New Roman"/>
          <w:b/>
          <w:sz w:val="17"/>
        </w:rPr>
        <w:t>Figure S3.</w:t>
      </w:r>
      <w:r>
        <w:rPr>
          <w:rFonts w:ascii="Times New Roman" w:hAnsi="Times New Roman" w:eastAsia="Times New Roman" w:cs="Times New Roman"/>
          <w:b w:val="0"/>
          <w:sz w:val="17"/>
        </w:rPr>
        <w:t xml:space="preserve"> Pooled symmetric severity rating matrix. Diagonal cells are exact matches; off-diagonal cells show the distance and direction of severity differences.</w:t>
      </w:r>
    </w:p>
    <w:p w14:paraId="24326D94">
      <w:pPr>
        <w:pStyle w:val="2"/>
        <w:keepNext/>
        <w:keepLines/>
        <w:pageBreakBefore w:val="0"/>
        <w:spacing w:before="200" w:after="80"/>
      </w:pPr>
      <w:r>
        <w:rPr>
          <w:color w:val="000000"/>
        </w:rPr>
        <w:t>S8. Provenance, Data Access, Transfer Scope, and Reproducibility Assets</w:t>
      </w:r>
    </w:p>
    <w:p w14:paraId="536BEF49">
      <w:pPr>
        <w:pStyle w:val="3"/>
        <w:keepNext/>
        <w:keepLines/>
        <w:pageBreakBefore w:val="0"/>
        <w:spacing w:before="140" w:after="80"/>
      </w:pPr>
      <w:r>
        <w:rPr>
          <w:color w:val="000000"/>
        </w:rPr>
        <w:t>S8.1 Direct-file verification and immutable annotator records</w:t>
      </w:r>
    </w:p>
    <w:p w14:paraId="33829397">
      <w:pPr>
        <w:widowControl/>
        <w:spacing w:after="100" w:line="276" w:lineRule="auto"/>
        <w:jc w:val="both"/>
      </w:pPr>
      <w:r>
        <w:t>The three authoritative annotator workbooks, the senior round-1 adjudication file, the completed targeted same-adjudicator manual-consistency re-review pack, and FINAL GOLD v1.0 were checked as separate provenance layers. Each annotator workbook contains 720 unique analytic case identifiers and remains immutable. Prompt IDs, tasks, prompt text, and model outputs align across the three rater files. The A1 no-source placeholder value 55 is treated as blank because source_available=no in those cases. FINAL GOLD v1.0 preserves A1–A3 decisions and adds only separate downstream reference fields and provenance labels.</w:t>
      </w:r>
    </w:p>
    <w:p w14:paraId="5E4575A5"/>
    <w:p w14:paraId="45192D6B">
      <w:pPr>
        <w:pStyle w:val="16"/>
        <w:keepNext/>
        <w:keepLines/>
        <w:spacing w:before="120" w:after="60"/>
        <w:jc w:val="left"/>
      </w:pPr>
      <w:r>
        <w:t>Table S46. Direct-file integrity and arithmetic verification.</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2530"/>
        <w:gridCol w:w="2530"/>
        <w:gridCol w:w="2530"/>
        <w:gridCol w:w="2530"/>
      </w:tblGrid>
      <w:tr w14:paraId="254DE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blHeader w:val="true"/>
          <w:jc w:val="center"/>
          <w:tblHeader w:val="true"/>
        </w:trPr>
        <w:tc>
          <w:tcPr>
            <w:tcW w:w="2530" w:type="dxa"/>
            <w:vAlign w:val="center"/>
            <w:tcMar>
              <w:top w:w="65" w:type="dxa"/>
              <w:start w:w="68" w:type="dxa"/>
              <w:bottom w:w="65" w:type="dxa"/>
              <w:end w:w="68" w:type="dxa"/>
            </w:tcMar>
            <w:shd w:val="clear" w:color="auto" w:fill="E8F0F8"/>
          </w:tcPr>
          <w:p w14:paraId="1FB178D3">
            <w:pPr>
              <w:spacing w:before="0" w:after="0" w:line="240" w:lineRule="auto"/>
              <w:jc w:val="center"/>
            </w:pPr>
            <w:r>
              <w:rPr>
                <w:rFonts w:ascii="Times New Roman" w:hAnsi="Times New Roman" w:eastAsia="Times New Roman" w:cs="Times New Roman"/>
                <w:b/>
                <w:color w:val="1E364D"/>
                <w:sz w:val="16"/>
              </w:rPr>
              <w:t>Check</w:t>
            </w:r>
          </w:p>
        </w:tc>
        <w:tc>
          <w:tcPr>
            <w:tcW w:w="2530" w:type="dxa"/>
            <w:vAlign w:val="center"/>
            <w:tcMar>
              <w:top w:w="65" w:type="dxa"/>
              <w:start w:w="68" w:type="dxa"/>
              <w:bottom w:w="65" w:type="dxa"/>
              <w:end w:w="68" w:type="dxa"/>
            </w:tcMar>
            <w:shd w:val="clear" w:color="auto" w:fill="E8F0F8"/>
          </w:tcPr>
          <w:p w14:paraId="74471BDD">
            <w:pPr>
              <w:spacing w:before="0" w:after="0" w:line="240" w:lineRule="auto"/>
              <w:jc w:val="center"/>
            </w:pPr>
            <w:r>
              <w:rPr>
                <w:rFonts w:ascii="Times New Roman" w:hAnsi="Times New Roman" w:eastAsia="Times New Roman" w:cs="Times New Roman"/>
                <w:b/>
                <w:color w:val="1E364D"/>
                <w:sz w:val="16"/>
              </w:rPr>
              <w:t>Observed result</w:t>
            </w:r>
          </w:p>
        </w:tc>
        <w:tc>
          <w:tcPr>
            <w:tcW w:w="2530" w:type="dxa"/>
            <w:vAlign w:val="center"/>
            <w:tcMar>
              <w:top w:w="65" w:type="dxa"/>
              <w:start w:w="68" w:type="dxa"/>
              <w:bottom w:w="65" w:type="dxa"/>
              <w:end w:w="68" w:type="dxa"/>
            </w:tcMar>
            <w:shd w:val="clear" w:color="auto" w:fill="E8F0F8"/>
          </w:tcPr>
          <w:p w14:paraId="62C1A2DA">
            <w:pPr>
              <w:spacing w:before="0" w:after="0" w:line="240" w:lineRule="auto"/>
              <w:jc w:val="center"/>
            </w:pPr>
            <w:r>
              <w:rPr>
                <w:rFonts w:ascii="Times New Roman" w:hAnsi="Times New Roman" w:eastAsia="Times New Roman" w:cs="Times New Roman"/>
                <w:b/>
                <w:color w:val="1E364D"/>
                <w:sz w:val="16"/>
              </w:rPr>
              <w:t>Verification</w:t>
            </w:r>
          </w:p>
        </w:tc>
        <w:tc>
          <w:tcPr>
            <w:tcW w:w="2530" w:type="dxa"/>
            <w:vAlign w:val="center"/>
            <w:tcMar>
              <w:top w:w="65" w:type="dxa"/>
              <w:start w:w="68" w:type="dxa"/>
              <w:bottom w:w="65" w:type="dxa"/>
              <w:end w:w="68" w:type="dxa"/>
            </w:tcMar>
            <w:shd w:val="clear" w:color="auto" w:fill="E8F0F8"/>
          </w:tcPr>
          <w:p w14:paraId="4FECF19B">
            <w:pPr>
              <w:spacing w:before="0" w:after="0" w:line="240" w:lineRule="auto"/>
              <w:jc w:val="center"/>
            </w:pPr>
            <w:r>
              <w:rPr>
                <w:rFonts w:ascii="Times New Roman" w:hAnsi="Times New Roman" w:eastAsia="Times New Roman" w:cs="Times New Roman"/>
                <w:b/>
                <w:color w:val="1E364D"/>
                <w:sz w:val="16"/>
              </w:rPr>
              <w:t>Interpretation</w:t>
            </w:r>
          </w:p>
        </w:tc>
      </w:tr>
      <w:tr w14:paraId="404432C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2530" w:type="dxa"/>
            <w:vAlign w:val="center"/>
            <w:tcMar>
              <w:top w:w="65" w:type="dxa"/>
              <w:start w:w="68" w:type="dxa"/>
              <w:bottom w:w="65" w:type="dxa"/>
              <w:end w:w="68" w:type="dxa"/>
            </w:tcMar>
          </w:tcPr>
          <w:p w14:paraId="5C279418">
            <w:pPr>
              <w:spacing w:before="0" w:after="0" w:line="240" w:lineRule="auto"/>
            </w:pPr>
            <w:r>
              <w:rPr>
                <w:rFonts w:ascii="Times New Roman" w:hAnsi="Times New Roman" w:eastAsia="Times New Roman" w:cs="Times New Roman"/>
                <w:b w:val="0"/>
                <w:sz w:val="16"/>
              </w:rPr>
              <w:t>Case coverage</w:t>
            </w:r>
          </w:p>
        </w:tc>
        <w:tc>
          <w:tcPr>
            <w:tcW w:w="2530" w:type="dxa"/>
            <w:vAlign w:val="center"/>
            <w:tcMar>
              <w:top w:w="65" w:type="dxa"/>
              <w:start w:w="68" w:type="dxa"/>
              <w:bottom w:w="65" w:type="dxa"/>
              <w:end w:w="68" w:type="dxa"/>
            </w:tcMar>
          </w:tcPr>
          <w:p>
            <w:pPr>
              <w:spacing w:before="0" w:after="0" w:line="240" w:lineRule="auto"/>
            </w:pPr>
            <w:r>
              <w:rPr>
                <w:rFonts w:ascii="Times New Roman" w:hAnsi="Times New Roman" w:eastAsia="Times New Roman" w:cs="Times New Roman"/>
                <w:b w:val="0"/>
                <w:sz w:val="16"/>
              </w:rPr>
              <w:t>A1 720; A2 720; A3 720; FINAL GOLD v1.0 720</w:t>
            </w:r>
          </w:p>
        </w:tc>
        <w:tc>
          <w:tcPr>
            <w:tcW w:w="2530" w:type="dxa"/>
            <w:vAlign w:val="center"/>
            <w:tcMar>
              <w:top w:w="65" w:type="dxa"/>
              <w:start w:w="68" w:type="dxa"/>
              <w:bottom w:w="65" w:type="dxa"/>
              <w:end w:w="68" w:type="dxa"/>
            </w:tcMar>
          </w:tcPr>
          <w:p>
            <w:pPr>
              <w:spacing w:before="0" w:after="0" w:line="240" w:lineRule="auto"/>
            </w:pPr>
            <w:r>
              <w:rPr>
                <w:rFonts w:ascii="Times New Roman" w:hAnsi="Times New Roman" w:eastAsia="Times New Roman" w:cs="Times New Roman"/>
                <w:b w:val="0"/>
                <w:sz w:val="16"/>
              </w:rPr>
              <w:t>720 unique case IDs in every retained analytic layer</w:t>
            </w:r>
          </w:p>
        </w:tc>
        <w:tc>
          <w:tcPr>
            <w:tcW w:w="2530" w:type="dxa"/>
            <w:vAlign w:val="center"/>
            <w:tcMar>
              <w:top w:w="65" w:type="dxa"/>
              <w:start w:w="68" w:type="dxa"/>
              <w:bottom w:w="65" w:type="dxa"/>
              <w:end w:w="68" w:type="dxa"/>
            </w:tcMar>
          </w:tcPr>
          <w:p>
            <w:pPr>
              <w:spacing w:before="0" w:after="0" w:line="240" w:lineRule="auto"/>
            </w:pPr>
            <w:r>
              <w:rPr>
                <w:rFonts w:ascii="Times New Roman" w:hAnsi="Times New Roman" w:eastAsia="Times New Roman" w:cs="Times New Roman"/>
                <w:b w:val="0"/>
                <w:sz w:val="16"/>
              </w:rPr>
              <w:t>Complete aligned case set.</w:t>
            </w:r>
          </w:p>
        </w:tc>
      </w:tr>
      <w:tr w14:paraId="31052DA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2530" w:type="dxa"/>
            <w:vAlign w:val="center"/>
            <w:tcMar>
              <w:top w:w="65" w:type="dxa"/>
              <w:start w:w="68" w:type="dxa"/>
              <w:bottom w:w="65" w:type="dxa"/>
              <w:end w:w="68" w:type="dxa"/>
            </w:tcMar>
          </w:tcPr>
          <w:p w14:paraId="51F7EC82">
            <w:pPr>
              <w:spacing w:before="0" w:after="0" w:line="240" w:lineRule="auto"/>
            </w:pPr>
            <w:r>
              <w:rPr>
                <w:rFonts w:ascii="Times New Roman" w:hAnsi="Times New Roman" w:eastAsia="Times New Roman" w:cs="Times New Roman"/>
                <w:b w:val="0"/>
                <w:sz w:val="16"/>
              </w:rPr>
              <w:t>Workbook structure</w:t>
            </w:r>
          </w:p>
        </w:tc>
        <w:tc>
          <w:tcPr>
            <w:tcW w:w="2530" w:type="dxa"/>
            <w:vAlign w:val="center"/>
            <w:tcMar>
              <w:top w:w="65" w:type="dxa"/>
              <w:start w:w="68" w:type="dxa"/>
              <w:bottom w:w="65" w:type="dxa"/>
              <w:end w:w="68" w:type="dxa"/>
            </w:tcMar>
          </w:tcPr>
          <w:p w14:paraId="2F321C26">
            <w:pPr>
              <w:spacing w:before="0" w:after="0" w:line="240" w:lineRule="auto"/>
            </w:pPr>
            <w:r>
              <w:rPr>
                <w:rFonts w:ascii="Times New Roman" w:hAnsi="Times New Roman" w:eastAsia="Times New Roman" w:cs="Times New Roman"/>
                <w:b w:val="0"/>
                <w:sz w:val="16"/>
              </w:rPr>
              <w:t>Each authoritative workbook contains Annotation, Instructions, Codebook, and AllowedValues only.</w:t>
            </w:r>
          </w:p>
        </w:tc>
        <w:tc>
          <w:tcPr>
            <w:tcW w:w="2530" w:type="dxa"/>
            <w:vAlign w:val="center"/>
            <w:tcMar>
              <w:top w:w="65" w:type="dxa"/>
              <w:start w:w="68" w:type="dxa"/>
              <w:bottom w:w="65" w:type="dxa"/>
              <w:end w:w="68" w:type="dxa"/>
            </w:tcMar>
          </w:tcPr>
          <w:p w14:paraId="01345033">
            <w:pPr>
              <w:spacing w:before="0" w:after="0" w:line="240" w:lineRule="auto"/>
            </w:pPr>
            <w:r>
              <w:rPr>
                <w:rFonts w:ascii="Times New Roman" w:hAnsi="Times New Roman" w:eastAsia="Times New Roman" w:cs="Times New Roman"/>
                <w:b w:val="0"/>
                <w:sz w:val="16"/>
              </w:rPr>
              <w:t>No old/new decision ledger in A1, A2, or A3.</w:t>
            </w:r>
          </w:p>
        </w:tc>
        <w:tc>
          <w:tcPr>
            <w:tcW w:w="2530" w:type="dxa"/>
            <w:vAlign w:val="center"/>
            <w:tcMar>
              <w:top w:w="65" w:type="dxa"/>
              <w:start w:w="68" w:type="dxa"/>
              <w:bottom w:w="65" w:type="dxa"/>
              <w:end w:w="68" w:type="dxa"/>
            </w:tcMar>
          </w:tcPr>
          <w:p w14:paraId="20FCE5D9">
            <w:pPr>
              <w:spacing w:before="0" w:after="0" w:line="240" w:lineRule="auto"/>
            </w:pPr>
            <w:r>
              <w:rPr>
                <w:rFonts w:ascii="Times New Roman" w:hAnsi="Times New Roman" w:eastAsia="Times New Roman" w:cs="Times New Roman"/>
                <w:b w:val="0"/>
                <w:sz w:val="16"/>
              </w:rPr>
              <w:t>Only the current final locked workbooks are used as rater sources.</w:t>
            </w:r>
          </w:p>
        </w:tc>
      </w:tr>
      <w:tr w14:paraId="5920BEC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2530" w:type="dxa"/>
            <w:vAlign w:val="center"/>
            <w:tcMar>
              <w:top w:w="65" w:type="dxa"/>
              <w:start w:w="68" w:type="dxa"/>
              <w:bottom w:w="65" w:type="dxa"/>
              <w:end w:w="68" w:type="dxa"/>
            </w:tcMar>
          </w:tcPr>
          <w:p w14:paraId="5FB3E032">
            <w:pPr>
              <w:spacing w:before="0" w:after="0" w:line="240" w:lineRule="auto"/>
            </w:pPr>
            <w:r>
              <w:rPr>
                <w:rFonts w:ascii="Times New Roman" w:hAnsi="Times New Roman" w:eastAsia="Times New Roman" w:cs="Times New Roman"/>
                <w:b w:val="0"/>
                <w:sz w:val="16"/>
              </w:rPr>
              <w:t>Prompt and output identity</w:t>
            </w:r>
          </w:p>
        </w:tc>
        <w:tc>
          <w:tcPr>
            <w:tcW w:w="2530" w:type="dxa"/>
            <w:vAlign w:val="center"/>
            <w:tcMar>
              <w:top w:w="65" w:type="dxa"/>
              <w:start w:w="68" w:type="dxa"/>
              <w:bottom w:w="65" w:type="dxa"/>
              <w:end w:w="68" w:type="dxa"/>
            </w:tcMar>
          </w:tcPr>
          <w:p w14:paraId="23DDC381">
            <w:pPr>
              <w:spacing w:before="0" w:after="0" w:line="240" w:lineRule="auto"/>
            </w:pPr>
            <w:r>
              <w:rPr>
                <w:rFonts w:ascii="Times New Roman" w:hAnsi="Times New Roman" w:eastAsia="Times New Roman" w:cs="Times New Roman"/>
                <w:b w:val="0"/>
                <w:sz w:val="16"/>
              </w:rPr>
              <w:t>Prompt ID, task, prompt text, and model output match across all three files</w:t>
            </w:r>
          </w:p>
        </w:tc>
        <w:tc>
          <w:tcPr>
            <w:tcW w:w="2530" w:type="dxa"/>
            <w:vAlign w:val="center"/>
            <w:tcMar>
              <w:top w:w="65" w:type="dxa"/>
              <w:start w:w="68" w:type="dxa"/>
              <w:bottom w:w="65" w:type="dxa"/>
              <w:end w:w="68" w:type="dxa"/>
            </w:tcMar>
          </w:tcPr>
          <w:p w14:paraId="59468ED0">
            <w:pPr>
              <w:spacing w:before="0" w:after="0" w:line="240" w:lineRule="auto"/>
            </w:pPr>
            <w:r>
              <w:rPr>
                <w:rFonts w:ascii="Times New Roman" w:hAnsi="Times New Roman" w:eastAsia="Times New Roman" w:cs="Times New Roman"/>
                <w:b w:val="0"/>
                <w:sz w:val="16"/>
              </w:rPr>
              <w:t>0 mismatches after whitespace normalisation</w:t>
            </w:r>
          </w:p>
        </w:tc>
        <w:tc>
          <w:tcPr>
            <w:tcW w:w="2530" w:type="dxa"/>
            <w:vAlign w:val="center"/>
            <w:tcMar>
              <w:top w:w="65" w:type="dxa"/>
              <w:start w:w="68" w:type="dxa"/>
              <w:bottom w:w="65" w:type="dxa"/>
              <w:end w:w="68" w:type="dxa"/>
            </w:tcMar>
          </w:tcPr>
          <w:p w14:paraId="6A3A7E1E">
            <w:pPr>
              <w:spacing w:before="0" w:after="0" w:line="240" w:lineRule="auto"/>
            </w:pPr>
            <w:r>
              <w:rPr>
                <w:rFonts w:ascii="Times New Roman" w:hAnsi="Times New Roman" w:eastAsia="Times New Roman" w:cs="Times New Roman"/>
                <w:b w:val="0"/>
                <w:sz w:val="16"/>
              </w:rPr>
              <w:t>All raters evaluated the same generated outputs.</w:t>
            </w:r>
          </w:p>
        </w:tc>
      </w:tr>
      <w:tr w14:paraId="3A9B834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2530" w:type="dxa"/>
            <w:vAlign w:val="center"/>
            <w:tcMar>
              <w:top w:w="65" w:type="dxa"/>
              <w:start w:w="68" w:type="dxa"/>
              <w:bottom w:w="65" w:type="dxa"/>
              <w:end w:w="68" w:type="dxa"/>
            </w:tcMar>
          </w:tcPr>
          <w:p w14:paraId="1CFB94EB">
            <w:pPr>
              <w:spacing w:before="0" w:after="0" w:line="240" w:lineRule="auto"/>
            </w:pPr>
            <w:r>
              <w:rPr>
                <w:rFonts w:ascii="Times New Roman" w:hAnsi="Times New Roman" w:eastAsia="Times New Roman" w:cs="Times New Roman"/>
                <w:b w:val="0"/>
                <w:sz w:val="16"/>
              </w:rPr>
              <w:t>Source context</w:t>
            </w:r>
          </w:p>
        </w:tc>
        <w:tc>
          <w:tcPr>
            <w:tcW w:w="2530" w:type="dxa"/>
            <w:vAlign w:val="center"/>
            <w:tcMar>
              <w:top w:w="65" w:type="dxa"/>
              <w:start w:w="68" w:type="dxa"/>
              <w:bottom w:w="65" w:type="dxa"/>
              <w:end w:w="68" w:type="dxa"/>
            </w:tcMar>
          </w:tcPr>
          <w:p w14:paraId="3C5FACCB">
            <w:pPr>
              <w:spacing w:before="0" w:after="0" w:line="240" w:lineRule="auto"/>
            </w:pPr>
            <w:r>
              <w:rPr>
                <w:rFonts w:ascii="Times New Roman" w:hAnsi="Times New Roman" w:eastAsia="Times New Roman" w:cs="Times New Roman"/>
                <w:b w:val="0"/>
                <w:sz w:val="16"/>
              </w:rPr>
              <w:t>A1 uses the placeholder 55 in 240 no-source cases; A2/A3 use blank cells</w:t>
            </w:r>
          </w:p>
        </w:tc>
        <w:tc>
          <w:tcPr>
            <w:tcW w:w="2530" w:type="dxa"/>
            <w:vAlign w:val="center"/>
            <w:tcMar>
              <w:top w:w="65" w:type="dxa"/>
              <w:start w:w="68" w:type="dxa"/>
              <w:bottom w:w="65" w:type="dxa"/>
              <w:end w:w="68" w:type="dxa"/>
            </w:tcMar>
          </w:tcPr>
          <w:p w14:paraId="18FF4354">
            <w:pPr>
              <w:spacing w:before="0" w:after="0" w:line="240" w:lineRule="auto"/>
            </w:pPr>
            <w:r>
              <w:rPr>
                <w:rFonts w:ascii="Times New Roman" w:hAnsi="Times New Roman" w:eastAsia="Times New Roman" w:cs="Times New Roman"/>
                <w:b w:val="0"/>
                <w:sz w:val="16"/>
              </w:rPr>
              <w:t>Source_available=no in all affected cases; source context is not used as evidence</w:t>
            </w:r>
          </w:p>
        </w:tc>
        <w:tc>
          <w:tcPr>
            <w:tcW w:w="2530" w:type="dxa"/>
            <w:vAlign w:val="center"/>
            <w:tcMar>
              <w:top w:w="65" w:type="dxa"/>
              <w:start w:w="68" w:type="dxa"/>
              <w:bottom w:w="65" w:type="dxa"/>
              <w:end w:w="68" w:type="dxa"/>
            </w:tcMar>
          </w:tcPr>
          <w:p w14:paraId="20F22DB4">
            <w:pPr>
              <w:spacing w:before="0" w:after="0" w:line="240" w:lineRule="auto"/>
            </w:pPr>
            <w:r>
              <w:rPr>
                <w:rFonts w:ascii="Times New Roman" w:hAnsi="Times New Roman" w:eastAsia="Times New Roman" w:cs="Times New Roman"/>
                <w:b w:val="0"/>
                <w:sz w:val="16"/>
              </w:rPr>
              <w:t>Encoding difference only; not an analytic disagreement.</w:t>
            </w:r>
          </w:p>
        </w:tc>
      </w:tr>
      <w:tr w14:paraId="122BC4C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2530" w:type="dxa"/>
            <w:vAlign w:val="center"/>
            <w:tcMar>
              <w:top w:w="65" w:type="dxa"/>
              <w:start w:w="68" w:type="dxa"/>
              <w:bottom w:w="65" w:type="dxa"/>
              <w:end w:w="68" w:type="dxa"/>
            </w:tcMar>
          </w:tcPr>
          <w:p w14:paraId="2005284F">
            <w:pPr>
              <w:spacing w:before="0" w:after="0" w:line="240" w:lineRule="auto"/>
            </w:pPr>
            <w:r>
              <w:rPr>
                <w:rFonts w:ascii="Times New Roman" w:hAnsi="Times New Roman" w:eastAsia="Times New Roman" w:cs="Times New Roman"/>
                <w:b w:val="0"/>
                <w:sz w:val="16"/>
              </w:rPr>
              <w:t>Embedded rater decisions</w:t>
            </w:r>
          </w:p>
        </w:tc>
        <w:tc>
          <w:tcPr>
            <w:tcW w:w="2530" w:type="dxa"/>
            <w:vAlign w:val="center"/>
            <w:tcMar>
              <w:top w:w="65" w:type="dxa"/>
              <w:start w:w="68" w:type="dxa"/>
              <w:bottom w:w="65" w:type="dxa"/>
              <w:end w:w="68" w:type="dxa"/>
            </w:tcMar>
          </w:tcPr>
          <w:p w14:paraId="56B3C330">
            <w:pPr>
              <w:spacing w:before="0" w:after="0" w:line="240" w:lineRule="auto"/>
            </w:pPr>
            <w:r>
              <w:rPr>
                <w:rFonts w:ascii="Times New Roman" w:hAnsi="Times New Roman" w:eastAsia="Times New Roman" w:cs="Times New Roman"/>
                <w:b w:val="0"/>
                <w:sz w:val="16"/>
              </w:rPr>
              <w:t>Primary, secondary, boundary, severity, ambiguity, and notes match the rebuilt locked dataset</w:t>
            </w:r>
          </w:p>
        </w:tc>
        <w:tc>
          <w:tcPr>
            <w:tcW w:w="2530" w:type="dxa"/>
            <w:vAlign w:val="center"/>
            <w:tcMar>
              <w:top w:w="65" w:type="dxa"/>
              <w:start w:w="68" w:type="dxa"/>
              <w:bottom w:w="65" w:type="dxa"/>
              <w:end w:w="68" w:type="dxa"/>
            </w:tcMar>
          </w:tcPr>
          <w:p w14:paraId="2AFB4099">
            <w:pPr>
              <w:spacing w:before="0" w:after="0" w:line="240" w:lineRule="auto"/>
            </w:pPr>
            <w:r>
              <w:rPr>
                <w:rFonts w:ascii="Times New Roman" w:hAnsi="Times New Roman" w:eastAsia="Times New Roman" w:cs="Times New Roman"/>
                <w:b w:val="0"/>
                <w:sz w:val="16"/>
              </w:rPr>
              <w:t>0 decision-field mismatches after normalising NONE/none and whitespace</w:t>
            </w:r>
          </w:p>
        </w:tc>
        <w:tc>
          <w:tcPr>
            <w:tcW w:w="2530" w:type="dxa"/>
            <w:vAlign w:val="center"/>
            <w:tcMar>
              <w:top w:w="65" w:type="dxa"/>
              <w:start w:w="68" w:type="dxa"/>
              <w:bottom w:w="65" w:type="dxa"/>
              <w:end w:w="68" w:type="dxa"/>
            </w:tcMar>
          </w:tcPr>
          <w:p w14:paraId="616B031A">
            <w:pPr>
              <w:spacing w:before="0" w:after="0" w:line="240" w:lineRule="auto"/>
            </w:pPr>
            <w:r>
              <w:rPr>
                <w:rFonts w:ascii="Times New Roman" w:hAnsi="Times New Roman" w:eastAsia="Times New Roman" w:cs="Times New Roman"/>
                <w:b w:val="0"/>
                <w:sz w:val="16"/>
              </w:rPr>
              <w:t>The rebuilt pre-resolution file faithfully carries current A1-A3 decisions.</w:t>
            </w:r>
          </w:p>
        </w:tc>
      </w:tr>
      <w:tr w14:paraId="1E85752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2530" w:type="dxa"/>
            <w:vAlign w:val="center"/>
            <w:tcMar>
              <w:top w:w="65" w:type="dxa"/>
              <w:start w:w="68" w:type="dxa"/>
              <w:bottom w:w="65" w:type="dxa"/>
              <w:end w:w="68" w:type="dxa"/>
            </w:tcMar>
          </w:tcPr>
          <w:p w14:paraId="7B479618">
            <w:pPr>
              <w:spacing w:before="0" w:after="0" w:line="240" w:lineRule="auto"/>
            </w:pPr>
            <w:r>
              <w:rPr>
                <w:rFonts w:ascii="Times New Roman" w:hAnsi="Times New Roman" w:eastAsia="Times New Roman" w:cs="Times New Roman"/>
                <w:b w:val="0"/>
                <w:sz w:val="16"/>
              </w:rPr>
              <w:t>Final publication layer</w:t>
            </w:r>
          </w:p>
        </w:tc>
        <w:tc>
          <w:tcPr>
            <w:tcW w:w="2530" w:type="dxa"/>
            <w:vAlign w:val="center"/>
            <w:tcMar>
              <w:top w:w="65" w:type="dxa"/>
              <w:start w:w="68" w:type="dxa"/>
              <w:bottom w:w="65" w:type="dxa"/>
              <w:end w:w="68" w:type="dxa"/>
            </w:tcMar>
          </w:tcPr>
          <w:p>
            <w:pPr>
              <w:spacing w:before="0" w:after="0" w:line="240" w:lineRule="auto"/>
            </w:pPr>
            <w:r>
              <w:rPr>
                <w:rFonts w:ascii="Times New Roman" w:hAnsi="Times New Roman" w:eastAsia="Times New Roman" w:cs="Times New Roman"/>
                <w:b w:val="0"/>
                <w:sz w:val="16"/>
              </w:rPr>
              <w:t>FINAL GOLD v1.0: 720 rows; 474 failure; 246 no_failure</w:t>
            </w:r>
          </w:p>
        </w:tc>
        <w:tc>
          <w:tcPr>
            <w:tcW w:w="2530" w:type="dxa"/>
            <w:vAlign w:val="center"/>
            <w:tcMar>
              <w:top w:w="65" w:type="dxa"/>
              <w:start w:w="68" w:type="dxa"/>
              <w:bottom w:w="65" w:type="dxa"/>
              <w:end w:w="68" w:type="dxa"/>
            </w:tcMar>
          </w:tcPr>
          <w:p>
            <w:pPr>
              <w:spacing w:before="0" w:after="0" w:line="240" w:lineRule="auto"/>
            </w:pPr>
            <w:r>
              <w:rPr>
                <w:rFonts w:ascii="Times New Roman" w:hAnsi="Times New Roman" w:eastAsia="Times New Roman" w:cs="Times New Roman"/>
                <w:b w:val="0"/>
                <w:sz w:val="16"/>
              </w:rPr>
              <w:t>Senior round 1 + completed targeted second re-review + four deterministic rule normalisations logged</w:t>
            </w:r>
          </w:p>
        </w:tc>
        <w:tc>
          <w:tcPr>
            <w:tcW w:w="2530" w:type="dxa"/>
            <w:vAlign w:val="center"/>
            <w:tcMar>
              <w:top w:w="65" w:type="dxa"/>
              <w:start w:w="68" w:type="dxa"/>
              <w:bottom w:w="65" w:type="dxa"/>
              <w:end w:w="68" w:type="dxa"/>
            </w:tcMar>
          </w:tcPr>
          <w:p>
            <w:pPr>
              <w:spacing w:before="0" w:after="0" w:line="240" w:lineRule="auto"/>
            </w:pPr>
            <w:r>
              <w:rPr>
                <w:rFonts w:ascii="Times New Roman" w:hAnsi="Times New Roman" w:eastAsia="Times New Roman" w:cs="Times New Roman"/>
                <w:b w:val="0"/>
                <w:sz w:val="16"/>
              </w:rPr>
              <w:t>Current downstream reference layer; IAA remains A1–A3 only.</w:t>
            </w:r>
          </w:p>
        </w:tc>
      </w:tr>
      <w:tr w14:paraId="33A9A18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2530" w:type="dxa"/>
            <w:vAlign w:val="center"/>
            <w:tcMar>
              <w:top w:w="65" w:type="dxa"/>
              <w:start w:w="68" w:type="dxa"/>
              <w:bottom w:w="65" w:type="dxa"/>
              <w:end w:w="68" w:type="dxa"/>
            </w:tcMar>
          </w:tcPr>
          <w:p w14:paraId="33C33487">
            <w:pPr>
              <w:spacing w:before="0" w:after="0" w:line="240" w:lineRule="auto"/>
            </w:pPr>
            <w:r>
              <w:rPr>
                <w:rFonts w:ascii="Times New Roman" w:hAnsi="Times New Roman" w:eastAsia="Times New Roman" w:cs="Times New Roman"/>
                <w:b w:val="0"/>
                <w:sz w:val="16"/>
              </w:rPr>
              <w:t>Annotation Manual version</w:t>
            </w:r>
          </w:p>
        </w:tc>
        <w:tc>
          <w:tcPr>
            <w:tcW w:w="2530" w:type="dxa"/>
            <w:vAlign w:val="center"/>
            <w:tcMar>
              <w:top w:w="65" w:type="dxa"/>
              <w:start w:w="68" w:type="dxa"/>
              <w:bottom w:w="65" w:type="dxa"/>
              <w:end w:w="68" w:type="dxa"/>
            </w:tcMar>
          </w:tcPr>
          <w:p w14:paraId="3494FA1A">
            <w:pPr>
              <w:spacing w:before="0" w:after="0" w:line="240" w:lineRule="auto"/>
            </w:pPr>
            <w:r>
              <w:rPr>
                <w:rFonts w:ascii="Times New Roman" w:hAnsi="Times New Roman" w:eastAsia="Times New Roman" w:cs="Times New Roman"/>
                <w:b w:val="0"/>
                <w:sz w:val="16"/>
              </w:rPr>
              <w:t>v1.2_final_locked in all three workbooks</w:t>
            </w:r>
          </w:p>
        </w:tc>
        <w:tc>
          <w:tcPr>
            <w:tcW w:w="2530" w:type="dxa"/>
            <w:vAlign w:val="center"/>
            <w:tcMar>
              <w:top w:w="65" w:type="dxa"/>
              <w:start w:w="68" w:type="dxa"/>
              <w:bottom w:w="65" w:type="dxa"/>
              <w:end w:w="68" w:type="dxa"/>
            </w:tcMar>
          </w:tcPr>
          <w:p w14:paraId="4DAAE7F7">
            <w:pPr>
              <w:spacing w:before="0" w:after="0" w:line="240" w:lineRule="auto"/>
            </w:pPr>
            <w:r>
              <w:rPr>
                <w:rFonts w:ascii="Times New Roman" w:hAnsi="Times New Roman" w:eastAsia="Times New Roman" w:cs="Times New Roman"/>
                <w:b w:val="0"/>
                <w:sz w:val="16"/>
              </w:rPr>
              <w:t>720/720 rows per workbook use the locked identifier</w:t>
            </w:r>
          </w:p>
        </w:tc>
        <w:tc>
          <w:tcPr>
            <w:tcW w:w="2530" w:type="dxa"/>
            <w:vAlign w:val="center"/>
            <w:tcMar>
              <w:top w:w="65" w:type="dxa"/>
              <w:start w:w="68" w:type="dxa"/>
              <w:bottom w:w="65" w:type="dxa"/>
              <w:end w:w="68" w:type="dxa"/>
            </w:tcMar>
          </w:tcPr>
          <w:p w14:paraId="7757A2AF">
            <w:pPr>
              <w:spacing w:before="0" w:after="0" w:line="240" w:lineRule="auto"/>
            </w:pPr>
            <w:r>
              <w:rPr>
                <w:rFonts w:ascii="Times New Roman" w:hAnsi="Times New Roman" w:eastAsia="Times New Roman" w:cs="Times New Roman"/>
                <w:b w:val="0"/>
                <w:sz w:val="16"/>
              </w:rPr>
              <w:t>The post-study addendum is not a retroactive codebook.</w:t>
            </w:r>
          </w:p>
        </w:tc>
      </w:tr>
    </w:tbl>
    <w:p w14:paraId="7BCD1DD2">
      <w:pPr>
        <w:pStyle w:val="16"/>
        <w:keepNext/>
        <w:keepLines/>
        <w:spacing w:before="120" w:after="60"/>
        <w:jc w:val="left"/>
      </w:pPr>
      <w:r>
        <w:t>Table S47. Immutable original annotator workbook manifest.</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836"/>
        <w:gridCol w:w="2935"/>
        <w:gridCol w:w="582"/>
        <w:gridCol w:w="719"/>
        <w:gridCol w:w="974"/>
        <w:gridCol w:w="4002"/>
      </w:tblGrid>
      <w:tr w14:paraId="69413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val="true"/>
          <w:cantSplit w:val="true"/>
          <w:tblHeader w:val="true"/>
        </w:trPr>
        <w:tc>
          <w:tcPr>
            <w:tcW w:w="1639" w:type="dxa"/>
            <w:vAlign w:val="center"/>
            <w:tcMar>
              <w:top w:w="65" w:type="dxa"/>
              <w:start w:w="68" w:type="dxa"/>
              <w:bottom w:w="65" w:type="dxa"/>
              <w:end w:w="68" w:type="dxa"/>
            </w:tcMar>
            <w:shd w:val="clear" w:color="auto" w:fill="E8F0F8"/>
          </w:tcPr>
          <w:p w14:paraId="0D28C973">
            <w:pPr>
              <w:spacing w:before="0" w:after="0" w:line="240" w:lineRule="auto"/>
              <w:jc w:val="center"/>
            </w:pPr>
            <w:r>
              <w:rPr>
                <w:rFonts w:ascii="Times New Roman" w:hAnsi="Times New Roman" w:eastAsia="Times New Roman" w:cs="Times New Roman"/>
                <w:b/>
                <w:color w:val="1E364D"/>
                <w:sz w:val="15"/>
              </w:rPr>
              <w:t>Annotator</w:t>
            </w:r>
          </w:p>
        </w:tc>
        <w:tc>
          <w:tcPr>
            <w:tcW w:w="1639" w:type="dxa"/>
            <w:vAlign w:val="center"/>
            <w:tcMar>
              <w:top w:w="65" w:type="dxa"/>
              <w:start w:w="68" w:type="dxa"/>
              <w:bottom w:w="65" w:type="dxa"/>
              <w:end w:w="68" w:type="dxa"/>
            </w:tcMar>
            <w:shd w:val="clear" w:color="auto" w:fill="E8F0F8"/>
          </w:tcPr>
          <w:p w14:paraId="3C66EC86">
            <w:pPr>
              <w:spacing w:before="0" w:after="0" w:line="240" w:lineRule="auto"/>
              <w:jc w:val="center"/>
            </w:pPr>
            <w:r>
              <w:rPr>
                <w:rFonts w:ascii="Times New Roman" w:hAnsi="Times New Roman" w:eastAsia="Times New Roman" w:cs="Times New Roman"/>
                <w:b/>
                <w:color w:val="1E364D"/>
                <w:sz w:val="15"/>
              </w:rPr>
              <w:t>Authoritative filename</w:t>
            </w:r>
          </w:p>
        </w:tc>
        <w:tc>
          <w:tcPr>
            <w:tcW w:w="1639" w:type="dxa"/>
            <w:vAlign w:val="center"/>
            <w:tcMar>
              <w:top w:w="65" w:type="dxa"/>
              <w:start w:w="68" w:type="dxa"/>
              <w:bottom w:w="65" w:type="dxa"/>
              <w:end w:w="68" w:type="dxa"/>
            </w:tcMar>
            <w:shd w:val="clear" w:color="auto" w:fill="E8F0F8"/>
          </w:tcPr>
          <w:p w14:paraId="1A7198F9">
            <w:pPr>
              <w:spacing w:before="0" w:after="0" w:line="240" w:lineRule="auto"/>
              <w:jc w:val="center"/>
            </w:pPr>
            <w:r>
              <w:rPr>
                <w:rFonts w:ascii="Times New Roman" w:hAnsi="Times New Roman" w:eastAsia="Times New Roman" w:cs="Times New Roman"/>
                <w:b/>
                <w:color w:val="1E364D"/>
                <w:sz w:val="15"/>
              </w:rPr>
              <w:t>Bytes</w:t>
            </w:r>
          </w:p>
        </w:tc>
        <w:tc>
          <w:tcPr>
            <w:tcW w:w="1639" w:type="dxa"/>
            <w:vAlign w:val="center"/>
            <w:tcMar>
              <w:top w:w="65" w:type="dxa"/>
              <w:start w:w="68" w:type="dxa"/>
              <w:bottom w:w="65" w:type="dxa"/>
              <w:end w:w="68" w:type="dxa"/>
            </w:tcMar>
            <w:shd w:val="clear" w:color="auto" w:fill="E8F0F8"/>
          </w:tcPr>
          <w:p w14:paraId="4BEEC2A3">
            <w:pPr>
              <w:spacing w:before="0" w:after="0" w:line="240" w:lineRule="auto"/>
              <w:jc w:val="center"/>
            </w:pPr>
            <w:r>
              <w:rPr>
                <w:rFonts w:ascii="Times New Roman" w:hAnsi="Times New Roman" w:eastAsia="Times New Roman" w:cs="Times New Roman"/>
                <w:b/>
                <w:color w:val="1E364D"/>
                <w:sz w:val="15"/>
              </w:rPr>
              <w:t>Analytic cases</w:t>
            </w:r>
          </w:p>
        </w:tc>
        <w:tc>
          <w:tcPr>
            <w:tcW w:w="1639" w:type="dxa"/>
            <w:vAlign w:val="center"/>
            <w:tcMar>
              <w:top w:w="65" w:type="dxa"/>
              <w:start w:w="68" w:type="dxa"/>
              <w:bottom w:w="65" w:type="dxa"/>
              <w:end w:w="68" w:type="dxa"/>
            </w:tcMar>
            <w:shd w:val="clear" w:color="auto" w:fill="E8F0F8"/>
          </w:tcPr>
          <w:p w14:paraId="52AD4CA6">
            <w:pPr>
              <w:spacing w:before="0" w:after="0" w:line="240" w:lineRule="auto"/>
              <w:jc w:val="center"/>
            </w:pPr>
            <w:r>
              <w:rPr>
                <w:rFonts w:ascii="Times New Roman" w:hAnsi="Times New Roman" w:eastAsia="Times New Roman" w:cs="Times New Roman"/>
                <w:b/>
                <w:color w:val="1E364D"/>
                <w:sz w:val="15"/>
              </w:rPr>
              <w:t>Workbook sheets</w:t>
            </w:r>
          </w:p>
        </w:tc>
        <w:tc>
          <w:tcPr>
            <w:tcW w:w="1639" w:type="dxa"/>
            <w:vAlign w:val="center"/>
            <w:tcMar>
              <w:top w:w="65" w:type="dxa"/>
              <w:start w:w="68" w:type="dxa"/>
              <w:bottom w:w="65" w:type="dxa"/>
              <w:end w:w="68" w:type="dxa"/>
            </w:tcMar>
            <w:shd w:val="clear" w:color="auto" w:fill="E8F0F8"/>
          </w:tcPr>
          <w:p w14:paraId="2E4F4C80">
            <w:pPr>
              <w:spacing w:before="0" w:after="0" w:line="240" w:lineRule="auto"/>
              <w:jc w:val="center"/>
            </w:pPr>
            <w:r>
              <w:rPr>
                <w:rFonts w:ascii="Times New Roman" w:hAnsi="Times New Roman" w:eastAsia="Times New Roman" w:cs="Times New Roman"/>
                <w:b/>
                <w:color w:val="1E364D"/>
                <w:sz w:val="15"/>
              </w:rPr>
              <w:t>SHA-256</w:t>
            </w:r>
          </w:p>
        </w:tc>
      </w:tr>
      <w:tr w14:paraId="40FA7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639" w:type="dxa"/>
            <w:vAlign w:val="center"/>
            <w:tcMar>
              <w:top w:w="65" w:type="dxa"/>
              <w:start w:w="68" w:type="dxa"/>
              <w:bottom w:w="65" w:type="dxa"/>
              <w:end w:w="68" w:type="dxa"/>
            </w:tcMar>
          </w:tcPr>
          <w:p w14:paraId="42852EF6">
            <w:pPr>
              <w:spacing w:before="0" w:after="0" w:line="240" w:lineRule="auto"/>
            </w:pPr>
            <w:r>
              <w:rPr>
                <w:rFonts w:ascii="Times New Roman" w:hAnsi="Times New Roman" w:eastAsia="Times New Roman" w:cs="Times New Roman"/>
                <w:b w:val="0"/>
                <w:sz w:val="15"/>
              </w:rPr>
              <w:t>A1</w:t>
            </w:r>
          </w:p>
        </w:tc>
        <w:tc>
          <w:tcPr>
            <w:tcW w:w="1639" w:type="dxa"/>
            <w:vAlign w:val="center"/>
            <w:tcMar>
              <w:top w:w="65" w:type="dxa"/>
              <w:start w:w="68" w:type="dxa"/>
              <w:bottom w:w="65" w:type="dxa"/>
              <w:end w:w="68" w:type="dxa"/>
            </w:tcMar>
          </w:tcPr>
          <w:p>
            <w:pPr>
              <w:spacing w:before="0" w:after="0"/>
            </w:pPr>
            <w:r>
              <w:rPr>
                <w:rFonts w:ascii="Times New Roman" w:hAnsi="Times New Roman" w:eastAsia="Times New Roman"/>
                <w:sz w:val="15"/>
              </w:rPr>
              <w:t>A1_authoritative_workbook.xlsx</w:t>
            </w:r>
          </w:p>
        </w:tc>
        <w:tc>
          <w:tcPr>
            <w:tcW w:w="1639" w:type="dxa"/>
            <w:vAlign w:val="center"/>
            <w:tcMar>
              <w:top w:w="65" w:type="dxa"/>
              <w:start w:w="68" w:type="dxa"/>
              <w:bottom w:w="65" w:type="dxa"/>
              <w:end w:w="68" w:type="dxa"/>
            </w:tcMar>
          </w:tcPr>
          <w:p w14:paraId="0DC8B85C">
            <w:pPr>
              <w:spacing w:before="0" w:after="0" w:line="240" w:lineRule="auto"/>
            </w:pPr>
            <w:r>
              <w:rPr>
                <w:rFonts w:ascii="Times New Roman" w:hAnsi="Times New Roman" w:eastAsia="Times New Roman" w:cs="Times New Roman"/>
                <w:b w:val="0"/>
                <w:sz w:val="15"/>
              </w:rPr>
              <w:t>252248</w:t>
            </w:r>
          </w:p>
        </w:tc>
        <w:tc>
          <w:tcPr>
            <w:tcW w:w="1639" w:type="dxa"/>
            <w:vAlign w:val="center"/>
            <w:tcMar>
              <w:top w:w="65" w:type="dxa"/>
              <w:start w:w="68" w:type="dxa"/>
              <w:bottom w:w="65" w:type="dxa"/>
              <w:end w:w="68" w:type="dxa"/>
            </w:tcMar>
          </w:tcPr>
          <w:p w14:paraId="30989E39">
            <w:pPr>
              <w:spacing w:before="0" w:after="0" w:line="240" w:lineRule="auto"/>
            </w:pPr>
            <w:r>
              <w:rPr>
                <w:rFonts w:ascii="Times New Roman" w:hAnsi="Times New Roman" w:eastAsia="Times New Roman" w:cs="Times New Roman"/>
                <w:b w:val="0"/>
                <w:sz w:val="15"/>
              </w:rPr>
              <w:t>720</w:t>
            </w:r>
          </w:p>
        </w:tc>
        <w:tc>
          <w:tcPr>
            <w:tcW w:w="1639" w:type="dxa"/>
            <w:vAlign w:val="center"/>
            <w:tcMar>
              <w:top w:w="65" w:type="dxa"/>
              <w:start w:w="68" w:type="dxa"/>
              <w:bottom w:w="65" w:type="dxa"/>
              <w:end w:w="68" w:type="dxa"/>
            </w:tcMar>
          </w:tcPr>
          <w:p w14:paraId="73755DCF">
            <w:pPr>
              <w:spacing w:before="0" w:after="0" w:line="240" w:lineRule="auto"/>
            </w:pPr>
            <w:r>
              <w:rPr>
                <w:rFonts w:ascii="Times New Roman" w:hAnsi="Times New Roman" w:eastAsia="Times New Roman" w:cs="Times New Roman"/>
                <w:b w:val="0"/>
                <w:sz w:val="15"/>
              </w:rPr>
              <w:t>Annotation; Instructions; Codebook; AllowedValues</w:t>
            </w:r>
          </w:p>
        </w:tc>
        <w:tc>
          <w:tcPr>
            <w:tcW w:w="1639" w:type="dxa"/>
            <w:vAlign w:val="center"/>
            <w:tcMar>
              <w:top w:w="65" w:type="dxa"/>
              <w:start w:w="68" w:type="dxa"/>
              <w:bottom w:w="65" w:type="dxa"/>
              <w:end w:w="68" w:type="dxa"/>
            </w:tcMar>
          </w:tcPr>
          <w:p>
            <w:pPr>
              <w:spacing w:before="0" w:after="0"/>
            </w:pPr>
            <w:r>
              <w:rPr>
                <w:rFonts w:ascii="Times New Roman" w:hAnsi="Times New Roman" w:eastAsia="Times New Roman"/>
                <w:sz w:val="15"/>
              </w:rPr>
              <w:t>[SHA-256 withheld for double-anonymized review]</w:t>
            </w:r>
          </w:p>
        </w:tc>
      </w:tr>
      <w:tr w14:paraId="3C93C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639" w:type="dxa"/>
            <w:vAlign w:val="center"/>
            <w:tcMar>
              <w:top w:w="65" w:type="dxa"/>
              <w:start w:w="68" w:type="dxa"/>
              <w:bottom w:w="65" w:type="dxa"/>
              <w:end w:w="68" w:type="dxa"/>
            </w:tcMar>
          </w:tcPr>
          <w:p w14:paraId="0AC8B83D">
            <w:pPr>
              <w:spacing w:before="0" w:after="0" w:line="240" w:lineRule="auto"/>
            </w:pPr>
            <w:r>
              <w:rPr>
                <w:rFonts w:ascii="Times New Roman" w:hAnsi="Times New Roman" w:eastAsia="Times New Roman" w:cs="Times New Roman"/>
                <w:b w:val="0"/>
                <w:sz w:val="15"/>
              </w:rPr>
              <w:t>A2</w:t>
            </w:r>
          </w:p>
        </w:tc>
        <w:tc>
          <w:tcPr>
            <w:tcW w:w="1639" w:type="dxa"/>
            <w:vAlign w:val="center"/>
            <w:tcMar>
              <w:top w:w="65" w:type="dxa"/>
              <w:start w:w="68" w:type="dxa"/>
              <w:bottom w:w="65" w:type="dxa"/>
              <w:end w:w="68" w:type="dxa"/>
            </w:tcMar>
          </w:tcPr>
          <w:p>
            <w:pPr>
              <w:spacing w:before="0" w:after="0"/>
            </w:pPr>
            <w:r>
              <w:rPr>
                <w:rFonts w:ascii="Times New Roman" w:hAnsi="Times New Roman" w:eastAsia="Times New Roman"/>
                <w:sz w:val="15"/>
              </w:rPr>
              <w:t>A2_authoritative_workbook.xlsx</w:t>
            </w:r>
          </w:p>
        </w:tc>
        <w:tc>
          <w:tcPr>
            <w:tcW w:w="1639" w:type="dxa"/>
            <w:vAlign w:val="center"/>
            <w:tcMar>
              <w:top w:w="65" w:type="dxa"/>
              <w:start w:w="68" w:type="dxa"/>
              <w:bottom w:w="65" w:type="dxa"/>
              <w:end w:w="68" w:type="dxa"/>
            </w:tcMar>
          </w:tcPr>
          <w:p w14:paraId="2B3EE9FC">
            <w:pPr>
              <w:spacing w:before="0" w:after="0" w:line="240" w:lineRule="auto"/>
            </w:pPr>
            <w:r>
              <w:rPr>
                <w:rFonts w:ascii="Times New Roman" w:hAnsi="Times New Roman" w:eastAsia="Times New Roman" w:cs="Times New Roman"/>
                <w:b w:val="0"/>
                <w:sz w:val="15"/>
              </w:rPr>
              <w:t>263248</w:t>
            </w:r>
          </w:p>
        </w:tc>
        <w:tc>
          <w:tcPr>
            <w:tcW w:w="1639" w:type="dxa"/>
            <w:vAlign w:val="center"/>
            <w:tcMar>
              <w:top w:w="65" w:type="dxa"/>
              <w:start w:w="68" w:type="dxa"/>
              <w:bottom w:w="65" w:type="dxa"/>
              <w:end w:w="68" w:type="dxa"/>
            </w:tcMar>
          </w:tcPr>
          <w:p w14:paraId="35BF3783">
            <w:pPr>
              <w:spacing w:before="0" w:after="0" w:line="240" w:lineRule="auto"/>
            </w:pPr>
            <w:r>
              <w:rPr>
                <w:rFonts w:ascii="Times New Roman" w:hAnsi="Times New Roman" w:eastAsia="Times New Roman" w:cs="Times New Roman"/>
                <w:b w:val="0"/>
                <w:sz w:val="15"/>
              </w:rPr>
              <w:t>720</w:t>
            </w:r>
          </w:p>
        </w:tc>
        <w:tc>
          <w:tcPr>
            <w:tcW w:w="1639" w:type="dxa"/>
            <w:vAlign w:val="center"/>
            <w:tcMar>
              <w:top w:w="65" w:type="dxa"/>
              <w:start w:w="68" w:type="dxa"/>
              <w:bottom w:w="65" w:type="dxa"/>
              <w:end w:w="68" w:type="dxa"/>
            </w:tcMar>
          </w:tcPr>
          <w:p w14:paraId="613D9458">
            <w:pPr>
              <w:spacing w:before="0" w:after="0" w:line="240" w:lineRule="auto"/>
            </w:pPr>
            <w:r>
              <w:rPr>
                <w:rFonts w:ascii="Times New Roman" w:hAnsi="Times New Roman" w:eastAsia="Times New Roman" w:cs="Times New Roman"/>
                <w:b w:val="0"/>
                <w:sz w:val="15"/>
              </w:rPr>
              <w:t>Annotation; Instructions; Codebook; AllowedValues</w:t>
            </w:r>
          </w:p>
        </w:tc>
        <w:tc>
          <w:tcPr>
            <w:tcW w:w="1639" w:type="dxa"/>
            <w:vAlign w:val="center"/>
            <w:tcMar>
              <w:top w:w="65" w:type="dxa"/>
              <w:start w:w="68" w:type="dxa"/>
              <w:bottom w:w="65" w:type="dxa"/>
              <w:end w:w="68" w:type="dxa"/>
            </w:tcMar>
          </w:tcPr>
          <w:p>
            <w:pPr>
              <w:spacing w:before="0" w:after="0"/>
            </w:pPr>
            <w:r>
              <w:rPr>
                <w:rFonts w:ascii="Times New Roman" w:hAnsi="Times New Roman" w:eastAsia="Times New Roman"/>
                <w:sz w:val="15"/>
              </w:rPr>
              <w:t>[SHA-256 withheld for double-anonymized review]</w:t>
            </w:r>
          </w:p>
        </w:tc>
      </w:tr>
      <w:tr w14:paraId="6AFA4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639" w:type="dxa"/>
            <w:vAlign w:val="center"/>
            <w:tcMar>
              <w:top w:w="65" w:type="dxa"/>
              <w:start w:w="68" w:type="dxa"/>
              <w:bottom w:w="65" w:type="dxa"/>
              <w:end w:w="68" w:type="dxa"/>
            </w:tcMar>
          </w:tcPr>
          <w:p w14:paraId="6F2F859E">
            <w:pPr>
              <w:spacing w:before="0" w:after="0" w:line="240" w:lineRule="auto"/>
            </w:pPr>
            <w:r>
              <w:rPr>
                <w:rFonts w:ascii="Times New Roman" w:hAnsi="Times New Roman" w:eastAsia="Times New Roman" w:cs="Times New Roman"/>
                <w:b w:val="0"/>
                <w:sz w:val="15"/>
              </w:rPr>
              <w:t>A3</w:t>
            </w:r>
          </w:p>
        </w:tc>
        <w:tc>
          <w:tcPr>
            <w:tcW w:w="1639" w:type="dxa"/>
            <w:vAlign w:val="center"/>
            <w:tcMar>
              <w:top w:w="65" w:type="dxa"/>
              <w:start w:w="68" w:type="dxa"/>
              <w:bottom w:w="65" w:type="dxa"/>
              <w:end w:w="68" w:type="dxa"/>
            </w:tcMar>
          </w:tcPr>
          <w:p>
            <w:pPr>
              <w:spacing w:before="0" w:after="0"/>
            </w:pPr>
            <w:r>
              <w:rPr>
                <w:rFonts w:ascii="Times New Roman" w:hAnsi="Times New Roman" w:eastAsia="Times New Roman"/>
                <w:sz w:val="15"/>
              </w:rPr>
              <w:t>A3_authoritative_workbook.xlsm</w:t>
            </w:r>
          </w:p>
        </w:tc>
        <w:tc>
          <w:tcPr>
            <w:tcW w:w="1639" w:type="dxa"/>
            <w:vAlign w:val="center"/>
            <w:tcMar>
              <w:top w:w="65" w:type="dxa"/>
              <w:start w:w="68" w:type="dxa"/>
              <w:bottom w:w="65" w:type="dxa"/>
              <w:end w:w="68" w:type="dxa"/>
            </w:tcMar>
          </w:tcPr>
          <w:p w14:paraId="6B103C21">
            <w:pPr>
              <w:spacing w:before="0" w:after="0" w:line="240" w:lineRule="auto"/>
            </w:pPr>
            <w:r>
              <w:rPr>
                <w:rFonts w:ascii="Times New Roman" w:hAnsi="Times New Roman" w:eastAsia="Times New Roman" w:cs="Times New Roman"/>
                <w:b w:val="0"/>
                <w:sz w:val="15"/>
              </w:rPr>
              <w:t>271341</w:t>
            </w:r>
          </w:p>
        </w:tc>
        <w:tc>
          <w:tcPr>
            <w:tcW w:w="1639" w:type="dxa"/>
            <w:vAlign w:val="center"/>
            <w:tcMar>
              <w:top w:w="65" w:type="dxa"/>
              <w:start w:w="68" w:type="dxa"/>
              <w:bottom w:w="65" w:type="dxa"/>
              <w:end w:w="68" w:type="dxa"/>
            </w:tcMar>
          </w:tcPr>
          <w:p w14:paraId="0E832648">
            <w:pPr>
              <w:spacing w:before="0" w:after="0" w:line="240" w:lineRule="auto"/>
            </w:pPr>
            <w:r>
              <w:rPr>
                <w:rFonts w:ascii="Times New Roman" w:hAnsi="Times New Roman" w:eastAsia="Times New Roman" w:cs="Times New Roman"/>
                <w:b w:val="0"/>
                <w:sz w:val="15"/>
              </w:rPr>
              <w:t>720</w:t>
            </w:r>
          </w:p>
        </w:tc>
        <w:tc>
          <w:tcPr>
            <w:tcW w:w="1639" w:type="dxa"/>
            <w:vAlign w:val="center"/>
            <w:tcMar>
              <w:top w:w="65" w:type="dxa"/>
              <w:start w:w="68" w:type="dxa"/>
              <w:bottom w:w="65" w:type="dxa"/>
              <w:end w:w="68" w:type="dxa"/>
            </w:tcMar>
          </w:tcPr>
          <w:p w14:paraId="5F0A782A">
            <w:pPr>
              <w:spacing w:before="0" w:after="0" w:line="240" w:lineRule="auto"/>
            </w:pPr>
            <w:r>
              <w:rPr>
                <w:rFonts w:ascii="Times New Roman" w:hAnsi="Times New Roman" w:eastAsia="Times New Roman" w:cs="Times New Roman"/>
                <w:b w:val="0"/>
                <w:sz w:val="15"/>
              </w:rPr>
              <w:t>Annotation; Instructions; Codebook; AllowedValues</w:t>
            </w:r>
          </w:p>
        </w:tc>
        <w:tc>
          <w:tcPr>
            <w:tcW w:w="1639" w:type="dxa"/>
            <w:vAlign w:val="center"/>
            <w:tcMar>
              <w:top w:w="65" w:type="dxa"/>
              <w:start w:w="68" w:type="dxa"/>
              <w:bottom w:w="65" w:type="dxa"/>
              <w:end w:w="68" w:type="dxa"/>
            </w:tcMar>
          </w:tcPr>
          <w:p>
            <w:pPr>
              <w:spacing w:before="0" w:after="0"/>
            </w:pPr>
            <w:r>
              <w:rPr>
                <w:rFonts w:ascii="Times New Roman" w:hAnsi="Times New Roman" w:eastAsia="Times New Roman"/>
                <w:sz w:val="15"/>
              </w:rPr>
              <w:t>[SHA-256 withheld for double-anonymized review]</w:t>
            </w:r>
          </w:p>
        </w:tc>
      </w:tr>
    </w:tbl>
    <w:p w14:paraId="02A93B15">
      <w:pPr>
        <w:widowControl/>
      </w:pPr>
      <w:r>
        <w:t>Note. Hashes apply to the supplied original files. The restricted provenance archive contains byte-identical read-only copies; no workbook was re-saved or relabelled.</w:t>
      </w:r>
    </w:p>
    <w:p w14:paraId="420227C3">
      <w:pPr>
        <w:pStyle w:val="3"/>
        <w:keepNext/>
        <w:keepLines/>
        <w:pageBreakBefore w:val="0"/>
        <w:spacing w:before="140" w:after="80"/>
      </w:pPr>
      <w:r>
        <w:rPr>
          <w:color w:val="000000"/>
        </w:rPr>
        <w:t>S8.2 Individual quality-control provenance and cross-rater independence</w:t>
      </w:r>
    </w:p>
    <w:p w14:paraId="47AC38F4">
      <w:pPr>
        <w:widowControl/>
        <w:spacing w:after="100" w:line="276" w:lineRule="auto"/>
        <w:jc w:val="both"/>
      </w:pPr>
      <w:r>
        <w:t>No authoritative annotator workbook contains a retained old/new decision ledger. The current source set supports separate-file annotation, different row orders, model/checkpoint blinding, target-outcome blinding, and cross-rater label blinding. The workbooks are final annotator-owned records, but they do not reconstruct unaided first-pass states before calibration-based self-checking. Table S48 states the resulting interpretation boundary.</w:t>
      </w:r>
    </w:p>
    <w:p w14:paraId="76824C99"/>
    <w:p w14:paraId="15DAD423">
      <w:pPr>
        <w:pStyle w:val="16"/>
        <w:keepNext/>
        <w:keepLines/>
        <w:spacing w:before="120" w:after="60"/>
        <w:jc w:val="left"/>
      </w:pPr>
      <w:r>
        <w:t>Table S48. Individual quality-control provenance and interpretive boundary.</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3373"/>
        <w:gridCol w:w="3373"/>
        <w:gridCol w:w="3373"/>
      </w:tblGrid>
      <w:tr w14:paraId="42CB0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blHeader w:val="true"/>
          <w:jc w:val="center"/>
          <w:tblHeader w:val="true"/>
        </w:trPr>
        <w:tc>
          <w:tcPr>
            <w:tcW w:w="3373" w:type="dxa"/>
            <w:vAlign w:val="center"/>
            <w:tcMar>
              <w:top w:w="65" w:type="dxa"/>
              <w:start w:w="68" w:type="dxa"/>
              <w:bottom w:w="65" w:type="dxa"/>
              <w:end w:w="68" w:type="dxa"/>
            </w:tcMar>
            <w:shd w:val="clear" w:color="auto" w:fill="E8F0F8"/>
          </w:tcPr>
          <w:p w14:paraId="0701172E">
            <w:pPr>
              <w:spacing w:before="0" w:after="0" w:line="240" w:lineRule="auto"/>
              <w:jc w:val="center"/>
            </w:pPr>
            <w:r>
              <w:rPr>
                <w:rFonts w:ascii="Times New Roman" w:hAnsi="Times New Roman" w:eastAsia="Times New Roman" w:cs="Times New Roman"/>
                <w:b/>
                <w:color w:val="1E364D"/>
                <w:sz w:val="16"/>
              </w:rPr>
              <w:t>Quantity</w:t>
            </w:r>
          </w:p>
        </w:tc>
        <w:tc>
          <w:tcPr>
            <w:tcW w:w="3373" w:type="dxa"/>
            <w:vAlign w:val="center"/>
            <w:tcMar>
              <w:top w:w="65" w:type="dxa"/>
              <w:start w:w="68" w:type="dxa"/>
              <w:bottom w:w="65" w:type="dxa"/>
              <w:end w:w="68" w:type="dxa"/>
            </w:tcMar>
            <w:shd w:val="clear" w:color="auto" w:fill="E8F0F8"/>
          </w:tcPr>
          <w:p w14:paraId="06B5FAD0">
            <w:pPr>
              <w:spacing w:before="0" w:after="0" w:line="240" w:lineRule="auto"/>
              <w:jc w:val="center"/>
            </w:pPr>
            <w:r>
              <w:rPr>
                <w:rFonts w:ascii="Times New Roman" w:hAnsi="Times New Roman" w:eastAsia="Times New Roman" w:cs="Times New Roman"/>
                <w:b/>
                <w:color w:val="1E364D"/>
                <w:sz w:val="16"/>
              </w:rPr>
              <w:t>Verified value</w:t>
            </w:r>
          </w:p>
        </w:tc>
        <w:tc>
          <w:tcPr>
            <w:tcW w:w="3373" w:type="dxa"/>
            <w:vAlign w:val="center"/>
            <w:tcMar>
              <w:top w:w="65" w:type="dxa"/>
              <w:start w:w="68" w:type="dxa"/>
              <w:bottom w:w="65" w:type="dxa"/>
              <w:end w:w="68" w:type="dxa"/>
            </w:tcMar>
            <w:shd w:val="clear" w:color="auto" w:fill="E8F0F8"/>
          </w:tcPr>
          <w:p w14:paraId="685564A9">
            <w:pPr>
              <w:spacing w:before="0" w:after="0" w:line="240" w:lineRule="auto"/>
              <w:jc w:val="center"/>
            </w:pPr>
            <w:r>
              <w:rPr>
                <w:rFonts w:ascii="Times New Roman" w:hAnsi="Times New Roman" w:eastAsia="Times New Roman" w:cs="Times New Roman"/>
                <w:b/>
                <w:color w:val="1E364D"/>
                <w:sz w:val="16"/>
              </w:rPr>
              <w:t>Interpretive boundary</w:t>
            </w:r>
          </w:p>
        </w:tc>
      </w:tr>
      <w:tr w14:paraId="2FE4836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3373" w:type="dxa"/>
            <w:vAlign w:val="center"/>
            <w:tcMar>
              <w:top w:w="65" w:type="dxa"/>
              <w:start w:w="68" w:type="dxa"/>
              <w:bottom w:w="65" w:type="dxa"/>
              <w:end w:w="68" w:type="dxa"/>
            </w:tcMar>
          </w:tcPr>
          <w:p w14:paraId="2F15CB35">
            <w:pPr>
              <w:spacing w:before="0" w:after="0" w:line="240" w:lineRule="auto"/>
            </w:pPr>
            <w:r>
              <w:rPr>
                <w:rFonts w:ascii="Times New Roman" w:hAnsi="Times New Roman" w:eastAsia="Times New Roman" w:cs="Times New Roman"/>
                <w:b w:val="0"/>
                <w:sz w:val="16"/>
              </w:rPr>
              <w:t>Authoritative A1-A3 analytic cases</w:t>
            </w:r>
          </w:p>
        </w:tc>
        <w:tc>
          <w:tcPr>
            <w:tcW w:w="3373" w:type="dxa"/>
            <w:vAlign w:val="center"/>
            <w:tcMar>
              <w:top w:w="65" w:type="dxa"/>
              <w:start w:w="68" w:type="dxa"/>
              <w:bottom w:w="65" w:type="dxa"/>
              <w:end w:w="68" w:type="dxa"/>
            </w:tcMar>
          </w:tcPr>
          <w:p w14:paraId="61D9ECE3">
            <w:pPr>
              <w:spacing w:before="0" w:after="0" w:line="240" w:lineRule="auto"/>
            </w:pPr>
            <w:r>
              <w:rPr>
                <w:rFonts w:ascii="Times New Roman" w:hAnsi="Times New Roman" w:eastAsia="Times New Roman" w:cs="Times New Roman"/>
                <w:b w:val="0"/>
                <w:sz w:val="16"/>
              </w:rPr>
              <w:t>720 each; 2,160 total ratings</w:t>
            </w:r>
          </w:p>
        </w:tc>
        <w:tc>
          <w:tcPr>
            <w:tcW w:w="3373" w:type="dxa"/>
            <w:vAlign w:val="center"/>
            <w:tcMar>
              <w:top w:w="65" w:type="dxa"/>
              <w:start w:w="68" w:type="dxa"/>
              <w:bottom w:w="65" w:type="dxa"/>
              <w:end w:w="68" w:type="dxa"/>
            </w:tcMar>
          </w:tcPr>
          <w:p w14:paraId="4D1E9367">
            <w:pPr>
              <w:spacing w:before="0" w:after="0" w:line="240" w:lineRule="auto"/>
            </w:pPr>
            <w:r>
              <w:rPr>
                <w:rFonts w:ascii="Times New Roman" w:hAnsi="Times New Roman" w:eastAsia="Times New Roman" w:cs="Times New Roman"/>
                <w:b w:val="0"/>
                <w:sz w:val="16"/>
              </w:rPr>
              <w:t>Current uploaded workbooks are the sole source of truth for reliability recalculation.</w:t>
            </w:r>
          </w:p>
        </w:tc>
      </w:tr>
      <w:tr w14:paraId="6F0539B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3373" w:type="dxa"/>
            <w:vAlign w:val="center"/>
            <w:tcMar>
              <w:top w:w="65" w:type="dxa"/>
              <w:start w:w="68" w:type="dxa"/>
              <w:bottom w:w="65" w:type="dxa"/>
              <w:end w:w="68" w:type="dxa"/>
            </w:tcMar>
          </w:tcPr>
          <w:p w14:paraId="57B1D9F8">
            <w:pPr>
              <w:spacing w:before="0" w:after="0" w:line="240" w:lineRule="auto"/>
            </w:pPr>
            <w:r>
              <w:rPr>
                <w:rFonts w:ascii="Times New Roman" w:hAnsi="Times New Roman" w:eastAsia="Times New Roman" w:cs="Times New Roman"/>
                <w:b w:val="0"/>
                <w:sz w:val="16"/>
              </w:rPr>
              <w:t>Retained old/new decision ledgers in authoritative files</w:t>
            </w:r>
          </w:p>
        </w:tc>
        <w:tc>
          <w:tcPr>
            <w:tcW w:w="3373" w:type="dxa"/>
            <w:vAlign w:val="center"/>
            <w:tcMar>
              <w:top w:w="65" w:type="dxa"/>
              <w:start w:w="68" w:type="dxa"/>
              <w:bottom w:w="65" w:type="dxa"/>
              <w:end w:w="68" w:type="dxa"/>
            </w:tcMar>
          </w:tcPr>
          <w:p w14:paraId="651389B7">
            <w:pPr>
              <w:spacing w:before="0" w:after="0" w:line="240" w:lineRule="auto"/>
            </w:pPr>
            <w:r>
              <w:rPr>
                <w:rFonts w:ascii="Times New Roman" w:hAnsi="Times New Roman" w:eastAsia="Times New Roman" w:cs="Times New Roman"/>
                <w:b w:val="0"/>
                <w:sz w:val="16"/>
              </w:rPr>
              <w:t>None</w:t>
            </w:r>
          </w:p>
        </w:tc>
        <w:tc>
          <w:tcPr>
            <w:tcW w:w="3373" w:type="dxa"/>
            <w:vAlign w:val="center"/>
            <w:tcMar>
              <w:top w:w="65" w:type="dxa"/>
              <w:start w:w="68" w:type="dxa"/>
              <w:bottom w:w="65" w:type="dxa"/>
              <w:end w:w="68" w:type="dxa"/>
            </w:tcMar>
          </w:tcPr>
          <w:p w14:paraId="166450AE">
            <w:pPr>
              <w:spacing w:before="0" w:after="0" w:line="240" w:lineRule="auto"/>
            </w:pPr>
            <w:r>
              <w:rPr>
                <w:rFonts w:ascii="Times New Roman" w:hAnsi="Times New Roman" w:eastAsia="Times New Roman" w:cs="Times New Roman"/>
                <w:b w:val="0"/>
                <w:sz w:val="16"/>
              </w:rPr>
              <w:t>No large-scale within-file revision history is used or reported.</w:t>
            </w:r>
          </w:p>
        </w:tc>
      </w:tr>
      <w:tr w14:paraId="658205C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3373" w:type="dxa"/>
            <w:vAlign w:val="center"/>
            <w:tcMar>
              <w:top w:w="65" w:type="dxa"/>
              <w:start w:w="68" w:type="dxa"/>
              <w:bottom w:w="65" w:type="dxa"/>
              <w:end w:w="68" w:type="dxa"/>
            </w:tcMar>
          </w:tcPr>
          <w:p w14:paraId="2FA801FB">
            <w:pPr>
              <w:spacing w:before="0" w:after="0" w:line="240" w:lineRule="auto"/>
            </w:pPr>
            <w:r>
              <w:rPr>
                <w:rFonts w:ascii="Times New Roman" w:hAnsi="Times New Roman" w:eastAsia="Times New Roman" w:cs="Times New Roman"/>
                <w:b w:val="0"/>
                <w:sz w:val="16"/>
              </w:rPr>
              <w:t>Superseded workbook metadata</w:t>
            </w:r>
          </w:p>
        </w:tc>
        <w:tc>
          <w:tcPr>
            <w:tcW w:w="3373" w:type="dxa"/>
            <w:vAlign w:val="center"/>
            <w:tcMar>
              <w:top w:w="65" w:type="dxa"/>
              <w:start w:w="68" w:type="dxa"/>
              <w:bottom w:w="65" w:type="dxa"/>
              <w:end w:w="68" w:type="dxa"/>
            </w:tcMar>
          </w:tcPr>
          <w:p w14:paraId="2B66BB2C">
            <w:pPr>
              <w:spacing w:before="0" w:after="0" w:line="240" w:lineRule="auto"/>
            </w:pPr>
            <w:r>
              <w:rPr>
                <w:rFonts w:ascii="Times New Roman" w:hAnsi="Times New Roman" w:eastAsia="Times New Roman" w:cs="Times New Roman"/>
                <w:b w:val="0"/>
                <w:sz w:val="16"/>
              </w:rPr>
              <w:t>Excluded from the study source set</w:t>
            </w:r>
          </w:p>
        </w:tc>
        <w:tc>
          <w:tcPr>
            <w:tcW w:w="3373" w:type="dxa"/>
            <w:vAlign w:val="center"/>
            <w:tcMar>
              <w:top w:w="65" w:type="dxa"/>
              <w:start w:w="68" w:type="dxa"/>
              <w:bottom w:w="65" w:type="dxa"/>
              <w:end w:w="68" w:type="dxa"/>
            </w:tcMar>
          </w:tcPr>
          <w:p w14:paraId="1D67867C">
            <w:pPr>
              <w:spacing w:before="0" w:after="0" w:line="240" w:lineRule="auto"/>
            </w:pPr>
            <w:r>
              <w:rPr>
                <w:rFonts w:ascii="Times New Roman" w:hAnsi="Times New Roman" w:eastAsia="Times New Roman" w:cs="Times New Roman"/>
                <w:b w:val="0"/>
                <w:sz w:val="16"/>
              </w:rPr>
              <w:t>Only current uploaded workbooks determine the analysis.</w:t>
            </w:r>
          </w:p>
        </w:tc>
      </w:tr>
      <w:tr w14:paraId="6F54212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3373" w:type="dxa"/>
            <w:vAlign w:val="center"/>
            <w:tcMar>
              <w:top w:w="65" w:type="dxa"/>
              <w:start w:w="68" w:type="dxa"/>
              <w:bottom w:w="65" w:type="dxa"/>
              <w:end w:w="68" w:type="dxa"/>
            </w:tcMar>
          </w:tcPr>
          <w:p w14:paraId="75864424">
            <w:pPr>
              <w:spacing w:before="0" w:after="0" w:line="240" w:lineRule="auto"/>
            </w:pPr>
            <w:r>
              <w:rPr>
                <w:rFonts w:ascii="Times New Roman" w:hAnsi="Times New Roman" w:eastAsia="Times New Roman" w:cs="Times New Roman"/>
                <w:b w:val="0"/>
                <w:sz w:val="16"/>
              </w:rPr>
              <w:t>Cross-rater information disclosed before locking</w:t>
            </w:r>
          </w:p>
        </w:tc>
        <w:tc>
          <w:tcPr>
            <w:tcW w:w="3373" w:type="dxa"/>
            <w:vAlign w:val="center"/>
            <w:tcMar>
              <w:top w:w="65" w:type="dxa"/>
              <w:start w:w="68" w:type="dxa"/>
              <w:bottom w:w="65" w:type="dxa"/>
              <w:end w:w="68" w:type="dxa"/>
            </w:tcMar>
          </w:tcPr>
          <w:p w14:paraId="72CA07AF">
            <w:pPr>
              <w:spacing w:before="0" w:after="0" w:line="240" w:lineRule="auto"/>
            </w:pPr>
            <w:r>
              <w:rPr>
                <w:rFonts w:ascii="Times New Roman" w:hAnsi="Times New Roman" w:eastAsia="Times New Roman" w:cs="Times New Roman"/>
                <w:b w:val="0"/>
                <w:sz w:val="16"/>
              </w:rPr>
              <w:t>No peer labels, notes, majority results, or final resolutions</w:t>
            </w:r>
          </w:p>
        </w:tc>
        <w:tc>
          <w:tcPr>
            <w:tcW w:w="3373" w:type="dxa"/>
            <w:vAlign w:val="center"/>
            <w:tcMar>
              <w:top w:w="65" w:type="dxa"/>
              <w:start w:w="68" w:type="dxa"/>
              <w:bottom w:w="65" w:type="dxa"/>
              <w:end w:w="68" w:type="dxa"/>
            </w:tcMar>
          </w:tcPr>
          <w:p w14:paraId="4D66A698">
            <w:pPr>
              <w:spacing w:before="0" w:after="0" w:line="240" w:lineRule="auto"/>
            </w:pPr>
            <w:r>
              <w:rPr>
                <w:rFonts w:ascii="Times New Roman" w:hAnsi="Times New Roman" w:eastAsia="Times New Roman" w:cs="Times New Roman"/>
                <w:b w:val="0"/>
                <w:sz w:val="16"/>
              </w:rPr>
              <w:t>Supported by file design and author-declared separate-email workflow.</w:t>
            </w:r>
          </w:p>
        </w:tc>
      </w:tr>
      <w:tr w14:paraId="58C7233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3373" w:type="dxa"/>
            <w:vAlign w:val="center"/>
            <w:tcMar>
              <w:top w:w="65" w:type="dxa"/>
              <w:start w:w="68" w:type="dxa"/>
              <w:bottom w:w="65" w:type="dxa"/>
              <w:end w:w="68" w:type="dxa"/>
            </w:tcMar>
          </w:tcPr>
          <w:p w14:paraId="67C57500">
            <w:pPr>
              <w:spacing w:before="0" w:after="0" w:line="240" w:lineRule="auto"/>
            </w:pPr>
            <w:r>
              <w:rPr>
                <w:rFonts w:ascii="Times New Roman" w:hAnsi="Times New Roman" w:eastAsia="Times New Roman" w:cs="Times New Roman"/>
                <w:b w:val="0"/>
                <w:sz w:val="16"/>
              </w:rPr>
              <w:t>Project lead counted as a rater</w:t>
            </w:r>
          </w:p>
        </w:tc>
        <w:tc>
          <w:tcPr>
            <w:tcW w:w="3373" w:type="dxa"/>
            <w:vAlign w:val="center"/>
            <w:tcMar>
              <w:top w:w="65" w:type="dxa"/>
              <w:start w:w="68" w:type="dxa"/>
              <w:bottom w:w="65" w:type="dxa"/>
              <w:end w:w="68" w:type="dxa"/>
            </w:tcMar>
          </w:tcPr>
          <w:p w14:paraId="28E507E3">
            <w:pPr>
              <w:spacing w:before="0" w:after="0" w:line="240" w:lineRule="auto"/>
            </w:pPr>
            <w:r>
              <w:rPr>
                <w:rFonts w:ascii="Times New Roman" w:hAnsi="Times New Roman" w:eastAsia="Times New Roman" w:cs="Times New Roman"/>
                <w:b w:val="0"/>
                <w:sz w:val="16"/>
              </w:rPr>
              <w:t>No</w:t>
            </w:r>
          </w:p>
        </w:tc>
        <w:tc>
          <w:tcPr>
            <w:tcW w:w="3373" w:type="dxa"/>
            <w:vAlign w:val="center"/>
            <w:tcMar>
              <w:top w:w="65" w:type="dxa"/>
              <w:start w:w="68" w:type="dxa"/>
              <w:bottom w:w="65" w:type="dxa"/>
              <w:end w:w="68" w:type="dxa"/>
            </w:tcMar>
          </w:tcPr>
          <w:p w14:paraId="65E4E391">
            <w:pPr>
              <w:spacing w:before="0" w:after="0" w:line="240" w:lineRule="auto"/>
            </w:pPr>
            <w:r>
              <w:rPr>
                <w:rFonts w:ascii="Times New Roman" w:hAnsi="Times New Roman" w:eastAsia="Times New Roman" w:cs="Times New Roman"/>
                <w:b w:val="0"/>
                <w:sz w:val="16"/>
              </w:rPr>
              <w:t>All coefficients use only A1-A3.</w:t>
            </w:r>
          </w:p>
        </w:tc>
      </w:tr>
      <w:tr w14:paraId="570C375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3373" w:type="dxa"/>
            <w:vAlign w:val="center"/>
            <w:tcMar>
              <w:top w:w="65" w:type="dxa"/>
              <w:start w:w="68" w:type="dxa"/>
              <w:bottom w:w="65" w:type="dxa"/>
              <w:end w:w="68" w:type="dxa"/>
            </w:tcMar>
          </w:tcPr>
          <w:p w14:paraId="08AA2EBE">
            <w:pPr>
              <w:spacing w:before="0" w:after="0" w:line="240" w:lineRule="auto"/>
            </w:pPr>
            <w:r>
              <w:rPr>
                <w:rFonts w:ascii="Times New Roman" w:hAnsi="Times New Roman" w:eastAsia="Times New Roman" w:cs="Times New Roman"/>
                <w:b w:val="0"/>
                <w:sz w:val="16"/>
              </w:rPr>
              <w:t>Unaided first-pass states</w:t>
            </w:r>
          </w:p>
        </w:tc>
        <w:tc>
          <w:tcPr>
            <w:tcW w:w="3373" w:type="dxa"/>
            <w:vAlign w:val="center"/>
            <w:tcMar>
              <w:top w:w="65" w:type="dxa"/>
              <w:start w:w="68" w:type="dxa"/>
              <w:bottom w:w="65" w:type="dxa"/>
              <w:end w:w="68" w:type="dxa"/>
            </w:tcMar>
          </w:tcPr>
          <w:p w14:paraId="2BF13228">
            <w:pPr>
              <w:spacing w:before="0" w:after="0" w:line="240" w:lineRule="auto"/>
            </w:pPr>
            <w:r>
              <w:rPr>
                <w:rFonts w:ascii="Times New Roman" w:hAnsi="Times New Roman" w:eastAsia="Times New Roman" w:cs="Times New Roman"/>
                <w:b w:val="0"/>
                <w:sz w:val="16"/>
              </w:rPr>
              <w:t>Not reconstructed</w:t>
            </w:r>
          </w:p>
        </w:tc>
        <w:tc>
          <w:tcPr>
            <w:tcW w:w="3373" w:type="dxa"/>
            <w:vAlign w:val="center"/>
            <w:tcMar>
              <w:top w:w="65" w:type="dxa"/>
              <w:start w:w="68" w:type="dxa"/>
              <w:bottom w:w="65" w:type="dxa"/>
              <w:end w:w="68" w:type="dxa"/>
            </w:tcMar>
          </w:tcPr>
          <w:p w14:paraId="4A37DEF7">
            <w:pPr>
              <w:spacing w:before="0" w:after="0" w:line="240" w:lineRule="auto"/>
            </w:pPr>
            <w:r>
              <w:rPr>
                <w:rFonts w:ascii="Times New Roman" w:hAnsi="Times New Roman" w:eastAsia="Times New Roman" w:cs="Times New Roman"/>
                <w:b w:val="0"/>
                <w:sz w:val="16"/>
              </w:rPr>
              <w:t>The files are final annotator-owned records after calibration and self-checking; no claim of raw first-pass reliability.</w:t>
            </w:r>
          </w:p>
        </w:tc>
      </w:tr>
      <w:tr w14:paraId="44A97D9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val="true"/>
          <w:jc w:val="center"/>
        </w:trPr>
        <w:tc>
          <w:tcPr>
            <w:tcW w:w="3373" w:type="dxa"/>
            <w:vAlign w:val="center"/>
            <w:tcMar>
              <w:top w:w="65" w:type="dxa"/>
              <w:start w:w="68" w:type="dxa"/>
              <w:bottom w:w="65" w:type="dxa"/>
              <w:end w:w="68" w:type="dxa"/>
            </w:tcMar>
          </w:tcPr>
          <w:p w14:paraId="2B67B013">
            <w:pPr>
              <w:spacing w:before="0" w:after="0" w:line="240" w:lineRule="auto"/>
            </w:pPr>
            <w:r>
              <w:rPr>
                <w:rFonts w:ascii="Times New Roman" w:hAnsi="Times New Roman" w:eastAsia="Times New Roman" w:cs="Times New Roman"/>
                <w:b w:val="0"/>
                <w:sz w:val="16"/>
              </w:rPr>
              <w:t>Reported agreement scope</w:t>
            </w:r>
          </w:p>
        </w:tc>
        <w:tc>
          <w:tcPr>
            <w:tcW w:w="3373" w:type="dxa"/>
            <w:vAlign w:val="center"/>
            <w:tcMar>
              <w:top w:w="65" w:type="dxa"/>
              <w:start w:w="68" w:type="dxa"/>
              <w:bottom w:w="65" w:type="dxa"/>
              <w:end w:w="68" w:type="dxa"/>
            </w:tcMar>
          </w:tcPr>
          <w:p w14:paraId="77CEE50E">
            <w:pPr>
              <w:spacing w:before="0" w:after="0" w:line="240" w:lineRule="auto"/>
            </w:pPr>
            <w:r>
              <w:rPr>
                <w:rFonts w:ascii="Times New Roman" w:hAnsi="Times New Roman" w:eastAsia="Times New Roman" w:cs="Times New Roman"/>
                <w:b w:val="0"/>
                <w:sz w:val="16"/>
              </w:rPr>
              <w:t>Authoritative final locked pre-resolution agreement</w:t>
            </w:r>
          </w:p>
        </w:tc>
        <w:tc>
          <w:tcPr>
            <w:tcW w:w="3373" w:type="dxa"/>
            <w:vAlign w:val="center"/>
            <w:tcMar>
              <w:top w:w="65" w:type="dxa"/>
              <w:start w:w="68" w:type="dxa"/>
              <w:bottom w:w="65" w:type="dxa"/>
              <w:end w:w="68" w:type="dxa"/>
            </w:tcMar>
          </w:tcPr>
          <w:p w14:paraId="442B95D4">
            <w:pPr>
              <w:spacing w:before="0" w:after="0" w:line="240" w:lineRule="auto"/>
            </w:pPr>
            <w:r>
              <w:rPr>
                <w:rFonts w:ascii="Times New Roman" w:hAnsi="Times New Roman" w:eastAsia="Times New Roman" w:cs="Times New Roman"/>
                <w:b w:val="0"/>
                <w:sz w:val="16"/>
              </w:rPr>
              <w:t>Valid for the supplied final workbooks; not post-adjudication or external reproducibility.</w:t>
            </w:r>
          </w:p>
        </w:tc>
      </w:tr>
    </w:tbl>
    <w:p w14:paraId="40E62862">
      <w:pPr>
        <w:pStyle w:val="16"/>
        <w:keepNext/>
        <w:keepLines/>
        <w:spacing w:before="120" w:after="60"/>
        <w:jc w:val="left"/>
      </w:pPr>
      <w:r>
        <w:t>Table S49. Post-study mapping of locked annotator decisions to clarified semantic-boundary rules.</w:t>
      </w:r>
    </w:p>
    <w:tbl>
      <w:tblPr>
        <w:tblStyle w:val="35"/>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1966"/>
        <w:gridCol w:w="1966"/>
        <w:gridCol w:w="1966"/>
        <w:gridCol w:w="1966"/>
        <w:gridCol w:w="1966"/>
      </w:tblGrid>
      <w:tr w14:paraId="0B2D1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val="true"/>
          <w:cantSplit w:val="true"/>
          <w:tblHeader w:val="true"/>
        </w:trPr>
        <w:tc>
          <w:tcPr>
            <w:tcW w:w="1966" w:type="dxa"/>
            <w:vAlign w:val="center"/>
            <w:tcMar>
              <w:top w:w="65" w:type="dxa"/>
              <w:start w:w="68" w:type="dxa"/>
              <w:bottom w:w="65" w:type="dxa"/>
              <w:end w:w="68" w:type="dxa"/>
            </w:tcMar>
            <w:shd w:val="clear" w:color="auto" w:fill="E8F0F8"/>
          </w:tcPr>
          <w:p w14:paraId="4A6DC3A3">
            <w:pPr>
              <w:spacing w:before="0" w:after="0" w:line="240" w:lineRule="auto"/>
              <w:jc w:val="center"/>
            </w:pPr>
            <w:r>
              <w:rPr>
                <w:rFonts w:ascii="Times New Roman" w:hAnsi="Times New Roman" w:eastAsia="Times New Roman" w:cs="Times New Roman"/>
                <w:b/>
                <w:color w:val="1E364D"/>
                <w:sz w:val="15"/>
              </w:rPr>
              <w:t>Case</w:t>
            </w:r>
          </w:p>
        </w:tc>
        <w:tc>
          <w:tcPr>
            <w:tcW w:w="1966" w:type="dxa"/>
            <w:vAlign w:val="center"/>
            <w:tcMar>
              <w:top w:w="65" w:type="dxa"/>
              <w:start w:w="68" w:type="dxa"/>
              <w:bottom w:w="65" w:type="dxa"/>
              <w:end w:w="68" w:type="dxa"/>
            </w:tcMar>
            <w:shd w:val="clear" w:color="auto" w:fill="E8F0F8"/>
          </w:tcPr>
          <w:p w14:paraId="61674E74">
            <w:pPr>
              <w:spacing w:before="0" w:after="0" w:line="240" w:lineRule="auto"/>
              <w:jc w:val="center"/>
            </w:pPr>
            <w:r>
              <w:rPr>
                <w:rFonts w:ascii="Times New Roman" w:hAnsi="Times New Roman" w:eastAsia="Times New Roman" w:cs="Times New Roman"/>
                <w:b/>
                <w:color w:val="1E364D"/>
                <w:sz w:val="15"/>
              </w:rPr>
              <w:t>Locked annotator decision</w:t>
            </w:r>
          </w:p>
        </w:tc>
        <w:tc>
          <w:tcPr>
            <w:tcW w:w="1966" w:type="dxa"/>
            <w:vAlign w:val="center"/>
            <w:tcMar>
              <w:top w:w="65" w:type="dxa"/>
              <w:start w:w="68" w:type="dxa"/>
              <w:bottom w:w="65" w:type="dxa"/>
              <w:end w:w="68" w:type="dxa"/>
            </w:tcMar>
            <w:shd w:val="clear" w:color="auto" w:fill="E8F0F8"/>
          </w:tcPr>
          <w:p w14:paraId="14748B6F">
            <w:pPr>
              <w:spacing w:before="0" w:after="0" w:line="240" w:lineRule="auto"/>
              <w:jc w:val="center"/>
            </w:pPr>
            <w:r>
              <w:rPr>
                <w:rFonts w:ascii="Times New Roman" w:hAnsi="Times New Roman" w:eastAsia="Times New Roman" w:cs="Times New Roman"/>
                <w:b/>
                <w:color w:val="1E364D"/>
                <w:sz w:val="15"/>
              </w:rPr>
              <w:t>Post-study clarification flag</w:t>
            </w:r>
          </w:p>
        </w:tc>
        <w:tc>
          <w:tcPr>
            <w:tcW w:w="1966" w:type="dxa"/>
            <w:vAlign w:val="center"/>
            <w:tcMar>
              <w:top w:w="65" w:type="dxa"/>
              <w:start w:w="68" w:type="dxa"/>
              <w:bottom w:w="65" w:type="dxa"/>
              <w:end w:w="68" w:type="dxa"/>
            </w:tcMar>
            <w:shd w:val="clear" w:color="auto" w:fill="E8F0F8"/>
          </w:tcPr>
          <w:p w14:paraId="34ECEBE4">
            <w:pPr>
              <w:spacing w:before="0" w:after="0" w:line="240" w:lineRule="auto"/>
              <w:jc w:val="center"/>
            </w:pPr>
            <w:r>
              <w:rPr>
                <w:rFonts w:ascii="Times New Roman" w:hAnsi="Times New Roman" w:eastAsia="Times New Roman" w:cs="Times New Roman"/>
                <w:b/>
                <w:color w:val="1E364D"/>
                <w:sz w:val="15"/>
              </w:rPr>
              <w:t>Publication-layer v1.3 decision</w:t>
            </w:r>
          </w:p>
        </w:tc>
        <w:tc>
          <w:tcPr>
            <w:tcW w:w="1966" w:type="dxa"/>
            <w:vAlign w:val="center"/>
            <w:tcMar>
              <w:top w:w="65" w:type="dxa"/>
              <w:start w:w="68" w:type="dxa"/>
              <w:bottom w:w="65" w:type="dxa"/>
              <w:end w:w="68" w:type="dxa"/>
            </w:tcMar>
            <w:shd w:val="clear" w:color="auto" w:fill="E8F0F8"/>
          </w:tcPr>
          <w:p w14:paraId="70813BAD">
            <w:pPr>
              <w:spacing w:before="0" w:after="0" w:line="240" w:lineRule="auto"/>
              <w:jc w:val="center"/>
            </w:pPr>
            <w:r>
              <w:rPr>
                <w:rFonts w:ascii="Times New Roman" w:hAnsi="Times New Roman" w:eastAsia="Times New Roman" w:cs="Times New Roman"/>
                <w:b/>
                <w:color w:val="1E364D"/>
                <w:sz w:val="15"/>
              </w:rPr>
              <w:t>Action</w:t>
            </w:r>
          </w:p>
        </w:tc>
      </w:tr>
      <w:tr w14:paraId="7793B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966" w:type="dxa"/>
            <w:vAlign w:val="center"/>
            <w:tcMar>
              <w:top w:w="65" w:type="dxa"/>
              <w:start w:w="68" w:type="dxa"/>
              <w:bottom w:w="65" w:type="dxa"/>
              <w:end w:w="68" w:type="dxa"/>
            </w:tcMar>
          </w:tcPr>
          <w:p w14:paraId="2DB69CDE">
            <w:pPr>
              <w:spacing w:before="0" w:after="0" w:line="240" w:lineRule="auto"/>
            </w:pPr>
            <w:r>
              <w:rPr>
                <w:rFonts w:ascii="Times New Roman" w:hAnsi="Times New Roman" w:eastAsia="Times New Roman" w:cs="Times New Roman"/>
                <w:b w:val="0"/>
                <w:sz w:val="15"/>
              </w:rPr>
              <w:t>CASE_0369</w:t>
            </w:r>
          </w:p>
        </w:tc>
        <w:tc>
          <w:tcPr>
            <w:tcW w:w="1966" w:type="dxa"/>
            <w:vAlign w:val="center"/>
            <w:tcMar>
              <w:top w:w="65" w:type="dxa"/>
              <w:start w:w="68" w:type="dxa"/>
              <w:bottom w:w="65" w:type="dxa"/>
              <w:end w:w="68" w:type="dxa"/>
            </w:tcMar>
          </w:tcPr>
          <w:p w14:paraId="6E30ECE5">
            <w:pPr>
              <w:spacing w:before="0" w:after="0" w:line="240" w:lineRule="auto"/>
            </w:pPr>
            <w:r>
              <w:rPr>
                <w:rFonts w:ascii="Times New Roman" w:hAnsi="Times New Roman" w:eastAsia="Times New Roman" w:cs="Times New Roman"/>
                <w:b w:val="0"/>
                <w:sz w:val="15"/>
              </w:rPr>
              <w:t>A2: OVR-02 / SCF-03 / semantic_only / severity 1</w:t>
            </w:r>
          </w:p>
        </w:tc>
        <w:tc>
          <w:tcPr>
            <w:tcW w:w="1966" w:type="dxa"/>
            <w:vAlign w:val="center"/>
            <w:tcMar>
              <w:top w:w="65" w:type="dxa"/>
              <w:start w:w="68" w:type="dxa"/>
              <w:bottom w:w="65" w:type="dxa"/>
              <w:end w:w="68" w:type="dxa"/>
            </w:tcMar>
          </w:tcPr>
          <w:p w14:paraId="7396D2F5">
            <w:pPr>
              <w:spacing w:before="0" w:after="0" w:line="240" w:lineRule="auto"/>
            </w:pPr>
            <w:r>
              <w:rPr>
                <w:rFonts w:ascii="Times New Roman" w:hAnsi="Times New Roman" w:eastAsia="Times New Roman" w:cs="Times New Roman"/>
                <w:b w:val="0"/>
                <w:sz w:val="15"/>
              </w:rPr>
              <w:t>semantic_only primary outside SCF-01–SCF-07/OVR-01/OVR-05 under the post-study rule</w:t>
            </w:r>
          </w:p>
        </w:tc>
        <w:tc>
          <w:tcPr>
            <w:tcW w:w="1966" w:type="dxa"/>
            <w:vAlign w:val="center"/>
            <w:tcMar>
              <w:top w:w="65" w:type="dxa"/>
              <w:start w:w="68" w:type="dxa"/>
              <w:bottom w:w="65" w:type="dxa"/>
              <w:end w:w="68" w:type="dxa"/>
            </w:tcMar>
          </w:tcPr>
          <w:p w14:paraId="5DE38F92">
            <w:pPr>
              <w:spacing w:before="0" w:after="0" w:line="240" w:lineRule="auto"/>
            </w:pPr>
            <w:r>
              <w:rPr>
                <w:rFonts w:ascii="Times New Roman" w:hAnsi="Times New Roman" w:eastAsia="Times New Roman" w:cs="Times New Roman"/>
                <w:b w:val="0"/>
                <w:sz w:val="15"/>
              </w:rPr>
              <w:t>SCF-03 / OVR-02 / overlap / severity 1</w:t>
            </w:r>
          </w:p>
        </w:tc>
        <w:tc>
          <w:tcPr>
            <w:tcW w:w="1966" w:type="dxa"/>
            <w:vAlign w:val="center"/>
            <w:tcMar>
              <w:top w:w="65" w:type="dxa"/>
              <w:start w:w="68" w:type="dxa"/>
              <w:bottom w:w="65" w:type="dxa"/>
              <w:end w:w="68" w:type="dxa"/>
            </w:tcMar>
          </w:tcPr>
          <w:p w14:paraId="6828DF9F">
            <w:pPr>
              <w:spacing w:before="0" w:after="0" w:line="240" w:lineRule="auto"/>
            </w:pPr>
            <w:r>
              <w:rPr>
                <w:rFonts w:ascii="Times New Roman" w:hAnsi="Times New Roman" w:eastAsia="Times New Roman" w:cs="Times New Roman"/>
                <w:b w:val="0"/>
                <w:sz w:val="15"/>
              </w:rPr>
              <w:t>Original locked row unchanged</w:t>
            </w:r>
          </w:p>
        </w:tc>
      </w:tr>
      <w:tr w14:paraId="3751A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jc w:val="center"/>
        </w:trPr>
        <w:tc>
          <w:tcPr>
            <w:tcW w:w="1966" w:type="dxa"/>
            <w:vAlign w:val="center"/>
            <w:tcMar>
              <w:top w:w="65" w:type="dxa"/>
              <w:start w:w="68" w:type="dxa"/>
              <w:bottom w:w="65" w:type="dxa"/>
              <w:end w:w="68" w:type="dxa"/>
            </w:tcMar>
          </w:tcPr>
          <w:p w14:paraId="133232FB">
            <w:pPr>
              <w:spacing w:before="0" w:after="0" w:line="240" w:lineRule="auto"/>
            </w:pPr>
            <w:r>
              <w:rPr>
                <w:rFonts w:ascii="Times New Roman" w:hAnsi="Times New Roman" w:eastAsia="Times New Roman" w:cs="Times New Roman"/>
                <w:b w:val="0"/>
                <w:sz w:val="15"/>
              </w:rPr>
              <w:t>CASE_0611</w:t>
            </w:r>
          </w:p>
        </w:tc>
        <w:tc>
          <w:tcPr>
            <w:tcW w:w="1966" w:type="dxa"/>
            <w:vAlign w:val="center"/>
            <w:tcMar>
              <w:top w:w="65" w:type="dxa"/>
              <w:start w:w="68" w:type="dxa"/>
              <w:bottom w:w="65" w:type="dxa"/>
              <w:end w:w="68" w:type="dxa"/>
            </w:tcMar>
          </w:tcPr>
          <w:p w14:paraId="4F459E8C">
            <w:pPr>
              <w:spacing w:before="0" w:after="0" w:line="240" w:lineRule="auto"/>
            </w:pPr>
            <w:r>
              <w:rPr>
                <w:rFonts w:ascii="Times New Roman" w:hAnsi="Times New Roman" w:eastAsia="Times New Roman" w:cs="Times New Roman"/>
                <w:b w:val="0"/>
                <w:sz w:val="15"/>
              </w:rPr>
              <w:t>A2: HREF / SCF-03 / overlap / severity 3</w:t>
            </w:r>
          </w:p>
        </w:tc>
        <w:tc>
          <w:tcPr>
            <w:tcW w:w="1966" w:type="dxa"/>
            <w:vAlign w:val="center"/>
            <w:tcMar>
              <w:top w:w="65" w:type="dxa"/>
              <w:start w:w="68" w:type="dxa"/>
              <w:bottom w:w="65" w:type="dxa"/>
              <w:end w:w="68" w:type="dxa"/>
            </w:tcMar>
          </w:tcPr>
          <w:p w14:paraId="2EC5D687">
            <w:pPr>
              <w:spacing w:before="0" w:after="0" w:line="240" w:lineRule="auto"/>
            </w:pPr>
            <w:r>
              <w:rPr>
                <w:rFonts w:ascii="Times New Roman" w:hAnsi="Times New Roman" w:eastAsia="Times New Roman" w:cs="Times New Roman"/>
                <w:b w:val="0"/>
                <w:sz w:val="15"/>
              </w:rPr>
              <w:t>overlap uses HREF/NONE as primary rather than a semantic mechanism</w:t>
            </w:r>
          </w:p>
        </w:tc>
        <w:tc>
          <w:tcPr>
            <w:tcW w:w="1966" w:type="dxa"/>
            <w:vAlign w:val="center"/>
            <w:tcMar>
              <w:top w:w="65" w:type="dxa"/>
              <w:start w:w="68" w:type="dxa"/>
              <w:bottom w:w="65" w:type="dxa"/>
              <w:end w:w="68" w:type="dxa"/>
            </w:tcMar>
          </w:tcPr>
          <w:p w14:paraId="611AE227">
            <w:pPr>
              <w:spacing w:before="0" w:after="0" w:line="240" w:lineRule="auto"/>
            </w:pPr>
            <w:r>
              <w:rPr>
                <w:rFonts w:ascii="Times New Roman" w:hAnsi="Times New Roman" w:eastAsia="Times New Roman" w:cs="Times New Roman"/>
                <w:b w:val="0"/>
                <w:sz w:val="15"/>
              </w:rPr>
              <w:t>SCF-03 / HREF / overlap / severity 2</w:t>
            </w:r>
          </w:p>
        </w:tc>
        <w:tc>
          <w:tcPr>
            <w:tcW w:w="1966" w:type="dxa"/>
            <w:vAlign w:val="center"/>
            <w:tcMar>
              <w:top w:w="65" w:type="dxa"/>
              <w:start w:w="68" w:type="dxa"/>
              <w:bottom w:w="65" w:type="dxa"/>
              <w:end w:w="68" w:type="dxa"/>
            </w:tcMar>
          </w:tcPr>
          <w:p w14:paraId="19FD2A76">
            <w:pPr>
              <w:spacing w:before="0" w:after="0" w:line="240" w:lineRule="auto"/>
            </w:pPr>
            <w:r>
              <w:rPr>
                <w:rFonts w:ascii="Times New Roman" w:hAnsi="Times New Roman" w:eastAsia="Times New Roman" w:cs="Times New Roman"/>
                <w:b w:val="0"/>
                <w:sz w:val="15"/>
              </w:rPr>
              <w:t>Original locked row unchanged</w:t>
            </w:r>
          </w:p>
        </w:tc>
      </w:tr>
    </w:tbl>
    <w:p w14:paraId="0A27C956">
      <w:pPr>
        <w:widowControl/>
      </w:pPr>
      <w:r>
        <w:t>Note. The mapping audit found two flagged locked decisions among 2,160 ratings (0.09%), both in A2. These are historical decisions under v1.2_final_locked, not cells to be edited. The table documents how later clarification relates to the immutable record.</w:t>
      </w:r>
    </w:p>
    <w:p w14:paraId="619DA3EE">
      <w:pPr>
        <w:pStyle w:val="3"/>
        <w:keepNext/>
        <w:keepLines/>
        <w:pageBreakBefore w:val="0"/>
        <w:spacing w:before="140" w:after="80"/>
      </w:pPr>
      <w:r>
        <w:rPr>
          <w:color w:val="000000"/>
        </w:rPr>
        <w:t>S8.3 Data-access boundary</w:t>
      </w:r>
    </w:p>
    <w:p w14:paraId="663E7D4D">
      <w:pPr>
        <w:widowControl/>
        <w:spacing w:after="100" w:line="276" w:lineRule="auto"/>
        <w:jc w:val="both"/>
      </w:pPr>
      <w:r>
        <w:t>The reproducibility package documents the study-created prompt bank, all 720 retained generated outputs, FINAL GOLD case-level data, targeted same-adjudicator manual-consistency re-review material, the locked manual, blank workflow templates, frozen computational inputs/predictions, and analysis code. For double-anonymous review, historical human provenance is represented with A1/A2/A3/A4 role labels; personal names, affiliations, ORCID/profile identifiers, and identifying source filenames are excluded from the reviewer-facing snapshot. The original recovered source binaries and full professional provenance are retained privately and their existence/hash lineage is documented without exposing identities.</w:t>
      </w:r>
    </w:p>
    <w:p w14:paraId="0FC43BE9">
      <w:pPr>
        <w:pStyle w:val="3"/>
        <w:keepNext/>
        <w:keepLines/>
        <w:pageBreakBefore w:val="0"/>
        <w:spacing w:before="140" w:after="80"/>
      </w:pPr>
      <w:r>
        <w:rPr>
          <w:color w:val="000000"/>
        </w:rPr>
        <w:t>S8.4 Transfer hypothesis and reproducibility assets</w:t>
      </w:r>
    </w:p>
    <w:p w14:paraId="0B7603A8">
      <w:pPr>
        <w:widowControl/>
        <w:spacing w:after="100" w:line="276" w:lineRule="auto"/>
        <w:jc w:val="both"/>
      </w:pPr>
      <w:r>
        <w:t>The human framework is not prospectively validated beyond the present English-language, six-checkpoint design. Transfer to other models, domains, languages, and annotator populations remains a testable hypothesis. The computational extension uses internal prompt-grouped and cross-task robustness analyses only; neither senior adjudication nor leave-one-task-out evaluation is described as external validation.</w:t>
      </w:r>
    </w:p>
    <w:p w14:paraId="66043018">
      <w:pPr>
        <w:widowControl/>
        <w:spacing w:after="100" w:line="276" w:lineRule="auto"/>
        <w:jc w:val="both"/>
      </w:pPr>
      <w:r>
        <w:t>The reproducibility package contains versioned human/computational analysis code, schemas/checksums, frozen generated outputs, FINAL GOLD reference data, de-identified historical annotation/adjudication analytic contents, aggregate agreement/disagreement outputs, computational out-of-fold predictions, decision-logic assets, and all post-freeze IP&amp;M follow-up analyses. The exact paper-analysis path is documented in docs/REPRODUCIBILITY.md, and a current-layer manifest maps each added IP&amp;M result to its inputs, executable script, output, manuscript location, and exactness boundary. A one-command follow-up orchestrator performs the available current checks after the base release is unpacked. Fresh SLM generation remains a best-effort reconstruction because complete original generation-interface state was not retained for five checkpoints.</w:t>
      </w:r>
    </w:p>
    <w:p>
      <w:pPr>
        <w:pStyle w:val="3"/>
        <w:keepNext/>
        <w:keepLines/>
      </w:pPr>
      <w:r>
        <w:rPr>
          <w:color w:val="000000"/>
        </w:rPr>
        <w:t>S8.5 Reproducibility-governance matrix and known provenance erratum</w:t>
      </w:r>
    </w:p>
    <w:p>
      <w:pPr>
        <w:pStyle w:val="16"/>
        <w:keepNext/>
        <w:keepLines/>
      </w:pPr>
      <w:r>
        <w:t>Table S50. Reproducibility layers, exactness boundaries, and reviewer-safe governance.</w:t>
      </w:r>
    </w:p>
    <w:tbl>
      <w:tblPr>
        <w:tblStyle w:val="35"/>
        <w:tblW w:type="auto" w:w="0"/>
        <w:jc w:val="center"/>
        <w:tblLayout w:type="autofit"/>
        <w:tblLook w:firstColumn="1" w:firstRow="1" w:lastColumn="0" w:lastRow="0" w:noHBand="0" w:noVBand="1" w:val="04A0"/>
        <w:tblBorders>
          <w:top w:val="single" w:sz="4" w:color="C7D4E2"/>
          <w:bottom w:val="single" w:sz="4" w:color="C7D4E2"/>
          <w:left w:val="single" w:sz="4" w:color="C7D4E2"/>
          <w:right w:val="single" w:sz="4" w:color="C7D4E2"/>
          <w:insideH w:val="single" w:sz="4" w:color="C7D4E2"/>
          <w:insideV w:val="single" w:sz="3" w:color="C7D4E2"/>
        </w:tblBorders>
      </w:tblPr>
      <w:tblGrid>
        <w:gridCol w:w="2458"/>
        <w:gridCol w:w="2458"/>
        <w:gridCol w:w="2458"/>
        <w:gridCol w:w="2458"/>
      </w:tblGrid>
      <w:tr>
        <w:trPr>
          <w:cantSplit/>
          <w:tblHeader w:val="true"/>
          <w:tblHeader w:val="true"/>
        </w:trPr>
        <w:tc>
          <w:tcPr>
            <w:tcW w:type="dxa" w:w="2458"/>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6"/>
              </w:rPr>
            </w:r>
            <w:r>
              <w:rPr>
                <w:rFonts w:ascii="Times New Roman" w:hAnsi="Times New Roman"/>
                <w:b/>
                <w:color w:val="1E364D"/>
                <w:sz w:val="16"/>
              </w:rPr>
              <w:t>Layer</w:t>
            </w:r>
          </w:p>
        </w:tc>
        <w:tc>
          <w:tcPr>
            <w:tcW w:type="dxa" w:w="2458"/>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6"/>
              </w:rPr>
            </w:r>
            <w:r>
              <w:rPr>
                <w:rFonts w:ascii="Times New Roman" w:hAnsi="Times New Roman"/>
                <w:b/>
                <w:color w:val="1E364D"/>
                <w:sz w:val="16"/>
              </w:rPr>
              <w:t>Reproduction status</w:t>
            </w:r>
          </w:p>
        </w:tc>
        <w:tc>
          <w:tcPr>
            <w:tcW w:type="dxa" w:w="2458"/>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6"/>
              </w:rPr>
            </w:r>
            <w:r>
              <w:rPr>
                <w:rFonts w:ascii="Times New Roman" w:hAnsi="Times New Roman"/>
                <w:b/>
                <w:color w:val="1E364D"/>
                <w:sz w:val="16"/>
              </w:rPr>
              <w:t>Reviewer-facing artifact</w:t>
            </w:r>
          </w:p>
        </w:tc>
        <w:tc>
          <w:tcPr>
            <w:tcW w:type="dxa" w:w="2458"/>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6"/>
              </w:rPr>
            </w:r>
            <w:r>
              <w:rPr>
                <w:rFonts w:ascii="Times New Roman" w:hAnsi="Times New Roman"/>
                <w:b/>
                <w:color w:val="1E364D"/>
                <w:sz w:val="16"/>
              </w:rPr>
              <w:t>Boundary / governance rule</w:t>
            </w:r>
          </w:p>
        </w:tc>
      </w:tr>
      <w:tr>
        <w:trPr>
          <w:cantSplit/>
        </w:trPr>
        <w:tc>
          <w:tcPr>
            <w:tcW w:type="dxa" w:w="2458"/>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Frozen 720 outputs</w:t>
            </w:r>
          </w:p>
        </w:tc>
        <w:tc>
          <w:tcPr>
            <w:tcW w:type="dxa" w:w="2458"/>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Exact retained analysis input</w:t>
            </w:r>
          </w:p>
        </w:tc>
        <w:tc>
          <w:tcPr>
            <w:tcW w:type="dxa" w:w="2458"/>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Frozen outputs / canonical dataset</w:t>
            </w:r>
          </w:p>
        </w:tc>
        <w:tc>
          <w:tcPr>
            <w:tcW w:type="dxa" w:w="2458"/>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Authoritative generation layer; fresh regeneration is not required for paper-result reproduction.</w:t>
            </w:r>
          </w:p>
        </w:tc>
      </w:tr>
      <w:tr>
        <w:trPr>
          <w:cantSplit/>
        </w:trPr>
        <w:tc>
          <w:tcPr>
            <w:tcW w:type="dxa" w:w="2458"/>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A1–A3 pre-resolution ratings</w:t>
            </w:r>
          </w:p>
        </w:tc>
        <w:tc>
          <w:tcPr>
            <w:tcW w:type="dxa" w:w="2458"/>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Exact analytic decisions from recovered source records</w:t>
            </w:r>
          </w:p>
        </w:tc>
        <w:tc>
          <w:tcPr>
            <w:tcW w:type="dxa" w:w="2458"/>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De-identified A1/A2/A3 analytic mirrors</w:t>
            </w:r>
          </w:p>
        </w:tc>
        <w:tc>
          <w:tcPr>
            <w:tcW w:type="dxa" w:w="2458"/>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IAA uses only pre-resolution decisions; identifying professional provenance stays private during blinded review.</w:t>
            </w:r>
          </w:p>
        </w:tc>
      </w:tr>
      <w:tr>
        <w:trPr>
          <w:cantSplit/>
        </w:trPr>
        <w:tc>
          <w:tcPr>
            <w:tcW w:type="dxa" w:w="2458"/>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A4 round-1 adjudication</w:t>
            </w:r>
          </w:p>
        </w:tc>
        <w:tc>
          <w:tcPr>
            <w:tcW w:type="dxa" w:w="2458"/>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423 queued cases retained as reference-construction provenance</w:t>
            </w:r>
          </w:p>
        </w:tc>
        <w:tc>
          <w:tcPr>
            <w:tcW w:type="dxa" w:w="2458"/>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De-identified A4 adjudication layer</w:t>
            </w:r>
          </w:p>
        </w:tc>
        <w:tc>
          <w:tcPr>
            <w:tcW w:type="dxa" w:w="2458"/>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A4 is not a fourth independent IAA rater.</w:t>
            </w:r>
          </w:p>
        </w:tc>
      </w:tr>
      <w:tr>
        <w:trPr>
          <w:cantSplit/>
        </w:trPr>
        <w:tc>
          <w:tcPr>
            <w:tcW w:type="dxa" w:w="2458"/>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FINAL GOLD v1.0</w:t>
            </w:r>
          </w:p>
        </w:tc>
        <w:tc>
          <w:tcPr>
            <w:tcW w:type="dxa" w:w="2458"/>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Exact 720 case-level reference decisions</w:t>
            </w:r>
          </w:p>
        </w:tc>
        <w:tc>
          <w:tcPr>
            <w:tcW w:type="dxa" w:w="2458"/>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Reviewer-safe derivative plus erratum</w:t>
            </w:r>
          </w:p>
        </w:tc>
        <w:tc>
          <w:tcPr>
            <w:tcW w:type="dxa" w:w="2458"/>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Historical SUMMARY metadata says 394; authoritative six-field queue/provenance establishes 423; case-level labels unchanged.</w:t>
            </w:r>
          </w:p>
        </w:tc>
      </w:tr>
      <w:tr>
        <w:trPr>
          <w:cantSplit/>
        </w:trPr>
        <w:tc>
          <w:tcPr>
            <w:tcW w:type="dxa" w:w="2458"/>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M0–M2</w:t>
            </w:r>
          </w:p>
        </w:tc>
        <w:tc>
          <w:tcPr>
            <w:tcW w:type="dxa" w:w="2458"/>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Exact paper metrics from archived OOF</w:t>
            </w:r>
          </w:p>
        </w:tc>
        <w:tc>
          <w:tcPr>
            <w:tcW w:type="dxa" w:w="2458"/>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Archived OOF + verification code</w:t>
            </w:r>
          </w:p>
        </w:tc>
        <w:tc>
          <w:tcPr>
            <w:tcW w:type="dxa" w:w="2458"/>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Original historical trainer not retained; fresh retraining is a reconstruction.</w:t>
            </w:r>
          </w:p>
        </w:tc>
      </w:tr>
      <w:tr>
        <w:trPr>
          <w:cantSplit/>
        </w:trPr>
        <w:tc>
          <w:tcPr>
            <w:tcW w:type="dxa" w:w="2458"/>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M3/M4</w:t>
            </w:r>
          </w:p>
        </w:tc>
        <w:tc>
          <w:tcPr>
            <w:tcW w:type="dxa" w:w="2458"/>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Exact archived OOF/reportable protocol reproduction</w:t>
            </w:r>
          </w:p>
        </w:tc>
        <w:tc>
          <w:tcPr>
            <w:tcW w:type="dxa" w:w="2458"/>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Versioned OOF/notebooks/results</w:t>
            </w:r>
          </w:p>
        </w:tc>
        <w:tc>
          <w:tcPr>
            <w:tcW w:type="dxa" w:w="2458"/>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M4 applies to the frozen target-isolated 4-bit NF4 Qwen3-8B protocol; historical generation is separate.</w:t>
            </w:r>
          </w:p>
        </w:tc>
      </w:tr>
      <w:tr>
        <w:trPr>
          <w:cantSplit/>
        </w:trPr>
        <w:tc>
          <w:tcPr>
            <w:tcW w:type="dxa" w:w="2458"/>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IP&amp;M post-hoc follow-ups</w:t>
            </w:r>
          </w:p>
        </w:tc>
        <w:tc>
          <w:tcPr>
            <w:tcW w:type="dxa" w:w="2458"/>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Exact from frozen human/OOF/reference inputs</w:t>
            </w:r>
          </w:p>
        </w:tc>
        <w:tc>
          <w:tcPr>
            <w:tcW w:type="dxa" w:w="2458"/>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code/followup + results/followup</w:t>
            </w:r>
          </w:p>
        </w:tc>
        <w:tc>
          <w:tcPr>
            <w:tcW w:type="dxa" w:w="2458"/>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b w:val="0"/>
                <w:sz w:val="16"/>
              </w:rPr>
              <w:t>Post-hoc validity/sensitivity only; current SHA-256 manifest covers files outside the immutable base bundle.</w:t>
            </w:r>
          </w:p>
        </w:tc>
      </w:tr>
    </w:tbl>
    <w:p w14:paraId="6A44B666">
      <w:pPr>
        <w:spacing w:after="100" w:line="276" w:lineRule="auto"/>
        <w:jc w:val="both"/>
      </w:pPr>
    </w:p>
    <w:p>
      <w:pPr>
        <w:pStyle w:val="2"/>
        <w:keepNext/>
        <w:keepLines/>
      </w:pPr>
      <w:r>
        <w:rPr>
          <w:color w:val="000000"/>
        </w:rPr>
        <w:t>S9. Computational Recovery Protocol and Completed M0–M4 Results</w:t>
      </w:r>
    </w:p>
    <w:p>
      <w:pPr>
        <w:pStyle w:val="3"/>
        <w:keepNext/>
        <w:keepLines/>
      </w:pPr>
      <w:r>
        <w:rPr>
          <w:color w:val="000000"/>
        </w:rPr>
        <w:t>S9.1 Frozen targets and information conditions</w:t>
      </w:r>
    </w:p>
    <w:p>
      <w:pPr>
        <w:widowControl/>
      </w:pPr>
      <w:r>
        <w:t>The computational layer uses four frozen targets derived only from FINAL GOLD v1.0. Fine-grained 15-class prediction is not a primary benchmark because several final categories are absent or too sparse. The three input conditions are A=output only, B=prompt+output, and C=prompt+authorised source/context+output where a source exists. Gold labels, checkpoint identity, annotator/adjudication metadata, ambiguity flags, evidence spans/notes, and rationales are excluded from model inputs.</w:t>
      </w:r>
    </w:p>
    <w:p>
      <w:pPr>
        <w:pStyle w:val="16"/>
        <w:keepNext/>
        <w:keepLines/>
        <w:spacing w:before="120" w:after="60"/>
        <w:jc w:val="left"/>
      </w:pPr>
      <w:r>
        <w:t>Table S51. Frozen computational targets and class distributions.</w:t>
      </w:r>
    </w:p>
    <w:tbl>
      <w:tblPr>
        <w:tblStyle w:val="35"/>
        <w:tblW w:type="auto" w:w="0"/>
        <w:tblLayout w:type="autofit"/>
        <w:tblLook w:firstColumn="1" w:firstRow="1" w:lastColumn="0" w:lastRow="0" w:noHBand="0" w:noVBand="1" w:val="04A0"/>
        <w:jc w:val="center"/>
        <w:tblBorders>
          <w:top w:val="single" w:sz="4" w:color="C7D4E2"/>
          <w:bottom w:val="single" w:sz="4" w:color="C7D4E2"/>
          <w:left w:val="single" w:sz="4" w:color="C7D4E2"/>
          <w:right w:val="single" w:sz="4" w:color="C7D4E2"/>
          <w:insideH w:val="single" w:sz="4" w:color="C7D4E2"/>
          <w:insideV w:val="single" w:sz="3" w:color="C7D4E2"/>
        </w:tblBorders>
      </w:tblPr>
      <w:tblGrid>
        <w:gridCol w:w="2458"/>
        <w:gridCol w:w="2458"/>
        <w:gridCol w:w="2458"/>
        <w:gridCol w:w="2458"/>
      </w:tblGrid>
      <w:tr>
        <w:trPr>
          <w:tblHeader w:val="true"/>
          <w:cantSplit w:val="true"/>
          <w:tblHeader w:val="true"/>
        </w:trPr>
        <w:tc>
          <w:tcPr>
            <w:tcW w:type="dxa" w:w="2458"/>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6"/>
              </w:rPr>
            </w:r>
            <w:r>
              <w:rPr>
                <w:rFonts w:ascii="Times New Roman" w:hAnsi="Times New Roman" w:eastAsia="Times New Roman" w:cs="Times New Roman"/>
                <w:b/>
                <w:color w:val="1E364D"/>
                <w:sz w:val="16"/>
              </w:rPr>
              <w:t>Target</w:t>
            </w:r>
          </w:p>
        </w:tc>
        <w:tc>
          <w:tcPr>
            <w:tcW w:type="dxa" w:w="2458"/>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6"/>
              </w:rPr>
            </w:r>
            <w:r>
              <w:rPr>
                <w:rFonts w:ascii="Times New Roman" w:hAnsi="Times New Roman" w:eastAsia="Times New Roman" w:cs="Times New Roman"/>
                <w:b/>
                <w:color w:val="1E364D"/>
                <w:sz w:val="16"/>
              </w:rPr>
              <w:t>Definition</w:t>
            </w:r>
          </w:p>
        </w:tc>
        <w:tc>
          <w:tcPr>
            <w:tcW w:type="dxa" w:w="2458"/>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6"/>
              </w:rPr>
            </w:r>
            <w:r>
              <w:rPr>
                <w:rFonts w:ascii="Times New Roman" w:hAnsi="Times New Roman" w:eastAsia="Times New Roman" w:cs="Times New Roman"/>
                <w:b/>
                <w:color w:val="1E364D"/>
                <w:sz w:val="16"/>
              </w:rPr>
              <w:t>N / classes</w:t>
            </w:r>
          </w:p>
        </w:tc>
        <w:tc>
          <w:tcPr>
            <w:tcW w:type="dxa" w:w="2458"/>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6"/>
              </w:rPr>
            </w:r>
            <w:r>
              <w:rPr>
                <w:rFonts w:ascii="Times New Roman" w:hAnsi="Times New Roman" w:eastAsia="Times New Roman" w:cs="Times New Roman"/>
                <w:b/>
                <w:color w:val="1E364D"/>
                <w:sz w:val="16"/>
              </w:rPr>
              <w:t>Role</w:t>
            </w:r>
          </w:p>
        </w:tc>
      </w:tr>
      <w:tr>
        <w:trPr>
          <w:cantSplit w:val="true"/>
        </w:trPr>
        <w:tc>
          <w:tcPr>
            <w:tcW w:type="dxa" w:w="2458"/>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T1 Failure detection</w:t>
            </w:r>
          </w:p>
        </w:tc>
        <w:tc>
          <w:tcPr>
            <w:tcW w:type="dxa" w:w="2458"/>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failure vs no_failure</w:t>
            </w:r>
          </w:p>
        </w:tc>
        <w:tc>
          <w:tcPr>
            <w:tcW w:type="dxa" w:w="2458"/>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720: 474 / 246</w:t>
            </w:r>
          </w:p>
        </w:tc>
        <w:tc>
          <w:tcPr>
            <w:tcW w:type="dxa" w:w="2458"/>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Primary</w:t>
            </w:r>
          </w:p>
        </w:tc>
      </w:tr>
      <w:tr>
        <w:trPr>
          <w:cantSplit w:val="true"/>
        </w:trPr>
        <w:tc>
          <w:tcPr>
            <w:tcW w:type="dxa" w:w="2458"/>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T2 Grounding involvement</w:t>
            </w:r>
          </w:p>
        </w:tc>
        <w:tc>
          <w:tcPr>
            <w:tcW w:type="dxa" w:w="2458"/>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semantic_only vs overlap + hallucination_only among failures</w:t>
            </w:r>
          </w:p>
        </w:tc>
        <w:tc>
          <w:tcPr>
            <w:tcW w:type="dxa" w:w="2458"/>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474: 296 / 178</w:t>
            </w:r>
          </w:p>
        </w:tc>
        <w:tc>
          <w:tcPr>
            <w:tcW w:type="dxa" w:w="2458"/>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Primary</w:t>
            </w:r>
          </w:p>
        </w:tc>
      </w:tr>
      <w:tr>
        <w:trPr>
          <w:cantSplit w:val="true"/>
        </w:trPr>
        <w:tc>
          <w:tcPr>
            <w:tcW w:type="dxa" w:w="2458"/>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T3 Mechanism family</w:t>
            </w:r>
          </w:p>
        </w:tc>
        <w:tc>
          <w:tcPr>
            <w:tcW w:type="dxa" w:w="2458"/>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Core SCF vs OVR; HREF/NONE excluded</w:t>
            </w:r>
          </w:p>
        </w:tc>
        <w:tc>
          <w:tcPr>
            <w:tcW w:type="dxa" w:w="2458"/>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460: 333 / 127</w:t>
            </w:r>
          </w:p>
        </w:tc>
        <w:tc>
          <w:tcPr>
            <w:tcW w:type="dxa" w:w="2458"/>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Secondary</w:t>
            </w:r>
          </w:p>
        </w:tc>
      </w:tr>
      <w:tr>
        <w:trPr>
          <w:cantSplit w:val="true"/>
        </w:trPr>
        <w:tc>
          <w:tcPr>
            <w:tcW w:type="dxa" w:w="2458"/>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T4 Functional severity</w:t>
            </w:r>
          </w:p>
        </w:tc>
        <w:tc>
          <w:tcPr>
            <w:tcW w:type="dxa" w:w="2458"/>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severity 1 vs 2 vs 3 among failures</w:t>
            </w:r>
          </w:p>
        </w:tc>
        <w:tc>
          <w:tcPr>
            <w:tcW w:type="dxa" w:w="2458"/>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474: 66 / 196 / 212</w:t>
            </w:r>
          </w:p>
        </w:tc>
        <w:tc>
          <w:tcPr>
            <w:tcW w:type="dxa" w:w="2458"/>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Secondary ordinal</w:t>
            </w:r>
          </w:p>
        </w:tc>
      </w:tr>
    </w:tbl>
    <w:p>
      <w:pPr>
        <w:widowControl/>
      </w:pPr>
      <w:r>
        <w:t>The target-specific fold audit in Table S52 verifies class support after gold-eligibility filtering. Every outer fold retains every target class; the smallest retained fold-class cell contains 11 severity-1 cases in T4.</w:t>
      </w:r>
    </w:p>
    <w:p>
      <w:pPr>
        <w:keepNext/>
      </w:pPr>
      <w:r>
        <w:t>Table S52. Fold-by-class composition after gold-eligibility filtering.</w:t>
      </w:r>
    </w:p>
    <w:tbl>
      <w:tblPr>
        <w:tblStyle w:val="35"/>
        <w:tblW w:type="auto" w:w="0"/>
        <w:jc w:val="center"/>
        <w:tblLayout w:type="autofit"/>
        <w:tblLook w:firstColumn="1" w:firstRow="1" w:lastColumn="0" w:lastRow="0" w:noHBand="0" w:noVBand="1" w:val="04A0"/>
        <w:tblBorders>
          <w:top w:val="single" w:sz="4" w:color="C7D4E2"/>
          <w:bottom w:val="single" w:sz="4" w:color="C7D4E2"/>
          <w:left w:val="single" w:sz="4" w:color="C7D4E2"/>
          <w:right w:val="single" w:sz="4" w:color="C7D4E2"/>
          <w:insideH w:val="single" w:sz="4" w:color="C7D4E2"/>
          <w:insideV w:val="single" w:sz="3" w:color="C7D4E2"/>
        </w:tblBorders>
      </w:tblPr>
      <w:tblGrid>
        <w:gridCol w:w="1966"/>
        <w:gridCol w:w="1966"/>
        <w:gridCol w:w="1966"/>
        <w:gridCol w:w="1966"/>
        <w:gridCol w:w="1966"/>
      </w:tblGrid>
      <w:tr>
        <w:trPr>
          <w:cantSplit/>
          <w:tblHeader w:val="true"/>
          <w:tblHeader w:val="true"/>
        </w:trPr>
        <w:tc>
          <w:tcPr>
            <w:tcW w:type="dxa" w:w="1966"/>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t>Target</w:t>
            </w:r>
          </w:p>
        </w:tc>
        <w:tc>
          <w:tcPr>
            <w:tcW w:type="dxa" w:w="1966"/>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t>Fold</w:t>
            </w:r>
          </w:p>
        </w:tc>
        <w:tc>
          <w:tcPr>
            <w:tcW w:type="dxa" w:w="1966"/>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t>Rows</w:t>
            </w:r>
          </w:p>
        </w:tc>
        <w:tc>
          <w:tcPr>
            <w:tcW w:type="dxa" w:w="1966"/>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t>Prompt clusters</w:t>
            </w:r>
          </w:p>
        </w:tc>
        <w:tc>
          <w:tcPr>
            <w:tcW w:type="dxa" w:w="1966"/>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t>Class counts</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b w:val="0"/>
                <w:sz w:val="15"/>
              </w:rPr>
              <w:t>T1</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0</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144</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24</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0: 44; 1: 100</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b w:val="0"/>
                <w:sz w:val="15"/>
              </w:rPr>
              <w:t>T1</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1</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144</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24</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0: 47; 1: 97</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b w:val="0"/>
                <w:sz w:val="15"/>
              </w:rPr>
              <w:t>T1</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2</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144</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24</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0: 40; 1: 104</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b w:val="0"/>
                <w:sz w:val="15"/>
              </w:rPr>
              <w:t>T1</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3</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144</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24</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0: 59; 1: 85</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b w:val="0"/>
                <w:sz w:val="15"/>
              </w:rPr>
              <w:t>T1</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4</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144</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24</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0: 56; 1: 88</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b w:val="0"/>
                <w:sz w:val="15"/>
              </w:rPr>
              <w:t>T2</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0</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100</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24</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0: 57; 1: 43</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b w:val="0"/>
                <w:sz w:val="15"/>
              </w:rPr>
              <w:t>T2</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1</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97</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24</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0: 63; 1: 34</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b w:val="0"/>
                <w:sz w:val="15"/>
              </w:rPr>
              <w:t>T2</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2</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104</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24</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0: 65; 1: 39</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b w:val="0"/>
                <w:sz w:val="15"/>
              </w:rPr>
              <w:t>T2</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3</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85</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24</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0: 54; 1: 31</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b w:val="0"/>
                <w:sz w:val="15"/>
              </w:rPr>
              <w:t>T2</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4</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88</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24</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0: 57; 1: 31</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b w:val="0"/>
                <w:sz w:val="15"/>
              </w:rPr>
              <w:t>T3</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0</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97</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24</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0: 69; 1: 28</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b w:val="0"/>
                <w:sz w:val="15"/>
              </w:rPr>
              <w:t>T3</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1</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94</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24</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0: 73; 1: 21</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b w:val="0"/>
                <w:sz w:val="15"/>
              </w:rPr>
              <w:t>T3</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2</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103</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24</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0: 66; 1: 37</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b w:val="0"/>
                <w:sz w:val="15"/>
              </w:rPr>
              <w:t>T3</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3</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82</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24</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0: 62; 1: 20</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b w:val="0"/>
                <w:sz w:val="15"/>
              </w:rPr>
              <w:t>T3</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4</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84</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24</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0: 63; 1: 21</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b w:val="0"/>
                <w:sz w:val="15"/>
              </w:rPr>
              <w:t>T4</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0</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100</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24</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1: 12; 2: 44; 3: 44</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b w:val="0"/>
                <w:sz w:val="15"/>
              </w:rPr>
              <w:t>T4</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1</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97</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24</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1: 16; 2: 40; 3: 41</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b w:val="0"/>
                <w:sz w:val="15"/>
              </w:rPr>
              <w:t>T4</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2</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104</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24</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1: 15; 2: 38; 3: 51</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b w:val="0"/>
                <w:sz w:val="15"/>
              </w:rPr>
              <w:t>T4</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3</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85</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24</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1: 12; 2: 33; 3: 40</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b w:val="0"/>
                <w:sz w:val="15"/>
              </w:rPr>
              <w:t>T4</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4</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88</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24</w:t>
            </w:r>
          </w:p>
        </w:tc>
        <w:tc>
          <w:tcPr>
            <w:tcW w:type="dxa" w:w="1966"/>
            <w:vAlign w:val="center"/>
            <w:tcMar>
              <w:top w:w="65" w:type="dxa"/>
              <w:start w:w="68" w:type="dxa"/>
              <w:bottom w:w="65" w:type="dxa"/>
              <w:end w:w="68" w:type="dxa"/>
            </w:tcMar>
          </w:tcPr>
          <w:p>
            <w:pPr>
              <w:spacing w:after="0" w:before="0"/>
            </w:pPr>
            <w:r>
              <w:rPr>
                <w:rFonts w:ascii="Times New Roman" w:hAnsi="Times New Roman"/>
                <w:b w:val="0"/>
                <w:sz w:val="15"/>
              </w:rPr>
              <w:t>1: 11; 2: 41; 3: 36</w:t>
            </w:r>
          </w:p>
        </w:tc>
      </w:tr>
    </w:tbl>
    <w:p>
      <w:pPr>
        <w:pStyle w:val="3"/>
        <w:keepNext/>
        <w:keepLines/>
      </w:pPr>
      <w:r>
        <w:rPr>
          <w:color w:val="000000"/>
        </w:rPr>
        <w:t>S9.2 Grouped evaluation and leakage sensitivity</w:t>
      </w:r>
    </w:p>
    <w:p>
      <w:pPr>
        <w:widowControl/>
      </w:pPr>
      <w:r>
        <w:t>Five task-balanced Prompt_ID outer folds are frozen, with 24 prompt clusters (four per task) per fold before target-specific filtering. All six checkpoint outputs derived from the same prompt remain together. M0–M2 and M3 use these same folds. M4 is zero-shot and is never fitted to study labels; Prompt_ID is retained for paired population alignment and cluster-based uncertainty. Cross-fold leakage sensitivity combines exact normalised duplicate checks, word/character TF-IDF similarity, and a pretrained sentence-embedding audit. These diagnostics identify obvious duplicate/high-similarity leakage but cannot prove the absence of all latent semantic equivalence.</w:t>
      </w:r>
    </w:p>
    <w:p>
      <w:pPr>
        <w:pStyle w:val="16"/>
        <w:keepNext/>
        <w:keepLines/>
        <w:spacing w:before="120" w:after="60"/>
        <w:jc w:val="left"/>
      </w:pPr>
      <w:r>
        <w:t>Table S53. Cross-fold leakage sensitivity audit.</w:t>
      </w:r>
    </w:p>
    <w:tbl>
      <w:tblPr>
        <w:tblStyle w:val="35"/>
        <w:tblW w:type="auto" w:w="0"/>
        <w:tblLayout w:type="autofit"/>
        <w:tblLook w:firstColumn="1" w:firstRow="1" w:lastColumn="0" w:lastRow="0" w:noHBand="0" w:noVBand="1" w:val="04A0"/>
        <w:jc w:val="center"/>
        <w:tblBorders>
          <w:top w:val="single" w:sz="4" w:color="C7D4E2"/>
          <w:bottom w:val="single" w:sz="4" w:color="C7D4E2"/>
          <w:left w:val="single" w:sz="4" w:color="C7D4E2"/>
          <w:right w:val="single" w:sz="4" w:color="C7D4E2"/>
          <w:insideH w:val="single" w:sz="4" w:color="C7D4E2"/>
          <w:insideV w:val="single" w:sz="3" w:color="C7D4E2"/>
        </w:tblBorders>
      </w:tblPr>
      <w:tblGrid>
        <w:gridCol w:w="3277"/>
        <w:gridCol w:w="3277"/>
        <w:gridCol w:w="3277"/>
      </w:tblGrid>
      <w:tr>
        <w:trPr>
          <w:tblHeader w:val="true"/>
          <w:cantSplit w:val="true"/>
          <w:tblHeader w:val="true"/>
        </w:trPr>
        <w:tc>
          <w:tcPr>
            <w:tcW w:type="dxa" w:w="3277"/>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6"/>
              </w:rPr>
            </w:r>
            <w:r>
              <w:rPr>
                <w:rFonts w:ascii="Times New Roman" w:hAnsi="Times New Roman" w:eastAsia="Times New Roman" w:cs="Times New Roman"/>
                <w:b/>
                <w:color w:val="1E364D"/>
                <w:sz w:val="16"/>
              </w:rPr>
              <w:t>Representation / audit</w:t>
            </w:r>
          </w:p>
        </w:tc>
        <w:tc>
          <w:tcPr>
            <w:tcW w:type="dxa" w:w="3277"/>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6"/>
              </w:rPr>
            </w:r>
            <w:r>
              <w:rPr>
                <w:rFonts w:ascii="Times New Roman" w:hAnsi="Times New Roman" w:eastAsia="Times New Roman" w:cs="Times New Roman"/>
                <w:b/>
                <w:color w:val="1E364D"/>
                <w:sz w:val="16"/>
              </w:rPr>
              <w:t>Maximum cross-fold similarity</w:t>
            </w:r>
          </w:p>
        </w:tc>
        <w:tc>
          <w:tcPr>
            <w:tcW w:type="dxa" w:w="3277"/>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6"/>
              </w:rPr>
            </w:r>
            <w:r>
              <w:rPr>
                <w:rFonts w:ascii="Times New Roman" w:hAnsi="Times New Roman" w:eastAsia="Times New Roman" w:cs="Times New Roman"/>
                <w:b/>
                <w:color w:val="1E364D"/>
                <w:sz w:val="16"/>
              </w:rPr>
              <w:t>Threshold result</w:t>
            </w:r>
          </w:p>
        </w:tc>
      </w:tr>
      <w:tr>
        <w:trPr>
          <w:cantSplit w:val="true"/>
        </w:trPr>
        <w:tc>
          <w:tcPr>
            <w:tcW w:type="dxa" w:w="3277"/>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Prompt only: word/character TF-IDF combined</w:t>
            </w:r>
          </w:p>
        </w:tc>
        <w:tc>
          <w:tcPr>
            <w:tcW w:type="dxa" w:w="3277"/>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0.629</w:t>
            </w:r>
          </w:p>
        </w:tc>
        <w:tc>
          <w:tcPr>
            <w:tcW w:type="dxa" w:w="3277"/>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No combined pair ≥0.70</w:t>
            </w:r>
          </w:p>
        </w:tc>
      </w:tr>
      <w:tr>
        <w:trPr>
          <w:cantSplit w:val="true"/>
        </w:trPr>
        <w:tc>
          <w:tcPr>
            <w:tcW w:type="dxa" w:w="3277"/>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Prompt + authorised source: word/character combined</w:t>
            </w:r>
          </w:p>
        </w:tc>
        <w:tc>
          <w:tcPr>
            <w:tcW w:type="dxa" w:w="3277"/>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0.315</w:t>
            </w:r>
          </w:p>
        </w:tc>
        <w:tc>
          <w:tcPr>
            <w:tcW w:type="dxa" w:w="3277"/>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No combined pair ≥0.70</w:t>
            </w:r>
          </w:p>
        </w:tc>
      </w:tr>
      <w:tr>
        <w:trPr>
          <w:cantSplit w:val="true"/>
        </w:trPr>
        <w:tc>
          <w:tcPr>
            <w:tcW w:type="dxa" w:w="3277"/>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Prompt only: sentence embedding cosine</w:t>
            </w:r>
          </w:p>
        </w:tc>
        <w:tc>
          <w:tcPr>
            <w:tcW w:type="dxa" w:w="3277"/>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0.797</w:t>
            </w:r>
          </w:p>
        </w:tc>
        <w:tc>
          <w:tcPr>
            <w:tcW w:type="dxa" w:w="3277"/>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0 pairs ≥0.80 (also none ≥.85/.90/.95)</w:t>
            </w:r>
          </w:p>
        </w:tc>
      </w:tr>
      <w:tr>
        <w:trPr>
          <w:cantSplit w:val="true"/>
        </w:trPr>
        <w:tc>
          <w:tcPr>
            <w:tcW w:type="dxa" w:w="3277"/>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Prompt + authorised source: sentence embedding cosine</w:t>
            </w:r>
          </w:p>
        </w:tc>
        <w:tc>
          <w:tcPr>
            <w:tcW w:type="dxa" w:w="3277"/>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0.626</w:t>
            </w:r>
          </w:p>
        </w:tc>
        <w:tc>
          <w:tcPr>
            <w:tcW w:type="dxa" w:w="3277"/>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0 pairs ≥0.80 (also none ≥.85/.90/.95)</w:t>
            </w:r>
          </w:p>
        </w:tc>
      </w:tr>
    </w:tbl>
    <w:p>
      <w:pPr>
        <w:pStyle w:val="4"/>
        <w:keepNext/>
        <w:keepLines/>
      </w:pPr>
      <w:r>
        <w:rPr>
          <w:color w:val="000000"/>
        </w:rPr>
        <w:t>S9.2.1 Mathematical definitions for leakage and similarity audits</w:t>
      </w:r>
    </w:p>
    <w:p>
      <w:pPr>
        <w:widowControl/>
      </w:pPr>
      <w:r>
        <w:t>The main article retains only the Prompt_ID grouping constraint because it defines the estimand. The standard leakage-audit equations are documented here for reproducibility. Let N(·) denote deterministic text normalisation and F(i) the frozen fold assignment. Exact cross-fold prompt and prompt-plus-source duplicate indicators are:</w:t>
      </w:r>
    </w:p>
    <w:p>
      <w:pPr>
        <w:keepNext w:val="0"/>
        <w:keepLines/>
        <w:spacing w:before="50" w:after="40"/>
        <w:tabs>
          <w:tab w:val="center" w:pos="4729"/>
          <w:tab w:val="right" w:pos="9458"/>
        </w:tabs>
      </w:pPr>
      <w:r>
        <w:tab/>
      </w:r>
      <m:oMath>
        <m:sSub>
          <m:e>
            <m:r>
              <m:t>D</m:t>
            </m:r>
          </m:e>
          <m:sub>
            <m:r>
              <m:t>p</m:t>
            </m:r>
          </m:sub>
        </m:sSub>
        <m:d>
          <m:dPr>
            <m:begChr m:val="("/>
            <m:endChr m:val=")"/>
            <m:sepChr m:val=""/>
            <m:grow/>
          </m:dPr>
          <m:e>
            <m:r>
              <m:t>i</m:t>
            </m:r>
            <m:r>
              <m:rPr>
                <m:sty m:val="p"/>
              </m:rPr>
              <m:t>,</m:t>
            </m:r>
            <m:r>
              <m:t>j</m:t>
            </m:r>
          </m:e>
        </m:d>
        <m:r>
          <m:rPr>
            <m:sty m:val="p"/>
          </m:rPr>
          <m:t>=</m:t>
        </m:r>
        <m:r>
          <m:rPr>
            <m:sty m:val="p"/>
            <m:scr m:val="double-struck"/>
          </m:rPr>
          <m:t>1</m:t>
        </m:r>
        <m:d>
          <m:dPr>
            <m:begChr m:val="["/>
            <m:endChr m:val="]"/>
            <m:sepChr m:val=""/>
            <m:grow/>
          </m:dPr>
          <m:e>
            <m:r>
              <m:t>F</m:t>
            </m:r>
            <m:d>
              <m:dPr>
                <m:begChr m:val="("/>
                <m:endChr m:val=")"/>
                <m:sepChr m:val=""/>
                <m:grow/>
              </m:dPr>
              <m:e>
                <m:r>
                  <m:t>i</m:t>
                </m:r>
              </m:e>
            </m:d>
            <m:r>
              <m:rPr>
                <m:sty m:val="p"/>
              </m:rPr>
              <m:t>≠</m:t>
            </m:r>
            <m:r>
              <m:t>F</m:t>
            </m:r>
            <m:d>
              <m:dPr>
                <m:begChr m:val="("/>
                <m:endChr m:val=")"/>
                <m:sepChr m:val=""/>
                <m:grow/>
              </m:dPr>
              <m:e>
                <m:r>
                  <m:t>j</m:t>
                </m:r>
              </m:e>
            </m:d>
            <m:r>
              <m:rPr>
                <m:sty m:val="p"/>
              </m:rPr>
              <m:t>∧</m:t>
            </m:r>
            <m:r>
              <m:t>N</m:t>
            </m:r>
            <m:d>
              <m:dPr>
                <m:begChr m:val="("/>
                <m:endChr m:val=")"/>
                <m:sepChr m:val=""/>
                <m:grow/>
              </m:dPr>
              <m:e>
                <m:sSub>
                  <m:e>
                    <m:r>
                      <m:t>p</m:t>
                    </m:r>
                  </m:e>
                  <m:sub>
                    <m:r>
                      <m:t>i</m:t>
                    </m:r>
                  </m:sub>
                </m:sSub>
              </m:e>
            </m:d>
            <m:r>
              <m:rPr>
                <m:sty m:val="p"/>
              </m:rPr>
              <m:t>=</m:t>
            </m:r>
            <m:r>
              <m:t>N</m:t>
            </m:r>
            <m:d>
              <m:dPr>
                <m:begChr m:val="("/>
                <m:endChr m:val=")"/>
                <m:sepChr m:val=""/>
                <m:grow/>
              </m:dPr>
              <m:e>
                <m:sSub>
                  <m:e>
                    <m:r>
                      <m:t>p</m:t>
                    </m:r>
                  </m:e>
                  <m:sub>
                    <m:r>
                      <m:t>j</m:t>
                    </m:r>
                  </m:sub>
                </m:sSub>
              </m:e>
            </m:d>
          </m:e>
        </m:d>
      </m:oMath>
      <w:r>
        <w:tab/>
      </w:r>
      <w:r>
        <w:rPr>
          <w:rFonts w:ascii="Times New Roman" w:hAnsi="Times New Roman" w:eastAsia="Times New Roman" w:cs="Times New Roman"/>
          <w:sz w:val="21"/>
          <w:szCs w:val="21"/>
        </w:rPr>
        <w:t>(S1)</w:t>
      </w:r>
    </w:p>
    <w:p>
      <w:pPr>
        <w:keepNext w:val="0"/>
        <w:keepLines/>
        <w:spacing w:before="50" w:after="40"/>
        <w:tabs>
          <w:tab w:val="center" w:pos="4729"/>
          <w:tab w:val="right" w:pos="9458"/>
        </w:tabs>
      </w:pPr>
      <w:r>
        <w:tab/>
      </w:r>
      <m:oMath>
        <m:sSub>
          <m:e>
            <m:r>
              <m:t>D</m:t>
            </m:r>
          </m:e>
          <m:sub>
            <m:r>
              <m:t>p</m:t>
            </m:r>
            <m:r>
              <m:rPr>
                <m:sty m:val="p"/>
              </m:rPr>
              <m:t>+</m:t>
            </m:r>
            <m:r>
              <m:t>s</m:t>
            </m:r>
          </m:sub>
        </m:sSub>
        <m:d>
          <m:dPr>
            <m:begChr m:val="("/>
            <m:endChr m:val=")"/>
            <m:sepChr m:val=""/>
            <m:grow/>
          </m:dPr>
          <m:e>
            <m:r>
              <m:t>i</m:t>
            </m:r>
            <m:r>
              <m:rPr>
                <m:sty m:val="p"/>
              </m:rPr>
              <m:t>,</m:t>
            </m:r>
            <m:r>
              <m:t>j</m:t>
            </m:r>
          </m:e>
        </m:d>
        <m:r>
          <m:rPr>
            <m:sty m:val="p"/>
          </m:rPr>
          <m:t>=</m:t>
        </m:r>
        <m:r>
          <m:rPr>
            <m:sty m:val="p"/>
            <m:scr m:val="double-struck"/>
          </m:rPr>
          <m:t>1</m:t>
        </m:r>
        <m:d>
          <m:dPr>
            <m:begChr m:val="["/>
            <m:endChr m:val="]"/>
            <m:sepChr m:val=""/>
            <m:grow/>
          </m:dPr>
          <m:e>
            <m:r>
              <m:t>F</m:t>
            </m:r>
            <m:d>
              <m:dPr>
                <m:begChr m:val="("/>
                <m:endChr m:val=")"/>
                <m:sepChr m:val=""/>
                <m:grow/>
              </m:dPr>
              <m:e>
                <m:r>
                  <m:t>i</m:t>
                </m:r>
              </m:e>
            </m:d>
            <m:r>
              <m:rPr>
                <m:sty m:val="p"/>
              </m:rPr>
              <m:t>≠</m:t>
            </m:r>
            <m:r>
              <m:t>F</m:t>
            </m:r>
            <m:d>
              <m:dPr>
                <m:begChr m:val="("/>
                <m:endChr m:val=")"/>
                <m:sepChr m:val=""/>
                <m:grow/>
              </m:dPr>
              <m:e>
                <m:r>
                  <m:t>j</m:t>
                </m:r>
              </m:e>
            </m:d>
            <m:r>
              <m:rPr>
                <m:sty m:val="p"/>
              </m:rPr>
              <m:t>∧</m:t>
            </m:r>
            <m:r>
              <m:t>N</m:t>
            </m:r>
            <m:d>
              <m:dPr>
                <m:begChr m:val="("/>
                <m:endChr m:val=")"/>
                <m:sepChr m:val=""/>
                <m:grow/>
              </m:dPr>
              <m:e>
                <m:d>
                  <m:dPr>
                    <m:begChr m:val="["/>
                    <m:endChr m:val="]"/>
                    <m:sepChr m:val=""/>
                    <m:grow/>
                  </m:dPr>
                  <m:e>
                    <m:sSub>
                      <m:e>
                        <m:r>
                          <m:t>p</m:t>
                        </m:r>
                      </m:e>
                      <m:sub>
                        <m:r>
                          <m:t>i</m:t>
                        </m:r>
                      </m:sub>
                    </m:sSub>
                    <m:r>
                      <m:rPr>
                        <m:sty m:val="p"/>
                      </m:rPr>
                      <m:t>;</m:t>
                    </m:r>
                    <m:sSub>
                      <m:e>
                        <m:r>
                          <m:t>s</m:t>
                        </m:r>
                      </m:e>
                      <m:sub>
                        <m:r>
                          <m:t>i</m:t>
                        </m:r>
                      </m:sub>
                    </m:sSub>
                  </m:e>
                </m:d>
              </m:e>
            </m:d>
            <m:r>
              <m:rPr>
                <m:sty m:val="p"/>
              </m:rPr>
              <m:t>=</m:t>
            </m:r>
            <m:r>
              <m:t>N</m:t>
            </m:r>
            <m:d>
              <m:dPr>
                <m:begChr m:val="("/>
                <m:endChr m:val=")"/>
                <m:sepChr m:val=""/>
                <m:grow/>
              </m:dPr>
              <m:e>
                <m:d>
                  <m:dPr>
                    <m:begChr m:val="["/>
                    <m:endChr m:val="]"/>
                    <m:sepChr m:val=""/>
                    <m:grow/>
                  </m:dPr>
                  <m:e>
                    <m:sSub>
                      <m:e>
                        <m:r>
                          <m:t>p</m:t>
                        </m:r>
                      </m:e>
                      <m:sub>
                        <m:r>
                          <m:t>j</m:t>
                        </m:r>
                      </m:sub>
                    </m:sSub>
                    <m:r>
                      <m:rPr>
                        <m:sty m:val="p"/>
                      </m:rPr>
                      <m:t>;</m:t>
                    </m:r>
                    <m:sSub>
                      <m:e>
                        <m:r>
                          <m:t>s</m:t>
                        </m:r>
                      </m:e>
                      <m:sub>
                        <m:r>
                          <m:t>j</m:t>
                        </m:r>
                      </m:sub>
                    </m:sSub>
                  </m:e>
                </m:d>
              </m:e>
            </m:d>
          </m:e>
        </m:d>
      </m:oMath>
      <w:r>
        <w:tab/>
      </w:r>
      <w:r>
        <w:rPr>
          <w:rFonts w:ascii="Times New Roman" w:hAnsi="Times New Roman" w:eastAsia="Times New Roman" w:cs="Times New Roman"/>
          <w:sz w:val="21"/>
          <w:szCs w:val="21"/>
        </w:rPr>
        <w:t>(S2)</w:t>
      </w:r>
    </w:p>
    <w:p>
      <w:pPr>
        <w:widowControl/>
      </w:pPr>
      <w:r>
        <w:t>A value of 1 indicates an exact normalised duplicate across different folds; the prompt-plus-source form is applied only to source-bearing items. Word- and character-level TF-IDF near-duplicate audits use cosine similarity:</w:t>
      </w:r>
    </w:p>
    <w:p>
      <w:pPr>
        <w:keepNext w:val="0"/>
        <w:keepLines/>
        <w:spacing w:before="50" w:after="40"/>
        <w:tabs>
          <w:tab w:val="center" w:pos="4729"/>
          <w:tab w:val="right" w:pos="9458"/>
        </w:tabs>
      </w:pPr>
      <w:r>
        <w:tab/>
      </w:r>
      <m:oMath>
        <m:sSubSup>
          <m:e>
            <m:r>
              <m:rPr>
                <m:sty m:val="p"/>
              </m:rPr>
              <m:t>s</m:t>
            </m:r>
            <m:r>
              <m:rPr>
                <m:sty m:val="p"/>
              </m:rPr>
              <m:t>i</m:t>
            </m:r>
            <m:r>
              <m:rPr>
                <m:sty m:val="p"/>
              </m:rPr>
              <m:t>m</m:t>
            </m:r>
          </m:e>
          <m:sub>
            <m:r>
              <m:rPr>
                <m:sty m:val="p"/>
              </m:rPr>
              <m:t>l</m:t>
            </m:r>
            <m:r>
              <m:rPr>
                <m:sty m:val="p"/>
              </m:rPr>
              <m:t>e</m:t>
            </m:r>
            <m:r>
              <m:rPr>
                <m:sty m:val="p"/>
              </m:rPr>
              <m:t>x</m:t>
            </m:r>
          </m:sub>
          <m:sup>
            <m:d>
              <m:dPr>
                <m:begChr m:val="("/>
                <m:endChr m:val=")"/>
                <m:sepChr m:val=""/>
                <m:grow/>
              </m:dPr>
              <m:e>
                <m:r>
                  <m:t>r</m:t>
                </m:r>
              </m:e>
            </m:d>
          </m:sup>
        </m:sSubSup>
        <m:d>
          <m:dPr>
            <m:begChr m:val="("/>
            <m:endChr m:val=")"/>
            <m:sepChr m:val=""/>
            <m:grow/>
          </m:dPr>
          <m:e>
            <m:r>
              <m:t>i</m:t>
            </m:r>
            <m:r>
              <m:rPr>
                <m:sty m:val="p"/>
              </m:rPr>
              <m:t>,</m:t>
            </m:r>
            <m:r>
              <m:t>j</m:t>
            </m:r>
          </m:e>
        </m:d>
        <m:r>
          <m:rPr>
            <m:sty m:val="p"/>
          </m:rPr>
          <m:t>=</m:t>
        </m:r>
        <m:f>
          <m:fPr>
            <m:type m:val="bar"/>
          </m:fPr>
          <m:num>
            <m:sSubSup>
              <m:e>
                <m:r>
                  <m:rPr>
                    <m:sty m:val="b"/>
                  </m:rPr>
                  <m:t>v</m:t>
                </m:r>
              </m:e>
              <m:sub>
                <m:r>
                  <m:t>i</m:t>
                </m:r>
              </m:sub>
              <m:sup>
                <m:d>
                  <m:dPr>
                    <m:begChr m:val="("/>
                    <m:endChr m:val=")"/>
                    <m:sepChr m:val=""/>
                    <m:grow/>
                  </m:dPr>
                  <m:e>
                    <m:r>
                      <m:t>r</m:t>
                    </m:r>
                  </m:e>
                </m:d>
                <m:r>
                  <m:rPr>
                    <m:sty m:val="p"/>
                  </m:rPr>
                  <m:t>⊤</m:t>
                </m:r>
              </m:sup>
            </m:sSubSup>
            <m:sSubSup>
              <m:e>
                <m:r>
                  <m:rPr>
                    <m:sty m:val="b"/>
                  </m:rPr>
                  <m:t>v</m:t>
                </m:r>
              </m:e>
              <m:sub>
                <m:r>
                  <m:t>j</m:t>
                </m:r>
              </m:sub>
              <m:sup>
                <m:d>
                  <m:dPr>
                    <m:begChr m:val="("/>
                    <m:endChr m:val=")"/>
                    <m:sepChr m:val=""/>
                    <m:grow/>
                  </m:dPr>
                  <m:e>
                    <m:r>
                      <m:t>r</m:t>
                    </m:r>
                  </m:e>
                </m:d>
              </m:sup>
            </m:sSubSup>
          </m:num>
          <m:den>
            <m:r>
              <m:rPr>
                <m:sty m:val="p"/>
              </m:rPr>
              <m:t>∥</m:t>
            </m:r>
            <m:sSubSup>
              <m:e>
                <m:r>
                  <m:rPr>
                    <m:sty m:val="b"/>
                  </m:rPr>
                  <m:t>v</m:t>
                </m:r>
              </m:e>
              <m:sub>
                <m:r>
                  <m:t>i</m:t>
                </m:r>
              </m:sub>
              <m:sup>
                <m:d>
                  <m:dPr>
                    <m:begChr m:val="("/>
                    <m:endChr m:val=")"/>
                    <m:sepChr m:val=""/>
                    <m:grow/>
                  </m:dPr>
                  <m:e>
                    <m:r>
                      <m:t>r</m:t>
                    </m:r>
                  </m:e>
                </m:d>
              </m:sup>
            </m:sSubSup>
            <m:sSub>
              <m:e>
                <m:r>
                  <m:rPr>
                    <m:sty m:val="p"/>
                  </m:rPr>
                  <m:t>∥</m:t>
                </m:r>
              </m:e>
              <m:sub>
                <m:r>
                  <m:t>2</m:t>
                </m:r>
              </m:sub>
            </m:sSub>
            <m:r>
              <m:rPr>
                <m:sty m:val="p"/>
              </m:rPr>
              <m:t>∥</m:t>
            </m:r>
            <m:sSubSup>
              <m:e>
                <m:r>
                  <m:rPr>
                    <m:sty m:val="b"/>
                  </m:rPr>
                  <m:t>v</m:t>
                </m:r>
              </m:e>
              <m:sub>
                <m:r>
                  <m:t>j</m:t>
                </m:r>
              </m:sub>
              <m:sup>
                <m:d>
                  <m:dPr>
                    <m:begChr m:val="("/>
                    <m:endChr m:val=")"/>
                    <m:sepChr m:val=""/>
                    <m:grow/>
                  </m:dPr>
                  <m:e>
                    <m:r>
                      <m:t>r</m:t>
                    </m:r>
                  </m:e>
                </m:d>
              </m:sup>
            </m:sSubSup>
            <m:sSub>
              <m:e>
                <m:r>
                  <m:rPr>
                    <m:sty m:val="p"/>
                  </m:rPr>
                  <m:t>∥</m:t>
                </m:r>
              </m:e>
              <m:sub>
                <m:r>
                  <m:t>2</m:t>
                </m:r>
              </m:sub>
            </m:sSub>
          </m:den>
        </m:f>
        <m:r>
          <m:rPr>
            <m:sty m:val="p"/>
          </m:rPr>
          <m:t>,</m:t>
        </m:r>
        <m:r>
          <m:t> </m:t>
        </m:r>
        <m:r>
          <m:t>r</m:t>
        </m:r>
        <m:r>
          <m:rPr>
            <m:sty m:val="p"/>
          </m:rPr>
          <m:t>∈</m:t>
        </m:r>
        <m:r>
          <m:rPr>
            <m:sty m:val="p"/>
          </m:rPr>
          <m:t>{</m:t>
        </m:r>
        <m:r>
          <m:rPr>
            <m:sty m:val="p"/>
          </m:rPr>
          <m:t>w</m:t>
        </m:r>
        <m:r>
          <m:rPr>
            <m:sty m:val="p"/>
          </m:rPr>
          <m:t>o</m:t>
        </m:r>
        <m:r>
          <m:rPr>
            <m:sty m:val="p"/>
          </m:rPr>
          <m:t>r</m:t>
        </m:r>
        <m:r>
          <m:rPr>
            <m:sty m:val="p"/>
          </m:rPr>
          <m:t>d</m:t>
        </m:r>
        <m:r>
          <m:rPr>
            <m:sty m:val="p"/>
          </m:rPr>
          <m:t>,</m:t>
        </m:r>
        <m:r>
          <m:rPr>
            <m:sty m:val="p"/>
          </m:rPr>
          <m:t>c</m:t>
        </m:r>
        <m:r>
          <m:rPr>
            <m:sty m:val="p"/>
          </m:rPr>
          <m:t>h</m:t>
        </m:r>
        <m:r>
          <m:rPr>
            <m:sty m:val="p"/>
          </m:rPr>
          <m:t>a</m:t>
        </m:r>
        <m:r>
          <m:rPr>
            <m:sty m:val="p"/>
          </m:rPr>
          <m:t>r</m:t>
        </m:r>
        <m:r>
          <m:rPr>
            <m:sty m:val="p"/>
          </m:rPr>
          <m:t>}</m:t>
        </m:r>
        <m:r>
          <m:rPr>
            <m:sty m:val="p"/>
          </m:rPr>
          <m:t>,</m:t>
        </m:r>
        <m:r>
          <m:t> </m:t>
        </m:r>
        <m:r>
          <m:t>F</m:t>
        </m:r>
        <m:d>
          <m:dPr>
            <m:begChr m:val="("/>
            <m:endChr m:val=")"/>
            <m:sepChr m:val=""/>
            <m:grow/>
          </m:dPr>
          <m:e>
            <m:r>
              <m:t>i</m:t>
            </m:r>
          </m:e>
        </m:d>
        <m:r>
          <m:rPr>
            <m:sty m:val="p"/>
          </m:rPr>
          <m:t>≠</m:t>
        </m:r>
        <m:r>
          <m:t>F</m:t>
        </m:r>
        <m:d>
          <m:dPr>
            <m:begChr m:val="("/>
            <m:endChr m:val=")"/>
            <m:sepChr m:val=""/>
            <m:grow/>
          </m:dPr>
          <m:e>
            <m:r>
              <m:t>j</m:t>
            </m:r>
          </m:e>
        </m:d>
      </m:oMath>
      <w:r>
        <w:tab/>
      </w:r>
      <w:r>
        <w:rPr>
          <w:rFonts w:ascii="Times New Roman" w:hAnsi="Times New Roman" w:eastAsia="Times New Roman" w:cs="Times New Roman"/>
          <w:sz w:val="21"/>
          <w:szCs w:val="21"/>
        </w:rPr>
        <w:t>(S3)</w:t>
      </w:r>
    </w:p>
    <w:p>
      <w:r>
        <w:t>A pretrained sentence encoder supplies the complementary semantic-similarity audit:</w:t>
      </w:r>
    </w:p>
    <w:p>
      <w:pPr>
        <w:keepNext w:val="0"/>
        <w:keepLines/>
        <w:spacing w:before="50" w:after="40"/>
        <w:tabs>
          <w:tab w:val="center" w:pos="4729"/>
          <w:tab w:val="right" w:pos="9458"/>
        </w:tabs>
      </w:pPr>
      <w:r>
        <w:tab/>
      </w:r>
      <m:oMath>
        <m:sSub>
          <m:e>
            <m:r>
              <m:rPr>
                <m:sty m:val="p"/>
              </m:rPr>
              <m:t>s</m:t>
            </m:r>
            <m:r>
              <m:rPr>
                <m:sty m:val="p"/>
              </m:rPr>
              <m:t>i</m:t>
            </m:r>
            <m:r>
              <m:rPr>
                <m:sty m:val="p"/>
              </m:rPr>
              <m:t>m</m:t>
            </m:r>
          </m:e>
          <m:sub>
            <m:r>
              <m:rPr>
                <m:sty m:val="p"/>
              </m:rPr>
              <m:t>s</m:t>
            </m:r>
            <m:r>
              <m:rPr>
                <m:sty m:val="p"/>
              </m:rPr>
              <m:t>e</m:t>
            </m:r>
            <m:r>
              <m:rPr>
                <m:sty m:val="p"/>
              </m:rPr>
              <m:t>m</m:t>
            </m:r>
          </m:sub>
        </m:sSub>
        <m:d>
          <m:dPr>
            <m:begChr m:val="("/>
            <m:endChr m:val=")"/>
            <m:sepChr m:val=""/>
            <m:grow/>
          </m:dPr>
          <m:e>
            <m:r>
              <m:t>i</m:t>
            </m:r>
            <m:r>
              <m:rPr>
                <m:sty m:val="p"/>
              </m:rPr>
              <m:t>,</m:t>
            </m:r>
            <m:r>
              <m:t>j</m:t>
            </m:r>
          </m:e>
        </m:d>
        <m:r>
          <m:rPr>
            <m:sty m:val="p"/>
          </m:rPr>
          <m:t>=</m:t>
        </m:r>
        <m:f>
          <m:fPr>
            <m:type m:val="bar"/>
          </m:fPr>
          <m:num>
            <m:sSubSup>
              <m:e>
                <m:r>
                  <m:rPr>
                    <m:sty m:val="b"/>
                  </m:rPr>
                  <m:t>e</m:t>
                </m:r>
              </m:e>
              <m:sub>
                <m:r>
                  <m:t>i</m:t>
                </m:r>
              </m:sub>
              <m:sup>
                <m:r>
                  <m:rPr>
                    <m:sty m:val="p"/>
                  </m:rPr>
                  <m:t>⊤</m:t>
                </m:r>
              </m:sup>
            </m:sSubSup>
            <m:sSub>
              <m:e>
                <m:r>
                  <m:rPr>
                    <m:sty m:val="b"/>
                  </m:rPr>
                  <m:t>e</m:t>
                </m:r>
              </m:e>
              <m:sub>
                <m:r>
                  <m:t>j</m:t>
                </m:r>
              </m:sub>
            </m:sSub>
          </m:num>
          <m:den>
            <m:r>
              <m:rPr>
                <m:sty m:val="p"/>
              </m:rPr>
              <m:t>∥</m:t>
            </m:r>
            <m:sSub>
              <m:e>
                <m:r>
                  <m:rPr>
                    <m:sty m:val="b"/>
                  </m:rPr>
                  <m:t>e</m:t>
                </m:r>
              </m:e>
              <m:sub>
                <m:r>
                  <m:t>i</m:t>
                </m:r>
              </m:sub>
            </m:sSub>
            <m:sSub>
              <m:e>
                <m:r>
                  <m:rPr>
                    <m:sty m:val="p"/>
                  </m:rPr>
                  <m:t>∥</m:t>
                </m:r>
              </m:e>
              <m:sub>
                <m:r>
                  <m:t>2</m:t>
                </m:r>
              </m:sub>
            </m:sSub>
            <m:r>
              <m:rPr>
                <m:sty m:val="p"/>
              </m:rPr>
              <m:t>∥</m:t>
            </m:r>
            <m:sSub>
              <m:e>
                <m:r>
                  <m:rPr>
                    <m:sty m:val="b"/>
                  </m:rPr>
                  <m:t>e</m:t>
                </m:r>
              </m:e>
              <m:sub>
                <m:r>
                  <m:t>j</m:t>
                </m:r>
              </m:sub>
            </m:sSub>
            <m:sSub>
              <m:e>
                <m:r>
                  <m:rPr>
                    <m:sty m:val="p"/>
                  </m:rPr>
                  <m:t>∥</m:t>
                </m:r>
              </m:e>
              <m:sub>
                <m:r>
                  <m:t>2</m:t>
                </m:r>
              </m:sub>
            </m:sSub>
          </m:den>
        </m:f>
        <m:r>
          <m:rPr>
            <m:sty m:val="p"/>
          </m:rPr>
          <m:t>,</m:t>
        </m:r>
        <m:r>
          <m:t>  </m:t>
        </m:r>
        <m:r>
          <m:t>F</m:t>
        </m:r>
        <m:d>
          <m:dPr>
            <m:begChr m:val="("/>
            <m:endChr m:val=")"/>
            <m:sepChr m:val=""/>
            <m:grow/>
          </m:dPr>
          <m:e>
            <m:r>
              <m:t>i</m:t>
            </m:r>
          </m:e>
        </m:d>
        <m:r>
          <m:rPr>
            <m:sty m:val="p"/>
          </m:rPr>
          <m:t>≠</m:t>
        </m:r>
        <m:r>
          <m:t>F</m:t>
        </m:r>
        <m:d>
          <m:dPr>
            <m:begChr m:val="("/>
            <m:endChr m:val=")"/>
            <m:sepChr m:val=""/>
            <m:grow/>
          </m:dPr>
          <m:e>
            <m:r>
              <m:t>j</m:t>
            </m:r>
          </m:e>
        </m:d>
      </m:oMath>
      <w:r>
        <w:tab/>
      </w:r>
      <w:r>
        <w:rPr>
          <w:rFonts w:ascii="Times New Roman" w:hAnsi="Times New Roman" w:eastAsia="Times New Roman" w:cs="Times New Roman"/>
          <w:sz w:val="21"/>
          <w:szCs w:val="21"/>
        </w:rPr>
        <w:t>(S4)</w:t>
      </w:r>
    </w:p>
    <w:p>
      <w:r>
        <w:t>For each item, the strongest similarity to any item outside its fold is summarised by:</w:t>
      </w:r>
    </w:p>
    <w:p>
      <w:pPr>
        <w:keepNext w:val="0"/>
        <w:keepLines/>
        <w:spacing w:before="50" w:after="40"/>
        <w:tabs>
          <w:tab w:val="center" w:pos="4729"/>
          <w:tab w:val="right" w:pos="9458"/>
        </w:tabs>
      </w:pPr>
      <w:r>
        <w:tab/>
      </w:r>
      <m:oMath>
        <m:sSubSup>
          <m:e>
            <m:r>
              <m:t>S</m:t>
            </m:r>
          </m:e>
          <m:sub>
            <m:r>
              <m:t>i</m:t>
            </m:r>
            <m:r>
              <m:rPr>
                <m:sty m:val="p"/>
              </m:rPr>
              <m:t>,</m:t>
            </m:r>
            <m:r>
              <m:rPr>
                <m:sty m:val="p"/>
              </m:rPr>
              <m:t>max</m:t>
            </m:r>
          </m:sub>
          <m:sup>
            <m:d>
              <m:dPr>
                <m:begChr m:val="("/>
                <m:endChr m:val=")"/>
                <m:sepChr m:val=""/>
                <m:grow/>
              </m:dPr>
              <m:e>
                <m:r>
                  <m:t>m</m:t>
                </m:r>
              </m:e>
            </m:d>
          </m:sup>
        </m:sSubSup>
        <m:r>
          <m:rPr>
            <m:sty m:val="p"/>
          </m:rPr>
          <m:t>=</m:t>
        </m:r>
        <m:limLow>
          <m:e>
            <m:r>
              <m:rPr>
                <m:sty m:val="p"/>
              </m:rPr>
              <m:t>max</m:t>
            </m:r>
          </m:e>
          <m:lim>
            <m:r>
              <m:t>j</m:t>
            </m:r>
            <m:r>
              <m:rPr>
                <m:sty m:val="p"/>
              </m:rPr>
              <m:t>:</m:t>
            </m:r>
            <m:r>
              <m:t> </m:t>
            </m:r>
            <m:r>
              <m:t>F</m:t>
            </m:r>
            <m:d>
              <m:dPr>
                <m:begChr m:val="("/>
                <m:endChr m:val=")"/>
                <m:sepChr m:val=""/>
                <m:grow/>
              </m:dPr>
              <m:e>
                <m:r>
                  <m:t>j</m:t>
                </m:r>
              </m:e>
            </m:d>
            <m:r>
              <m:rPr>
                <m:sty m:val="p"/>
              </m:rPr>
              <m:t>≠</m:t>
            </m:r>
            <m:r>
              <m:t>F</m:t>
            </m:r>
            <m:d>
              <m:dPr>
                <m:begChr m:val="("/>
                <m:endChr m:val=")"/>
                <m:sepChr m:val=""/>
                <m:grow/>
              </m:dPr>
              <m:e>
                <m:r>
                  <m:t>i</m:t>
                </m:r>
              </m:e>
            </m:d>
          </m:lim>
        </m:limLow>
        <m:sSub>
          <m:e>
            <m:r>
              <m:rPr>
                <m:sty m:val="p"/>
              </m:rPr>
              <m:t>s</m:t>
            </m:r>
            <m:r>
              <m:rPr>
                <m:sty m:val="p"/>
              </m:rPr>
              <m:t>i</m:t>
            </m:r>
            <m:r>
              <m:rPr>
                <m:sty m:val="p"/>
              </m:rPr>
              <m:t>m</m:t>
            </m:r>
          </m:e>
          <m:sub>
            <m:r>
              <m:t>m</m:t>
            </m:r>
          </m:sub>
        </m:sSub>
        <m:d>
          <m:dPr>
            <m:begChr m:val="("/>
            <m:endChr m:val=")"/>
            <m:sepChr m:val=""/>
            <m:grow/>
          </m:dPr>
          <m:e>
            <m:r>
              <m:t>i</m:t>
            </m:r>
            <m:r>
              <m:rPr>
                <m:sty m:val="p"/>
              </m:rPr>
              <m:t>,</m:t>
            </m:r>
            <m:r>
              <m:t>j</m:t>
            </m:r>
          </m:e>
        </m:d>
        <m:r>
          <m:rPr>
            <m:sty m:val="p"/>
          </m:rPr>
          <m:t>,</m:t>
        </m:r>
        <m:r>
          <m:t>  </m:t>
        </m:r>
        <m:r>
          <m:t>m</m:t>
        </m:r>
        <m:r>
          <m:rPr>
            <m:sty m:val="p"/>
          </m:rPr>
          <m:t>∈</m:t>
        </m:r>
        <m:r>
          <m:rPr>
            <m:sty m:val="p"/>
          </m:rPr>
          <m:t>{</m:t>
        </m:r>
        <m:r>
          <m:rPr>
            <m:sty m:val="p"/>
          </m:rPr>
          <m:t>w</m:t>
        </m:r>
        <m:r>
          <m:rPr>
            <m:sty m:val="p"/>
          </m:rPr>
          <m:t>o</m:t>
        </m:r>
        <m:r>
          <m:rPr>
            <m:sty m:val="p"/>
          </m:rPr>
          <m:t>r</m:t>
        </m:r>
        <m:r>
          <m:rPr>
            <m:sty m:val="p"/>
          </m:rPr>
          <m:t>d</m:t>
        </m:r>
        <m:r>
          <m:rPr>
            <m:sty m:val="p"/>
          </m:rPr>
          <m:t>,</m:t>
        </m:r>
        <m:r>
          <m:rPr>
            <m:sty m:val="p"/>
          </m:rPr>
          <m:t>c</m:t>
        </m:r>
        <m:r>
          <m:rPr>
            <m:sty m:val="p"/>
          </m:rPr>
          <m:t>h</m:t>
        </m:r>
        <m:r>
          <m:rPr>
            <m:sty m:val="p"/>
          </m:rPr>
          <m:t>a</m:t>
        </m:r>
        <m:r>
          <m:rPr>
            <m:sty m:val="p"/>
          </m:rPr>
          <m:t>r</m:t>
        </m:r>
        <m:r>
          <m:rPr>
            <m:sty m:val="p"/>
          </m:rPr>
          <m:t>,</m:t>
        </m:r>
        <m:r>
          <m:rPr>
            <m:sty m:val="p"/>
          </m:rPr>
          <m:t>s</m:t>
        </m:r>
        <m:r>
          <m:rPr>
            <m:sty m:val="p"/>
          </m:rPr>
          <m:t>e</m:t>
        </m:r>
        <m:r>
          <m:rPr>
            <m:sty m:val="p"/>
          </m:rPr>
          <m:t>m</m:t>
        </m:r>
        <m:r>
          <m:rPr>
            <m:sty m:val="p"/>
          </m:rPr>
          <m:t>}</m:t>
        </m:r>
      </m:oMath>
      <w:r>
        <w:tab/>
      </w:r>
      <w:r>
        <w:rPr>
          <w:rFonts w:ascii="Times New Roman" w:hAnsi="Times New Roman" w:eastAsia="Times New Roman" w:cs="Times New Roman"/>
          <w:sz w:val="21"/>
          <w:szCs w:val="21"/>
        </w:rPr>
        <w:t>(S5)</w:t>
      </w:r>
    </w:p>
    <w:p>
      <w:pPr>
        <w:widowControl/>
      </w:pPr>
      <w:r>
        <w:t>These post-split diagnostics do not alter fold assignment. High semantic similarity alone is not treated as proof of leakage because distinct prompts can instantiate the same phenomenon.</w:t>
      </w:r>
    </w:p>
    <w:p>
      <w:pPr>
        <w:pStyle w:val="3"/>
        <w:keepNext/>
        <w:keepLines/>
      </w:pPr>
      <w:r>
        <w:rPr>
          <w:color w:val="000000"/>
        </w:rPr>
        <w:t>S9.3 Model specifications and training/inference protocol</w:t>
      </w:r>
    </w:p>
    <w:p>
      <w:pPr>
        <w:keepNext/>
      </w:pPr>
      <w:r>
        <w:t>Table S54. Exact M4 serialization, system prompts, and deterministic scoring contract.</w:t>
      </w:r>
    </w:p>
    <w:tbl>
      <w:tblPr>
        <w:tblStyle w:val="35"/>
        <w:tblW w:type="auto" w:w="0"/>
        <w:jc w:val="center"/>
        <w:tblLayout w:type="autofit"/>
        <w:tblLook w:firstColumn="1" w:firstRow="1" w:lastColumn="0" w:lastRow="0" w:noHBand="0" w:noVBand="1" w:val="04A0"/>
        <w:tblBorders>
          <w:top w:val="single" w:sz="4" w:color="C7D4E2"/>
          <w:bottom w:val="single" w:sz="4" w:color="C7D4E2"/>
          <w:left w:val="single" w:sz="4" w:color="C7D4E2"/>
          <w:right w:val="single" w:sz="4" w:color="C7D4E2"/>
          <w:insideH w:val="single" w:sz="4" w:color="C7D4E2"/>
          <w:insideV w:val="single" w:sz="3" w:color="C7D4E2"/>
        </w:tblBorders>
      </w:tblPr>
      <w:tblGrid>
        <w:gridCol w:w="4916"/>
        <w:gridCol w:w="4916"/>
      </w:tblGrid>
      <w:tr>
        <w:trPr>
          <w:tblHeader w:val="true"/>
          <w:cantSplit/>
          <w:tblHeader w:val="true"/>
        </w:trPr>
        <w:tc>
          <w:tcPr>
            <w:tcW w:type="dxa" w:w="2232"/>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6"/>
              </w:rPr>
            </w:r>
            <w:r>
              <w:rPr>
                <w:rFonts w:ascii="Times New Roman" w:hAnsi="Times New Roman"/>
                <w:b/>
                <w:color w:val="1E364D"/>
                <w:sz w:val="16"/>
              </w:rPr>
              <w:t>Component</w:t>
            </w:r>
          </w:p>
        </w:tc>
        <w:tc>
          <w:tcPr>
            <w:tcW w:type="dxa" w:w="8136"/>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6"/>
              </w:rPr>
            </w:r>
            <w:r>
              <w:rPr>
                <w:rFonts w:ascii="Times New Roman" w:hAnsi="Times New Roman"/>
                <w:b/>
                <w:color w:val="1E364D"/>
                <w:sz w:val="16"/>
              </w:rPr>
              <w:t>Exact executed specification</w:t>
            </w:r>
          </w:p>
        </w:tc>
      </w:tr>
      <w:tr>
        <w:trPr>
          <w:cantSplit/>
        </w:trPr>
        <w:tc>
          <w:tcPr>
            <w:tcW w:type="dxa" w:w="2232"/>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Condition A serialization</w:t>
            </w:r>
          </w:p>
        </w:tc>
        <w:tc>
          <w:tcPr>
            <w:tcW w:type="dxa" w:w="8136"/>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Response:</w:t>
              <w:br/>
              <w:t>{Model_Output}</w:t>
            </w:r>
          </w:p>
        </w:tc>
      </w:tr>
      <w:tr>
        <w:trPr>
          <w:cantSplit/>
        </w:trPr>
        <w:tc>
          <w:tcPr>
            <w:tcW w:type="dxa" w:w="2232"/>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Condition B serialization</w:t>
            </w:r>
          </w:p>
        </w:tc>
        <w:tc>
          <w:tcPr>
            <w:tcW w:type="dxa" w:w="8136"/>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Task:</w:t>
              <w:br/>
              <w:t>{Prompt_Text}</w:t>
              <w:br/>
              <w:br/>
              <w:t>Response:</w:t>
              <w:br/>
              <w:t>{Model_Output}</w:t>
            </w:r>
          </w:p>
        </w:tc>
      </w:tr>
      <w:tr>
        <w:trPr>
          <w:cantSplit/>
        </w:trPr>
        <w:tc>
          <w:tcPr>
            <w:tcW w:type="dxa" w:w="2232"/>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Condition C serialization</w:t>
            </w:r>
          </w:p>
        </w:tc>
        <w:tc>
          <w:tcPr>
            <w:tcW w:type="dxa" w:w="8136"/>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If source available: Task:</w:t>
              <w:br/>
              <w:t>{Prompt_Text}</w:t>
              <w:br/>
              <w:br/>
              <w:t>Authorised source/context:</w:t>
              <w:br/>
              <w:t>{Source_Context}</w:t>
              <w:br/>
              <w:br/>
              <w:t>Response:</w:t>
              <w:br/>
              <w:t>{Model_Output}; otherwise identical to Condition B.</w:t>
            </w:r>
          </w:p>
        </w:tc>
      </w:tr>
      <w:tr>
        <w:trPr>
          <w:cantSplit/>
        </w:trPr>
        <w:tc>
          <w:tcPr>
            <w:tcW w:type="dxa" w:w="2232"/>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P1 system message</w:t>
            </w:r>
          </w:p>
        </w:tc>
        <w:tc>
          <w:tcPr>
            <w:tcW w:type="dxa" w:w="8136"/>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You are a conservative semantic-coherence evaluator.</w:t>
              <w:br/>
              <w:t>Apply only the supplied target rubric to the visible text.</w:t>
              <w:br/>
              <w:t>Do not infer hidden facts. Do not output an explanation.</w:t>
              <w:br/>
              <w:t>Your decision space is closed: select exactly one of the permitted answer codes.</w:t>
            </w:r>
          </w:p>
        </w:tc>
      </w:tr>
      <w:tr>
        <w:trPr>
          <w:cantSplit/>
        </w:trPr>
        <w:tc>
          <w:tcPr>
            <w:tcW w:type="dxa" w:w="2232"/>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P2 system message</w:t>
            </w:r>
          </w:p>
        </w:tc>
        <w:tc>
          <w:tcPr>
            <w:tcW w:type="dxa" w:w="8136"/>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Classify the visible case using only the criterion stated below.</w:t>
              <w:br/>
              <w:t>Use no outside knowledge and do not infer evidence that is not visible.</w:t>
              <w:br/>
              <w:t>Return a single permitted code only; do not provide reasoning or any additional text.</w:t>
            </w:r>
          </w:p>
        </w:tc>
      </w:tr>
      <w:tr>
        <w:trPr>
          <w:cantSplit/>
        </w:trPr>
        <w:tc>
          <w:tcPr>
            <w:tcW w:type="dxa" w:w="2232"/>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Chat/scoring wrapper</w:t>
            </w:r>
          </w:p>
        </w:tc>
        <w:tc>
          <w:tcPr>
            <w:tcW w:type="dxa" w:w="8136"/>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Qwen chat template; add_generation_prompt=True; enable_thinking=False; left padding; max_length=4096; log-softmax at final prefix position; argmax over target-valid A/B/C token IDs only.</w:t>
            </w:r>
          </w:p>
        </w:tc>
      </w:tr>
      <w:tr>
        <w:trPr>
          <w:cantSplit/>
        </w:trPr>
        <w:tc>
          <w:tcPr>
            <w:tcW w:type="dxa" w:w="2232"/>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Parsing/retention rule</w:t>
            </w:r>
          </w:p>
        </w:tc>
        <w:tc>
          <w:tcPr>
            <w:tcW w:type="dxa" w:w="8136"/>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No free generation, regex parsing, label repair, dropna, or invalid-response exclusion; one prediction required for every eligible Case_ID.</w:t>
            </w:r>
          </w:p>
        </w:tc>
      </w:tr>
    </w:tbl>
    <w:p>
      <w:pPr>
        <w:keepNext/>
      </w:pPr>
      <w:r>
        <w:t>Table S55. Exact target-specific reference rubric content and P2 alternative decision sentence.</w:t>
      </w:r>
    </w:p>
    <w:tbl>
      <w:tblPr>
        <w:tblStyle w:val="35"/>
        <w:tblW w:type="auto" w:w="0"/>
        <w:jc w:val="center"/>
        <w:tblLayout w:type="autofit"/>
        <w:tblLook w:firstColumn="1" w:firstRow="1" w:lastColumn="0" w:lastRow="0" w:noHBand="0" w:noVBand="1" w:val="04A0"/>
        <w:tblBorders>
          <w:top w:val="single" w:sz="4" w:color="C7D4E2"/>
          <w:bottom w:val="single" w:sz="4" w:color="C7D4E2"/>
          <w:left w:val="single" w:sz="4" w:color="C7D4E2"/>
          <w:right w:val="single" w:sz="4" w:color="C7D4E2"/>
          <w:insideH w:val="single" w:sz="4" w:color="C7D4E2"/>
          <w:insideV w:val="single" w:sz="3" w:color="C7D4E2"/>
        </w:tblBorders>
      </w:tblPr>
      <w:tblGrid>
        <w:gridCol w:w="2458"/>
        <w:gridCol w:w="2458"/>
        <w:gridCol w:w="2458"/>
        <w:gridCol w:w="2458"/>
      </w:tblGrid>
      <w:tr>
        <w:trPr>
          <w:tblHeader w:val="true"/>
          <w:cantSplit/>
          <w:tblHeader w:val="true"/>
        </w:trPr>
        <w:tc>
          <w:tcPr>
            <w:tcW w:type="dxa" w:w="792"/>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6"/>
              </w:rPr>
            </w:r>
            <w:r>
              <w:rPr>
                <w:rFonts w:ascii="Times New Roman" w:hAnsi="Times New Roman"/>
                <w:b/>
                <w:color w:val="1E364D"/>
                <w:sz w:val="16"/>
              </w:rPr>
              <w:t>Target</w:t>
            </w:r>
          </w:p>
        </w:tc>
        <w:tc>
          <w:tcPr>
            <w:tcW w:type="dxa" w:w="2952"/>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6"/>
              </w:rPr>
            </w:r>
            <w:r>
              <w:rPr>
                <w:rFonts w:ascii="Times New Roman" w:hAnsi="Times New Roman"/>
                <w:b/>
                <w:color w:val="1E364D"/>
                <w:sz w:val="16"/>
              </w:rPr>
              <w:t>P1 decision sentence</w:t>
            </w:r>
          </w:p>
        </w:tc>
        <w:tc>
          <w:tcPr>
            <w:tcW w:type="dxa" w:w="3096"/>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6"/>
              </w:rPr>
            </w:r>
            <w:r>
              <w:rPr>
                <w:rFonts w:ascii="Times New Roman" w:hAnsi="Times New Roman"/>
                <w:b/>
                <w:color w:val="1E364D"/>
                <w:sz w:val="16"/>
              </w:rPr>
              <w:t>P2 alternative decision sentence</w:t>
            </w:r>
          </w:p>
        </w:tc>
        <w:tc>
          <w:tcPr>
            <w:tcW w:type="dxa" w:w="3528"/>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6"/>
              </w:rPr>
            </w:r>
            <w:r>
              <w:rPr>
                <w:rFonts w:ascii="Times New Roman" w:hAnsi="Times New Roman"/>
                <w:b/>
                <w:color w:val="1E364D"/>
                <w:sz w:val="16"/>
              </w:rPr>
              <w:t>Identity code definitions</w:t>
            </w:r>
          </w:p>
        </w:tc>
      </w:tr>
      <w:tr>
        <w:trPr>
          <w:cantSplit w:val="true"/>
        </w:trPr>
        <w:tc>
          <w:tcPr>
            <w:tcW w:type="dxa" w:w="792"/>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T1</w:t>
            </w:r>
          </w:p>
        </w:tc>
        <w:tc>
          <w:tcPr>
            <w:tcW w:type="dxa" w:w="2952"/>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Decide only whether the response contains an identifiable semantic-coherence or authorised-grounding failure.</w:t>
            </w:r>
          </w:p>
        </w:tc>
        <w:tc>
          <w:tcPr>
            <w:tcW w:type="dxa" w:w="3096"/>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Determine whether the visible response has a material semantic-coherence or authorised-grounding failure.</w:t>
            </w:r>
          </w:p>
        </w:tc>
        <w:tc>
          <w:tcPr>
            <w:tcW w:type="dxa" w:w="3528"/>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A=no_failure: no identifiable failure under supplied evidence. B=failure: at least one identifiable semantic-coherence or authorised-grounding failure.</w:t>
            </w:r>
          </w:p>
        </w:tc>
      </w:tr>
      <w:tr>
        <w:trPr>
          <w:cantSplit w:val="true"/>
        </w:trPr>
        <w:tc>
          <w:tcPr>
            <w:tcW w:type="dxa" w:w="792"/>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T2</w:t>
            </w:r>
          </w:p>
        </w:tc>
        <w:tc>
          <w:tcPr>
            <w:tcW w:type="dxa" w:w="2952"/>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The case is already known to contain a failure. Decide whether authorised grounding is involved.</w:t>
            </w:r>
          </w:p>
        </w:tc>
        <w:tc>
          <w:tcPr>
            <w:tcW w:type="dxa" w:w="3096"/>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A failure is already present. Determine whether the visible evidence makes grounding part of that failure.</w:t>
            </w:r>
          </w:p>
        </w:tc>
        <w:tc>
          <w:tcPr>
            <w:tcW w:type="dxa" w:w="3528"/>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A=semantic_only: meaning-level failure without unsupported/fabricated content or authorised-anchor conflict. B=grounding_involved: overlap with unsupported/fabricated content or authorised-anchor conflict, including hallucination-only cases.</w:t>
            </w:r>
          </w:p>
        </w:tc>
      </w:tr>
      <w:tr>
        <w:trPr>
          <w:cantSplit w:val="true"/>
        </w:trPr>
        <w:tc>
          <w:tcPr>
            <w:tcW w:type="dxa" w:w="792"/>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T3</w:t>
            </w:r>
          </w:p>
        </w:tc>
        <w:tc>
          <w:tcPr>
            <w:tcW w:type="dxa" w:w="2952"/>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The case belongs to one of two mechanism families.</w:t>
            </w:r>
          </w:p>
        </w:tc>
        <w:tc>
          <w:tcPr>
            <w:tcW w:type="dxa" w:w="3096"/>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Assign the known failure to the better-fitting mechanism family.</w:t>
            </w:r>
          </w:p>
        </w:tc>
        <w:tc>
          <w:tcPr>
            <w:tcW w:type="dxa" w:w="3528"/>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A=Core_SCF: topic/QUD, causal, goal, discourse-structure, local-to-global, reference, or term-sense failure. B=OVR: self/context/entity/temporal/reasoning-answer/mixed-context inconsistency.</w:t>
            </w:r>
          </w:p>
        </w:tc>
      </w:tr>
      <w:tr>
        <w:trPr>
          <w:cantSplit w:val="true"/>
        </w:trPr>
        <w:tc>
          <w:tcPr>
            <w:tcW w:type="dxa" w:w="792"/>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T4</w:t>
            </w:r>
          </w:p>
        </w:tc>
        <w:tc>
          <w:tcPr>
            <w:tcW w:type="dxa" w:w="2952"/>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The case is already known to contain a failure. Judge functional severity, not confidence.</w:t>
            </w:r>
          </w:p>
        </w:tc>
        <w:tc>
          <w:tcPr>
            <w:tcW w:type="dxa" w:w="3096"/>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A failure is already present. Rate its functional impact on the requested task rather than your confidence.</w:t>
            </w:r>
          </w:p>
        </w:tc>
        <w:tc>
          <w:tcPr>
            <w:tcW w:type="dxa" w:w="3528"/>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A=severity 1 Minor; B=severity 2 Moderate; C=severity 3 Severe, using the locked functional-impact definitions.</w:t>
            </w:r>
          </w:p>
        </w:tc>
      </w:tr>
    </w:tbl>
    <w:p>
      <w:pPr>
        <w:keepNext/>
      </w:pPr>
      <w:r>
        <w:t>Table S56. Answer-code mappings used in the post-hoc M4 sensitivity analysis.</w:t>
      </w:r>
    </w:p>
    <w:tbl>
      <w:tblPr>
        <w:tblStyle w:val="35"/>
        <w:tblW w:type="auto" w:w="0"/>
        <w:jc w:val="center"/>
        <w:tblLayout w:type="autofit"/>
        <w:tblLook w:firstColumn="1" w:firstRow="1" w:lastColumn="0" w:lastRow="0" w:noHBand="0" w:noVBand="1" w:val="04A0"/>
        <w:tblBorders>
          <w:top w:val="single" w:sz="4" w:color="C7D4E2"/>
          <w:bottom w:val="single" w:sz="4" w:color="C7D4E2"/>
          <w:left w:val="single" w:sz="4" w:color="C7D4E2"/>
          <w:right w:val="single" w:sz="4" w:color="C7D4E2"/>
          <w:insideH w:val="single" w:sz="4" w:color="C7D4E2"/>
          <w:insideV w:val="single" w:sz="3" w:color="C7D4E2"/>
        </w:tblBorders>
      </w:tblPr>
      <w:tblGrid>
        <w:gridCol w:w="3277"/>
        <w:gridCol w:w="3277"/>
        <w:gridCol w:w="3277"/>
      </w:tblGrid>
      <w:tr>
        <w:trPr>
          <w:tblHeader w:val="true"/>
          <w:cantSplit/>
          <w:tblHeader w:val="true"/>
        </w:trPr>
        <w:tc>
          <w:tcPr>
            <w:tcW w:type="dxa" w:w="1440"/>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6"/>
              </w:rPr>
            </w:r>
            <w:r>
              <w:rPr>
                <w:rFonts w:ascii="Times New Roman" w:hAnsi="Times New Roman"/>
                <w:b/>
                <w:color w:val="1E364D"/>
                <w:sz w:val="16"/>
              </w:rPr>
              <w:t>Target(s)</w:t>
            </w:r>
          </w:p>
        </w:tc>
        <w:tc>
          <w:tcPr>
            <w:tcW w:type="dxa" w:w="1800"/>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6"/>
              </w:rPr>
            </w:r>
            <w:r>
              <w:rPr>
                <w:rFonts w:ascii="Times New Roman" w:hAnsi="Times New Roman"/>
                <w:b/>
                <w:color w:val="1E364D"/>
                <w:sz w:val="16"/>
              </w:rPr>
              <w:t>Variant</w:t>
            </w:r>
          </w:p>
        </w:tc>
        <w:tc>
          <w:tcPr>
            <w:tcW w:type="dxa" w:w="7128"/>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6"/>
              </w:rPr>
            </w:r>
            <w:r>
              <w:rPr>
                <w:rFonts w:ascii="Times New Roman" w:hAnsi="Times New Roman"/>
                <w:b/>
                <w:color w:val="1E364D"/>
                <w:sz w:val="16"/>
              </w:rPr>
              <w:t>Code-to-class/label mapping</w:t>
            </w:r>
          </w:p>
        </w:tc>
      </w:tr>
      <w:tr>
        <w:trPr>
          <w:cantSplit/>
        </w:trPr>
        <w:tc>
          <w:tcPr>
            <w:tcW w:type="dxa" w:w="1440"/>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T1–T3</w:t>
            </w:r>
          </w:p>
        </w:tc>
        <w:tc>
          <w:tcPr>
            <w:tcW w:type="dxa" w:w="1800"/>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identity</w:t>
            </w:r>
          </w:p>
        </w:tc>
        <w:tc>
          <w:tcPr>
            <w:tcW w:type="dxa" w:w="7128"/>
            <w:vAlign w:val="center"/>
            <w:tcMar>
              <w:top w:w="65" w:type="dxa"/>
              <w:start w:w="68" w:type="dxa"/>
              <w:bottom w:w="65" w:type="dxa"/>
              <w:end w:w="68" w:type="dxa"/>
            </w:tcMar>
          </w:tcPr>
          <w:p>
            <w:pPr>
              <w:spacing w:after="0" w:before="0"/>
            </w:pPr>
            <w:r>
              <w:t>A→class 0; B→class 1 (target semantics are defined in Table S55).</w:t>
            </w:r>
          </w:p>
        </w:tc>
      </w:tr>
      <w:tr>
        <w:trPr>
          <w:cantSplit/>
        </w:trPr>
        <w:tc>
          <w:tcPr>
            <w:tcW w:type="dxa" w:w="1440"/>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T1–T3</w:t>
            </w:r>
          </w:p>
        </w:tc>
        <w:tc>
          <w:tcPr>
            <w:tcW w:type="dxa" w:w="1800"/>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swap</w:t>
            </w:r>
          </w:p>
        </w:tc>
        <w:tc>
          <w:tcPr>
            <w:tcW w:type="dxa" w:w="7128"/>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A→class 1; B→class 0.</w:t>
            </w:r>
          </w:p>
        </w:tc>
      </w:tr>
      <w:tr>
        <w:trPr>
          <w:cantSplit/>
        </w:trPr>
        <w:tc>
          <w:tcPr>
            <w:tcW w:type="dxa" w:w="1440"/>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T4</w:t>
            </w:r>
          </w:p>
        </w:tc>
        <w:tc>
          <w:tcPr>
            <w:tcW w:type="dxa" w:w="1800"/>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identity (123)</w:t>
            </w:r>
          </w:p>
        </w:tc>
        <w:tc>
          <w:tcPr>
            <w:tcW w:type="dxa" w:w="7128"/>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A→1; B→2; C→3.</w:t>
            </w:r>
          </w:p>
        </w:tc>
      </w:tr>
      <w:tr>
        <w:trPr>
          <w:cantSplit/>
        </w:trPr>
        <w:tc>
          <w:tcPr>
            <w:tcW w:type="dxa" w:w="1440"/>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T4</w:t>
            </w:r>
          </w:p>
        </w:tc>
        <w:tc>
          <w:tcPr>
            <w:tcW w:type="dxa" w:w="1800"/>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perm_132</w:t>
            </w:r>
          </w:p>
        </w:tc>
        <w:tc>
          <w:tcPr>
            <w:tcW w:type="dxa" w:w="7128"/>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A→1; B→3; C→2.</w:t>
            </w:r>
          </w:p>
        </w:tc>
      </w:tr>
      <w:tr>
        <w:trPr>
          <w:cantSplit/>
        </w:trPr>
        <w:tc>
          <w:tcPr>
            <w:tcW w:type="dxa" w:w="1440"/>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T4</w:t>
            </w:r>
          </w:p>
        </w:tc>
        <w:tc>
          <w:tcPr>
            <w:tcW w:type="dxa" w:w="1800"/>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perm_213</w:t>
            </w:r>
          </w:p>
        </w:tc>
        <w:tc>
          <w:tcPr>
            <w:tcW w:type="dxa" w:w="7128"/>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A→2; B→1; C→3.</w:t>
            </w:r>
          </w:p>
        </w:tc>
      </w:tr>
      <w:tr>
        <w:trPr>
          <w:cantSplit/>
        </w:trPr>
        <w:tc>
          <w:tcPr>
            <w:tcW w:type="dxa" w:w="1440"/>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T4</w:t>
            </w:r>
          </w:p>
        </w:tc>
        <w:tc>
          <w:tcPr>
            <w:tcW w:type="dxa" w:w="1800"/>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cycle_231</w:t>
            </w:r>
          </w:p>
        </w:tc>
        <w:tc>
          <w:tcPr>
            <w:tcW w:type="dxa" w:w="7128"/>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A→2; B→3; C→1.</w:t>
            </w:r>
          </w:p>
        </w:tc>
      </w:tr>
      <w:tr>
        <w:trPr>
          <w:cantSplit/>
        </w:trPr>
        <w:tc>
          <w:tcPr>
            <w:tcW w:type="dxa" w:w="1440"/>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T4</w:t>
            </w:r>
          </w:p>
        </w:tc>
        <w:tc>
          <w:tcPr>
            <w:tcW w:type="dxa" w:w="1800"/>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cycle_312</w:t>
            </w:r>
          </w:p>
        </w:tc>
        <w:tc>
          <w:tcPr>
            <w:tcW w:type="dxa" w:w="7128"/>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A→3; B→1; C→2.</w:t>
            </w:r>
          </w:p>
        </w:tc>
      </w:tr>
      <w:tr>
        <w:trPr>
          <w:cantSplit/>
        </w:trPr>
        <w:tc>
          <w:tcPr>
            <w:tcW w:type="dxa" w:w="1440"/>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T4</w:t>
            </w:r>
          </w:p>
        </w:tc>
        <w:tc>
          <w:tcPr>
            <w:tcW w:type="dxa" w:w="1800"/>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perm_321</w:t>
            </w:r>
          </w:p>
        </w:tc>
        <w:tc>
          <w:tcPr>
            <w:tcW w:type="dxa" w:w="7128"/>
            <w:vAlign w:val="center"/>
            <w:tcMar>
              <w:top w:w="65" w:type="dxa"/>
              <w:start w:w="68" w:type="dxa"/>
              <w:bottom w:w="65" w:type="dxa"/>
              <w:end w:w="68" w:type="dxa"/>
            </w:tcMar>
          </w:tcPr>
          <w:p>
            <w:pPr>
              <w:spacing w:after="0" w:before="0"/>
            </w:pPr>
            <w:r>
              <w:rPr>
                <w:rFonts w:ascii="Times New Roman" w:hAnsi="Times New Roman"/>
                <w:sz w:val="16"/>
              </w:rPr>
            </w:r>
            <w:r>
              <w:rPr>
                <w:rFonts w:ascii="Times New Roman" w:hAnsi="Times New Roman"/>
                <w:sz w:val="16"/>
              </w:rPr>
              <w:t>A→3; B→2; C→1.</w:t>
            </w:r>
          </w:p>
        </w:tc>
      </w:tr>
    </w:tbl>
    <w:p>
      <w:pPr>
        <w:keepNext/>
      </w:pPr>
      <w:r>
        <w:t>Table S57. Computational model specifications.</w:t>
      </w:r>
    </w:p>
    <w:tbl>
      <w:tblPr>
        <w:tblStyle w:val="35"/>
        <w:tblW w:type="auto" w:w="0"/>
        <w:tblLayout w:type="autofit"/>
        <w:tblLook w:firstColumn="1" w:firstRow="1" w:lastColumn="0" w:lastRow="0" w:noHBand="0" w:noVBand="1" w:val="04A0"/>
        <w:jc w:val="center"/>
        <w:tblBorders>
          <w:top w:val="single" w:sz="4" w:color="C7D4E2"/>
          <w:bottom w:val="single" w:sz="4" w:color="C7D4E2"/>
          <w:left w:val="single" w:sz="4" w:color="C7D4E2"/>
          <w:right w:val="single" w:sz="4" w:color="C7D4E2"/>
          <w:insideH w:val="single" w:sz="4" w:color="C7D4E2"/>
          <w:insideV w:val="single" w:sz="3" w:color="C7D4E2"/>
        </w:tblBorders>
      </w:tblPr>
      <w:tblGrid>
        <w:gridCol w:w="3277"/>
        <w:gridCol w:w="3277"/>
        <w:gridCol w:w="3277"/>
      </w:tblGrid>
      <w:tr>
        <w:trPr>
          <w:tblHeader w:val="true"/>
          <w:cantSplit w:val="true"/>
          <w:tblHeader w:val="true"/>
        </w:trPr>
        <w:tc>
          <w:tcPr>
            <w:tcW w:type="dxa" w:w="3277"/>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6"/>
              </w:rPr>
            </w:r>
            <w:r>
              <w:rPr>
                <w:rFonts w:ascii="Times New Roman" w:hAnsi="Times New Roman" w:eastAsia="Times New Roman" w:cs="Times New Roman"/>
                <w:b/>
                <w:color w:val="1E364D"/>
                <w:sz w:val="16"/>
              </w:rPr>
              <w:t>Model</w:t>
            </w:r>
          </w:p>
        </w:tc>
        <w:tc>
          <w:tcPr>
            <w:tcW w:type="dxa" w:w="3277"/>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6"/>
              </w:rPr>
            </w:r>
            <w:r>
              <w:rPr>
                <w:rFonts w:ascii="Times New Roman" w:hAnsi="Times New Roman" w:eastAsia="Times New Roman" w:cs="Times New Roman"/>
                <w:b/>
                <w:color w:val="1E364D"/>
                <w:sz w:val="16"/>
              </w:rPr>
              <w:t>Representation / classifier</w:t>
            </w:r>
          </w:p>
        </w:tc>
        <w:tc>
          <w:tcPr>
            <w:tcW w:type="dxa" w:w="3277"/>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6"/>
              </w:rPr>
            </w:r>
            <w:r>
              <w:rPr>
                <w:rFonts w:ascii="Times New Roman" w:hAnsi="Times New Roman" w:eastAsia="Times New Roman" w:cs="Times New Roman"/>
                <w:b/>
                <w:color w:val="1E364D"/>
                <w:sz w:val="16"/>
              </w:rPr>
              <w:t>Controls / execution</w:t>
            </w:r>
          </w:p>
        </w:tc>
      </w:tr>
      <w:tr>
        <w:trPr>
          <w:cantSplit w:val="true"/>
        </w:trPr>
        <w:tc>
          <w:tcPr>
            <w:tcW w:type="dxa" w:w="3277"/>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M0</w:t>
            </w:r>
          </w:p>
        </w:tc>
        <w:tc>
          <w:tcPr>
            <w:tcW w:type="dxa" w:w="3277"/>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Training-fold majority class</w:t>
            </w:r>
          </w:p>
        </w:tc>
        <w:tc>
          <w:tcPr>
            <w:tcW w:type="dxa" w:w="3277"/>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Frozen grouped folds; lower bound.</w:t>
            </w:r>
          </w:p>
        </w:tc>
      </w:tr>
      <w:tr>
        <w:trPr>
          <w:cantSplit w:val="true"/>
        </w:trPr>
        <w:tc>
          <w:tcPr>
            <w:tcW w:type="dxa" w:w="3277"/>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M1</w:t>
            </w:r>
          </w:p>
        </w:tc>
        <w:tc>
          <w:tcPr>
            <w:tcW w:type="dxa" w:w="3277"/>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Word TF-IDF 1–2 grams + LinearSVC</w:t>
            </w:r>
          </w:p>
        </w:tc>
        <w:tc>
          <w:tcPr>
            <w:tcW w:type="dxa" w:w="3277"/>
            <w:vAlign w:val="center"/>
            <w:tcMar>
              <w:top w:w="65" w:type="dxa"/>
              <w:start w:w="68" w:type="dxa"/>
              <w:bottom w:w="65" w:type="dxa"/>
              <w:end w:w="68" w:type="dxa"/>
            </w:tcMar>
          </w:tcPr>
          <w:p>
            <w:pPr>
              <w:spacing w:before="0" w:after="0"/>
            </w:pPr>
            <w:r>
              <w:rPr>
                <w:rFonts w:ascii="Times New Roman" w:hAnsi="Times New Roman"/>
                <w:sz w:val="16"/>
              </w:rPr>
              <w:t>min_df=2; max_df=.98; ≤40k; sublinear TF; C=1; class_weight=balanced; frozen Prompt_ID folds; seed 20260908; vectorizer fit on outer-training data only.</w:t>
            </w:r>
          </w:p>
        </w:tc>
      </w:tr>
      <w:tr>
        <w:trPr>
          <w:cantSplit w:val="true"/>
        </w:trPr>
        <w:tc>
          <w:tcPr>
            <w:tcW w:type="dxa" w:w="3277"/>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M2</w:t>
            </w:r>
          </w:p>
        </w:tc>
        <w:tc>
          <w:tcPr>
            <w:tcW w:type="dxa" w:w="3277"/>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TF-IDF → 100-d TruncatedSVD → L2 → logistic regression</w:t>
            </w:r>
          </w:p>
        </w:tc>
        <w:tc>
          <w:tcPr>
            <w:tcW w:type="dxa" w:w="3277"/>
            <w:vAlign w:val="center"/>
            <w:tcMar>
              <w:top w:w="65" w:type="dxa"/>
              <w:start w:w="68" w:type="dxa"/>
              <w:bottom w:w="65" w:type="dxa"/>
              <w:end w:w="68" w:type="dxa"/>
            </w:tcMar>
          </w:tcPr>
          <w:p>
            <w:pPr>
              <w:spacing w:before="0" w:after="0"/>
            </w:pPr>
            <w:r>
              <w:rPr>
                <w:rFonts w:ascii="Times New Roman" w:hAnsi="Times New Roman"/>
                <w:sz w:val="16"/>
              </w:rPr>
              <w:t>≤30k TF-IDF; 100-d SVD; L2; class_weight=balanced; max_iter=2000; frozen Prompt_ID folds; seed 20260908; TF-IDF/SVD fit on outer-training data only.</w:t>
            </w:r>
          </w:p>
        </w:tc>
      </w:tr>
      <w:tr>
        <w:trPr>
          <w:cantSplit w:val="true"/>
        </w:trPr>
        <w:tc>
          <w:tcPr>
            <w:tcW w:type="dxa" w:w="3277"/>
            <w:vAlign w:val="center"/>
            <w:tcMar>
              <w:top w:w="65" w:type="dxa"/>
              <w:start w:w="68" w:type="dxa"/>
              <w:bottom w:w="65" w:type="dxa"/>
              <w:end w:w="68" w:type="dxa"/>
            </w:tcMar>
          </w:tcPr>
          <w:p>
            <w:pPr>
              <w:spacing w:before="0" w:after="0" w:line="240" w:lineRule="auto"/>
            </w:pPr>
            <w:r>
              <w:rPr>
                <w:rFonts w:ascii="Times New Roman" w:hAnsi="Times New Roman" w:eastAsia="Times New Roman" w:cs="Times New Roman"/>
                <w:b w:val="0"/>
                <w:sz w:val="16"/>
              </w:rPr>
              <w:t>M3 ModernBERT-base (Warner et al., 2025)</w:t>
            </w:r>
          </w:p>
        </w:tc>
        <w:tc>
          <w:tcPr>
            <w:tcW w:type="dxa" w:w="3277"/>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ModernBERT-base contextual classifier</w:t>
            </w:r>
          </w:p>
        </w:tc>
        <w:tc>
          <w:tcPr>
            <w:tcW w:type="dxa" w:w="3277"/>
            <w:vAlign w:val="center"/>
            <w:tcMar>
              <w:top w:w="65" w:type="dxa"/>
              <w:start w:w="68" w:type="dxa"/>
              <w:bottom w:w="65" w:type="dxa"/>
              <w:end w:w="68" w:type="dxa"/>
            </w:tcMar>
          </w:tcPr>
          <w:p>
            <w:pPr>
              <w:spacing w:before="0" w:after="0"/>
            </w:pPr>
            <w:r>
              <w:rPr>
                <w:rFonts w:ascii="Times New Roman" w:hAnsi="Times New Roman"/>
                <w:sz w:val="16"/>
              </w:rPr>
              <w:t>revision c0e44438…; max_length=1024; lr=2e-5; wd=.01; class-weighted CE; batch 8, grad accum 2; nested epoch selection (≤8, earliest tie) → fresh four-fold refit; primary seed 20260908 + two Condition-C full-pipeline stability seeds.</w:t>
            </w:r>
          </w:p>
        </w:tc>
      </w:tr>
      <w:tr>
        <w:trPr>
          <w:cantSplit w:val="true"/>
        </w:trPr>
        <w:tc>
          <w:tcPr>
            <w:tcW w:type="dxa" w:w="3277"/>
            <w:vAlign w:val="center"/>
            <w:tcMar>
              <w:top w:w="65" w:type="dxa"/>
              <w:start w:w="68" w:type="dxa"/>
              <w:bottom w:w="65" w:type="dxa"/>
              <w:end w:w="68" w:type="dxa"/>
            </w:tcMar>
          </w:tcPr>
          <w:p>
            <w:pPr>
              <w:spacing w:before="0" w:after="0" w:line="240" w:lineRule="auto"/>
            </w:pPr>
            <w:r>
              <w:rPr>
                <w:rFonts w:ascii="Times New Roman" w:hAnsi="Times New Roman" w:eastAsia="Times New Roman" w:cs="Times New Roman"/>
                <w:b w:val="0"/>
                <w:sz w:val="16"/>
              </w:rPr>
              <w:t>M4 Qwen3-8B (A. Yang et al., 2025; P1/identity reference)</w:t>
            </w:r>
          </w:p>
        </w:tc>
        <w:tc>
          <w:tcPr>
            <w:tcW w:type="dxa" w:w="3277"/>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Qwen3-8B zero-shot closed-set judge</w:t>
            </w:r>
          </w:p>
        </w:tc>
        <w:tc>
          <w:tcPr>
            <w:tcW w:type="dxa" w:w="3277"/>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Target-isolated rubric; forced A/B/C next-token scoring; full populations; no free generation/dropna.</w:t>
            </w:r>
          </w:p>
        </w:tc>
      </w:tr>
    </w:tbl>
    <w:p>
      <w:pPr>
        <w:keepNext/>
      </w:pPr>
      <w:r>
        <w:t>Table S58. M3 training-control, runtime, and archived execution audit.</w:t>
      </w:r>
    </w:p>
    <w:tbl>
      <w:tblPr>
        <w:tblStyle w:val="35"/>
        <w:tblW w:type="auto" w:w="0"/>
        <w:jc w:val="center"/>
        <w:tblLayout w:type="autofit"/>
        <w:tblLook w:firstColumn="1" w:firstRow="1" w:lastColumn="0" w:lastRow="0" w:noHBand="0" w:noVBand="1" w:val="04A0"/>
        <w:tblBorders>
          <w:top w:val="single" w:sz="4" w:color="C7D4E2"/>
          <w:bottom w:val="single" w:sz="4" w:color="C7D4E2"/>
          <w:left w:val="single" w:sz="4" w:color="C7D4E2"/>
          <w:right w:val="single" w:sz="4" w:color="C7D4E2"/>
          <w:insideH w:val="single" w:sz="4" w:color="C7D4E2"/>
          <w:insideV w:val="single" w:sz="3" w:color="C7D4E2"/>
        </w:tblBorders>
      </w:tblPr>
      <w:tblGrid>
        <w:gridCol w:w="3277"/>
        <w:gridCol w:w="3277"/>
        <w:gridCol w:w="3277"/>
      </w:tblGrid>
      <w:tr>
        <w:trPr>
          <w:tblHeader w:val="true"/>
          <w:cantSplit/>
          <w:tblHeader w:val="true"/>
        </w:trPr>
        <w:tc>
          <w:tcPr>
            <w:tcW w:type="dxa" w:w="3277"/>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6"/>
              </w:rPr>
              <w:t>Control</w:t>
            </w:r>
          </w:p>
        </w:tc>
        <w:tc>
          <w:tcPr>
            <w:tcW w:type="dxa" w:w="3277"/>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6"/>
              </w:rPr>
              <w:t>Executed specification</w:t>
            </w:r>
          </w:p>
        </w:tc>
        <w:tc>
          <w:tcPr>
            <w:tcW w:type="dxa" w:w="3277"/>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6"/>
              </w:rPr>
              <w:t>Reviewer-facing implication</w:t>
            </w:r>
          </w:p>
        </w:tc>
      </w:tr>
      <w:tr>
        <w:trPr>
          <w:cantSplit/>
        </w:trPr>
        <w:tc>
          <w:tcPr>
            <w:tcW w:type="dxa" w:w="3277"/>
            <w:vAlign w:val="center"/>
            <w:tcMar>
              <w:top w:w="65" w:type="dxa"/>
              <w:start w:w="68" w:type="dxa"/>
              <w:bottom w:w="65" w:type="dxa"/>
              <w:end w:w="68" w:type="dxa"/>
            </w:tcMar>
          </w:tcPr>
          <w:p>
            <w:pPr>
              <w:spacing w:after="0" w:before="0"/>
            </w:pPr>
            <w:r>
              <w:rPr>
                <w:rFonts w:ascii="Times New Roman" w:hAnsi="Times New Roman"/>
                <w:sz w:val="16"/>
              </w:rPr>
              <w:t>Frozen inputs/model</w:t>
            </w:r>
          </w:p>
        </w:tc>
        <w:tc>
          <w:tcPr>
            <w:tcW w:type="dxa" w:w="3277"/>
            <w:vAlign w:val="center"/>
            <w:tcMar>
              <w:top w:w="65" w:type="dxa"/>
              <w:start w:w="68" w:type="dxa"/>
              <w:bottom w:w="65" w:type="dxa"/>
              <w:end w:w="68" w:type="dxa"/>
            </w:tcMar>
          </w:tcPr>
          <w:p>
            <w:pPr>
              <w:spacing w:after="0" w:before="0"/>
            </w:pPr>
            <w:r>
              <w:rPr>
                <w:rFonts w:ascii="Times New Roman" w:hAnsi="Times New Roman"/>
                <w:sz w:val="16"/>
              </w:rPr>
              <w:t>FINAL GOLD SHA-256 ccc910…; baseline SHA-256 4502e7…; ModernBERT revision c0e44438…</w:t>
            </w:r>
          </w:p>
        </w:tc>
        <w:tc>
          <w:tcPr>
            <w:tcW w:type="dxa" w:w="3277"/>
            <w:vAlign w:val="center"/>
            <w:tcMar>
              <w:top w:w="65" w:type="dxa"/>
              <w:start w:w="68" w:type="dxa"/>
              <w:bottom w:w="65" w:type="dxa"/>
              <w:end w:w="68" w:type="dxa"/>
            </w:tcMar>
          </w:tcPr>
          <w:p>
            <w:pPr>
              <w:spacing w:after="0" w:before="0"/>
            </w:pPr>
            <w:r>
              <w:rPr>
                <w:rFonts w:ascii="Times New Roman" w:hAnsi="Times New Roman"/>
                <w:sz w:val="16"/>
              </w:rPr>
              <w:t>Prevents silent data/checkpoint substitution.</w:t>
            </w:r>
          </w:p>
        </w:tc>
      </w:tr>
      <w:tr>
        <w:trPr>
          <w:cantSplit/>
        </w:trPr>
        <w:tc>
          <w:tcPr>
            <w:tcW w:type="dxa" w:w="3277"/>
            <w:vAlign w:val="center"/>
            <w:tcMar>
              <w:top w:w="65" w:type="dxa"/>
              <w:start w:w="68" w:type="dxa"/>
              <w:bottom w:w="65" w:type="dxa"/>
              <w:end w:w="68" w:type="dxa"/>
            </w:tcMar>
          </w:tcPr>
          <w:p>
            <w:pPr>
              <w:spacing w:after="0" w:before="0"/>
            </w:pPr>
            <w:r>
              <w:rPr>
                <w:rFonts w:ascii="Times New Roman" w:hAnsi="Times New Roman"/>
                <w:sz w:val="16"/>
              </w:rPr>
              <w:t>Outer/inner split</w:t>
            </w:r>
          </w:p>
        </w:tc>
        <w:tc>
          <w:tcPr>
            <w:tcW w:type="dxa" w:w="3277"/>
            <w:vAlign w:val="center"/>
            <w:tcMar>
              <w:top w:w="65" w:type="dxa"/>
              <w:start w:w="68" w:type="dxa"/>
              <w:bottom w:w="65" w:type="dxa"/>
              <w:end w:w="68" w:type="dxa"/>
            </w:tcMar>
          </w:tcPr>
          <w:p>
            <w:pPr>
              <w:spacing w:after="0" w:before="0"/>
            </w:pPr>
            <w:r>
              <w:rPr>
                <w:rFonts w:ascii="Times New Roman" w:hAnsi="Times New Roman"/>
                <w:sz w:val="16"/>
              </w:rPr>
              <w:t>Five frozen task-balanced Prompt_ID outer folds; one predesignated non-test fold for development inside each outer iteration.</w:t>
            </w:r>
          </w:p>
        </w:tc>
        <w:tc>
          <w:tcPr>
            <w:tcW w:type="dxa" w:w="3277"/>
            <w:vAlign w:val="center"/>
            <w:tcMar>
              <w:top w:w="65" w:type="dxa"/>
              <w:start w:w="68" w:type="dxa"/>
              <w:bottom w:w="65" w:type="dxa"/>
              <w:end w:w="68" w:type="dxa"/>
            </w:tcMar>
          </w:tcPr>
          <w:p>
            <w:pPr>
              <w:spacing w:after="0" w:before="0"/>
            </w:pPr>
            <w:r>
              <w:rPr>
                <w:rFonts w:ascii="Times New Roman" w:hAnsi="Times New Roman"/>
                <w:sz w:val="16"/>
              </w:rPr>
              <w:t>No outer-test row is used for preprocessing, class weighting, epoch selection, or checkpoint choice.</w:t>
            </w:r>
          </w:p>
        </w:tc>
      </w:tr>
      <w:tr>
        <w:trPr>
          <w:cantSplit/>
        </w:trPr>
        <w:tc>
          <w:tcPr>
            <w:tcW w:type="dxa" w:w="3277"/>
            <w:vAlign w:val="center"/>
            <w:tcMar>
              <w:top w:w="65" w:type="dxa"/>
              <w:start w:w="68" w:type="dxa"/>
              <w:bottom w:w="65" w:type="dxa"/>
              <w:end w:w="68" w:type="dxa"/>
            </w:tcMar>
          </w:tcPr>
          <w:p>
            <w:pPr>
              <w:spacing w:after="0" w:before="0"/>
            </w:pPr>
            <w:r>
              <w:rPr>
                <w:rFonts w:ascii="Times New Roman" w:hAnsi="Times New Roman"/>
                <w:sz w:val="16"/>
              </w:rPr>
              <w:t>Adaptive choice</w:t>
            </w:r>
          </w:p>
        </w:tc>
        <w:tc>
          <w:tcPr>
            <w:tcW w:type="dxa" w:w="3277"/>
            <w:vAlign w:val="center"/>
            <w:tcMar>
              <w:top w:w="65" w:type="dxa"/>
              <w:start w:w="68" w:type="dxa"/>
              <w:bottom w:w="65" w:type="dxa"/>
              <w:end w:w="68" w:type="dxa"/>
            </w:tcMar>
          </w:tcPr>
          <w:p>
            <w:pPr>
              <w:spacing w:after="0" w:before="0"/>
            </w:pPr>
            <w:r>
              <w:rPr>
                <w:rFonts w:ascii="Times New Roman" w:hAnsi="Times New Roman"/>
                <w:sz w:val="16"/>
              </w:rPr>
              <w:t>Epoch count only; ≤8 epochs; earliest epoch on a macro-F1 tie.</w:t>
            </w:r>
          </w:p>
        </w:tc>
        <w:tc>
          <w:tcPr>
            <w:tcW w:type="dxa" w:w="3277"/>
            <w:vAlign w:val="center"/>
            <w:tcMar>
              <w:top w:w="65" w:type="dxa"/>
              <w:start w:w="68" w:type="dxa"/>
              <w:bottom w:w="65" w:type="dxa"/>
              <w:end w:w="68" w:type="dxa"/>
            </w:tcMar>
          </w:tcPr>
          <w:p>
            <w:pPr>
              <w:spacing w:after="0" w:before="0"/>
            </w:pPr>
            <w:r>
              <w:rPr>
                <w:rFonts w:ascii="Times New Roman" w:hAnsi="Times New Roman"/>
                <w:sz w:val="16"/>
              </w:rPr>
              <w:t>No outer-test hyperparameter grid or post-hoc checkpoint selection.</w:t>
            </w:r>
          </w:p>
        </w:tc>
      </w:tr>
      <w:tr>
        <w:trPr>
          <w:cantSplit/>
        </w:trPr>
        <w:tc>
          <w:tcPr>
            <w:tcW w:type="dxa" w:w="3277"/>
            <w:vAlign w:val="center"/>
            <w:tcMar>
              <w:top w:w="65" w:type="dxa"/>
              <w:start w:w="68" w:type="dxa"/>
              <w:bottom w:w="65" w:type="dxa"/>
              <w:end w:w="68" w:type="dxa"/>
            </w:tcMar>
          </w:tcPr>
          <w:p>
            <w:pPr>
              <w:spacing w:after="0" w:before="0"/>
            </w:pPr>
            <w:r>
              <w:rPr>
                <w:rFonts w:ascii="Times New Roman" w:hAnsi="Times New Roman"/>
                <w:sz w:val="16"/>
              </w:rPr>
              <w:t>Refit/OOF</w:t>
            </w:r>
          </w:p>
        </w:tc>
        <w:tc>
          <w:tcPr>
            <w:tcW w:type="dxa" w:w="3277"/>
            <w:vAlign w:val="center"/>
            <w:tcMar>
              <w:top w:w="65" w:type="dxa"/>
              <w:start w:w="68" w:type="dxa"/>
              <w:bottom w:w="65" w:type="dxa"/>
              <w:end w:w="68" w:type="dxa"/>
            </w:tcMar>
          </w:tcPr>
          <w:p>
            <w:pPr>
              <w:spacing w:after="0" w:before="0"/>
            </w:pPr>
            <w:r>
              <w:rPr>
                <w:rFonts w:ascii="Times New Roman" w:hAnsi="Times New Roman"/>
                <w:sz w:val="16"/>
              </w:rPr>
              <w:t>Fresh reinitialisation; refit on all four outer-training folds for selected epochs; held-out fold predicted once.</w:t>
            </w:r>
          </w:p>
        </w:tc>
        <w:tc>
          <w:tcPr>
            <w:tcW w:type="dxa" w:w="3277"/>
            <w:vAlign w:val="center"/>
            <w:tcMar>
              <w:top w:w="65" w:type="dxa"/>
              <w:start w:w="68" w:type="dxa"/>
              <w:bottom w:w="65" w:type="dxa"/>
              <w:end w:w="68" w:type="dxa"/>
            </w:tcMar>
          </w:tcPr>
          <w:p>
            <w:pPr>
              <w:spacing w:after="0" w:before="0"/>
            </w:pPr>
            <w:r>
              <w:rPr>
                <w:rFonts w:ascii="Times New Roman" w:hAnsi="Times New Roman"/>
                <w:sz w:val="16"/>
              </w:rPr>
              <w:t>Every reported primary M3 case is genuinely out-of-fold.</w:t>
            </w:r>
          </w:p>
        </w:tc>
      </w:tr>
      <w:tr>
        <w:trPr>
          <w:cantSplit/>
        </w:trPr>
        <w:tc>
          <w:tcPr>
            <w:tcW w:type="dxa" w:w="3277"/>
            <w:vAlign w:val="center"/>
            <w:tcMar>
              <w:top w:w="65" w:type="dxa"/>
              <w:start w:w="68" w:type="dxa"/>
              <w:bottom w:w="65" w:type="dxa"/>
              <w:end w:w="68" w:type="dxa"/>
            </w:tcMar>
          </w:tcPr>
          <w:p>
            <w:pPr>
              <w:spacing w:after="0" w:before="0"/>
            </w:pPr>
            <w:r>
              <w:rPr>
                <w:rFonts w:ascii="Times New Roman" w:hAnsi="Times New Roman"/>
                <w:sz w:val="16"/>
              </w:rPr>
              <w:t>Loss/imbalance</w:t>
            </w:r>
          </w:p>
        </w:tc>
        <w:tc>
          <w:tcPr>
            <w:tcW w:type="dxa" w:w="3277"/>
            <w:vAlign w:val="center"/>
            <w:tcMar>
              <w:top w:w="65" w:type="dxa"/>
              <w:start w:w="68" w:type="dxa"/>
              <w:bottom w:w="65" w:type="dxa"/>
              <w:end w:w="68" w:type="dxa"/>
            </w:tcMar>
          </w:tcPr>
          <w:p>
            <w:pPr>
              <w:spacing w:after="0" w:before="0"/>
            </w:pPr>
            <w:r>
              <w:rPr>
                <w:rFonts w:ascii="Times New Roman" w:hAnsi="Times New Roman"/>
                <w:sz w:val="16"/>
              </w:rPr>
              <w:t>Class-weighted cross-entropy; weights n/(K·n_c) recomputed from each fitting partition.</w:t>
            </w:r>
          </w:p>
        </w:tc>
        <w:tc>
          <w:tcPr>
            <w:tcW w:type="dxa" w:w="3277"/>
            <w:vAlign w:val="center"/>
            <w:tcMar>
              <w:top w:w="65" w:type="dxa"/>
              <w:start w:w="68" w:type="dxa"/>
              <w:bottom w:w="65" w:type="dxa"/>
              <w:end w:w="68" w:type="dxa"/>
            </w:tcMar>
          </w:tcPr>
          <w:p>
            <w:pPr>
              <w:spacing w:after="0" w:before="0"/>
            </w:pPr>
            <w:r>
              <w:rPr>
                <w:rFonts w:ascii="Times New Roman" w:hAnsi="Times New Roman"/>
                <w:sz w:val="16"/>
              </w:rPr>
              <w:t>Class imbalance is handled without using held-out class counts.</w:t>
            </w:r>
          </w:p>
        </w:tc>
      </w:tr>
      <w:tr>
        <w:trPr>
          <w:cantSplit/>
        </w:trPr>
        <w:tc>
          <w:tcPr>
            <w:tcW w:type="dxa" w:w="3277"/>
            <w:vAlign w:val="center"/>
            <w:tcMar>
              <w:top w:w="65" w:type="dxa"/>
              <w:start w:w="68" w:type="dxa"/>
              <w:bottom w:w="65" w:type="dxa"/>
              <w:end w:w="68" w:type="dxa"/>
            </w:tcMar>
          </w:tcPr>
          <w:p>
            <w:pPr>
              <w:spacing w:after="0" w:before="0"/>
            </w:pPr>
            <w:r>
              <w:rPr>
                <w:rFonts w:ascii="Times New Roman" w:hAnsi="Times New Roman"/>
                <w:sz w:val="16"/>
              </w:rPr>
              <w:t>Optimization/runtime</w:t>
            </w:r>
          </w:p>
        </w:tc>
        <w:tc>
          <w:tcPr>
            <w:tcW w:type="dxa" w:w="3277"/>
            <w:vAlign w:val="center"/>
            <w:tcMar>
              <w:top w:w="65" w:type="dxa"/>
              <w:start w:w="68" w:type="dxa"/>
              <w:bottom w:w="65" w:type="dxa"/>
              <w:end w:w="68" w:type="dxa"/>
            </w:tcMar>
          </w:tcPr>
          <w:p>
            <w:pPr>
              <w:spacing w:after="0" w:before="0"/>
            </w:pPr>
            <w:r>
              <w:rPr>
                <w:rFonts w:ascii="Times New Roman" w:hAnsi="Times New Roman"/>
                <w:sz w:val="16"/>
              </w:rPr>
              <w:t>lr 2e-5; wd .01; batch 8; grad accumulation 2; BF16 on A100; Transformers 4.57.6 default fused AdamW, linear scheduler, zero warm-up, max-grad-norm 1.0. Recorded environment: Python 3.13.15; PyTorch 2.11.0+cu128; scikit-learn 1.6.1; NVIDIA A100-SXM4-80GB.</w:t>
            </w:r>
          </w:p>
        </w:tc>
        <w:tc>
          <w:tcPr>
            <w:tcW w:type="dxa" w:w="3277"/>
            <w:vAlign w:val="center"/>
            <w:tcMar>
              <w:top w:w="65" w:type="dxa"/>
              <w:start w:w="68" w:type="dxa"/>
              <w:bottom w:w="65" w:type="dxa"/>
              <w:end w:w="68" w:type="dxa"/>
            </w:tcMar>
          </w:tcPr>
          <w:p>
            <w:pPr>
              <w:spacing w:after="0" w:before="0"/>
            </w:pPr>
            <w:r>
              <w:rPr>
                <w:rFonts w:ascii="Times New Roman" w:hAnsi="Times New Roman"/>
                <w:sz w:val="16"/>
              </w:rPr>
              <w:t>Pins both optimization and software/hardware context for reruns.</w:t>
            </w:r>
          </w:p>
        </w:tc>
      </w:tr>
      <w:tr>
        <w:trPr>
          <w:cantSplit/>
        </w:trPr>
        <w:tc>
          <w:tcPr>
            <w:tcW w:type="dxa" w:w="3277"/>
            <w:vAlign w:val="center"/>
            <w:tcMar>
              <w:top w:w="65" w:type="dxa"/>
              <w:start w:w="68" w:type="dxa"/>
              <w:bottom w:w="65" w:type="dxa"/>
              <w:end w:w="68" w:type="dxa"/>
            </w:tcMar>
          </w:tcPr>
          <w:p>
            <w:pPr>
              <w:spacing w:after="0" w:before="0"/>
            </w:pPr>
            <w:r>
              <w:rPr>
                <w:rFonts w:ascii="Times New Roman" w:hAnsi="Times New Roman"/>
                <w:sz w:val="16"/>
              </w:rPr>
              <w:t>Randomness</w:t>
            </w:r>
          </w:p>
        </w:tc>
        <w:tc>
          <w:tcPr>
            <w:tcW w:type="dxa" w:w="3277"/>
            <w:vAlign w:val="center"/>
            <w:tcMar>
              <w:top w:w="65" w:type="dxa"/>
              <w:start w:w="68" w:type="dxa"/>
              <w:bottom w:w="65" w:type="dxa"/>
              <w:end w:w="68" w:type="dxa"/>
            </w:tcMar>
          </w:tcPr>
          <w:p>
            <w:pPr>
              <w:spacing w:after="0" w:before="0"/>
            </w:pPr>
            <w:r>
              <w:rPr>
                <w:rFonts w:ascii="Times New Roman" w:hAnsi="Times New Roman"/>
                <w:sz w:val="16"/>
              </w:rPr>
              <w:t>Primary seed 20260908; 20260909/20260910 rerun full Condition-C selection/refit only as stability checks.</w:t>
            </w:r>
          </w:p>
        </w:tc>
        <w:tc>
          <w:tcPr>
            <w:tcW w:type="dxa" w:w="3277"/>
            <w:vAlign w:val="center"/>
            <w:tcMar>
              <w:top w:w="65" w:type="dxa"/>
              <w:start w:w="68" w:type="dxa"/>
              <w:bottom w:w="65" w:type="dxa"/>
              <w:end w:w="68" w:type="dxa"/>
            </w:tcMar>
          </w:tcPr>
          <w:p>
            <w:pPr>
              <w:spacing w:after="0" w:before="0"/>
            </w:pPr>
            <w:r>
              <w:rPr>
                <w:rFonts w:ascii="Times New Roman" w:hAnsi="Times New Roman"/>
                <w:sz w:val="16"/>
              </w:rPr>
              <w:t>No best-of-three seed reporting.</w:t>
            </w:r>
          </w:p>
        </w:tc>
      </w:tr>
      <w:tr>
        <w:trPr>
          <w:cantSplit/>
        </w:trPr>
        <w:tc>
          <w:tcPr>
            <w:tcW w:type="dxa" w:w="3277"/>
            <w:vAlign w:val="center"/>
            <w:tcMar>
              <w:top w:w="65" w:type="dxa"/>
              <w:start w:w="68" w:type="dxa"/>
              <w:bottom w:w="65" w:type="dxa"/>
              <w:end w:w="68" w:type="dxa"/>
            </w:tcMar>
          </w:tcPr>
          <w:p>
            <w:pPr>
              <w:spacing w:after="0" w:before="0"/>
            </w:pPr>
            <w:r>
              <w:rPr>
                <w:rFonts w:ascii="Times New Roman" w:hAnsi="Times New Roman"/>
                <w:sz w:val="16"/>
              </w:rPr>
              <w:t>Archive QA</w:t>
            </w:r>
          </w:p>
        </w:tc>
        <w:tc>
          <w:tcPr>
            <w:tcW w:type="dxa" w:w="3277"/>
            <w:vAlign w:val="center"/>
            <w:tcMar>
              <w:top w:w="65" w:type="dxa"/>
              <w:start w:w="68" w:type="dxa"/>
              <w:bottom w:w="65" w:type="dxa"/>
              <w:end w:w="68" w:type="dxa"/>
            </w:tcMar>
          </w:tcPr>
          <w:p>
            <w:pPr>
              <w:spacing w:after="0" w:before="0"/>
            </w:pPr>
            <w:r>
              <w:rPr>
                <w:rFonts w:ascii="Times New Roman" w:hAnsi="Times New Roman"/>
                <w:sz w:val="16"/>
              </w:rPr>
              <w:t>60 primary part files reconstruct 12 OOF files exactly; saved metrics recompute exactly from OOF predictions.</w:t>
            </w:r>
          </w:p>
        </w:tc>
        <w:tc>
          <w:tcPr>
            <w:tcW w:type="dxa" w:w="3277"/>
            <w:vAlign w:val="center"/>
            <w:tcMar>
              <w:top w:w="65" w:type="dxa"/>
              <w:start w:w="68" w:type="dxa"/>
              <w:bottom w:w="65" w:type="dxa"/>
              <w:end w:w="68" w:type="dxa"/>
            </w:tcMar>
          </w:tcPr>
          <w:p>
            <w:pPr>
              <w:spacing w:after="0" w:before="0"/>
            </w:pPr>
            <w:r>
              <w:rPr>
                <w:rFonts w:ascii="Times New Roman" w:hAnsi="Times New Roman"/>
                <w:sz w:val="16"/>
              </w:rPr>
              <w:t>Detects fold-merging, stale-output, or metric-transcription errors.</w:t>
            </w:r>
          </w:p>
        </w:tc>
      </w:tr>
    </w:tbl>
    <w:p>
      <w:pPr>
        <w:widowControl/>
      </w:pPr>
      <w:r>
        <w:t>M0–M2 use the frozen CPU-compatible specifications in Table S57. M3 uses `answerdotai/ModernBERT-base` at revision c0e44438c79d5a72972fe8b14dbbc822418356c9. Within each outer fold, one predesignated non-test fold selects the earliest epoch with maximum development macro-F1 (maximum eight); the encoder is then reinitialised and refit on all four non-test folds for that epoch count before one held-out prediction pass. Epoch count is the only data-adaptive M3 hyperparameter; class weights are computed from current fitting labels only. Seed 20260908 is primary, while 20260909–20260910 rerun the complete selection/refit pipeline for stability.</w:t>
      </w:r>
    </w:p>
    <w:p>
      <w:pPr>
        <w:widowControl/>
      </w:pPr>
      <w:r>
        <w:t>M4 uses `Qwen/Qwen3-8B` revision e8bbd8252970581ea5b08b6a5b3e668adaf3161a with 4-bit NF4 double quantisation, bfloat16 where supported (float16 otherwise), left padding, the model chat template with thinking disabled, and conditional next-token scoring over target-valid single-token codes. It does not use free-label generation. Tables S54–S58 give exact serialization, rubrics, code mappings, model controls, runtime versions, and archived execution checks.</w:t>
      </w:r>
    </w:p>
    <w:p>
      <w:pPr>
        <w:widowControl/>
      </w:pPr>
      <w:r>
        <w:t>Interpretation of reference Condition C. The M3 reference protocol uses authorised context where the source-bearing tasks supply it; C is the maximal legitimate evidence condition within the frozen A/B/C input design, not a claim of universal superiority or a causally identified source effect. No source is fabricated for source-free tasks, so their B/C texts coincide. Separate training of M3 under B and C and the coupling of source-bearing status with task family limit causal interpretation. The source-bearing subset and fixed-weight M4 contrasts explicitly restrict what can be inferred (main Sections 4.6 and 7.4; Supplementary Section S9.5).</w:t>
      </w:r>
    </w:p>
    <w:p>
      <w:pPr>
        <w:pStyle w:val="3"/>
        <w:keepNext/>
        <w:keepLines/>
      </w:pPr>
      <w:r>
        <w:rPr>
          <w:color w:val="000000"/>
        </w:rPr>
        <w:t>S9.4 Primary Condition-C performance and paired evaluator-protocol contrasts</w:t>
      </w:r>
    </w:p>
    <w:p>
      <w:pPr>
        <w:pStyle w:val="16"/>
        <w:keepNext/>
        <w:keepLines/>
        <w:spacing w:before="120" w:after="60"/>
        <w:jc w:val="left"/>
      </w:pPr>
      <w:r>
        <w:t>Table S59. Main condition-C performance. Macro-F1 with 95% Prompt_ID-cluster bootstrap CI; T4 additionally reports QWK and MAE.</w:t>
      </w:r>
    </w:p>
    <w:tbl>
      <w:tblPr>
        <w:tblStyle w:val="35"/>
        <w:tblW w:type="auto" w:w="0"/>
        <w:tblLayout w:type="autofit"/>
        <w:tblLook w:firstColumn="1" w:firstRow="1" w:lastColumn="0" w:lastRow="0" w:noHBand="0" w:noVBand="1" w:val="04A0"/>
        <w:jc w:val="center"/>
        <w:tblBorders>
          <w:top w:val="single" w:sz="4" w:color="C7D4E2"/>
          <w:bottom w:val="single" w:sz="4" w:color="C7D4E2"/>
          <w:left w:val="single" w:sz="4" w:color="C7D4E2"/>
          <w:right w:val="single" w:sz="4" w:color="C7D4E2"/>
          <w:insideH w:val="single" w:sz="4" w:color="C7D4E2"/>
          <w:insideV w:val="single" w:sz="3" w:color="C7D4E2"/>
        </w:tblBorders>
      </w:tblPr>
      <w:tblGrid>
        <w:gridCol w:w="1966"/>
        <w:gridCol w:w="1966"/>
        <w:gridCol w:w="1966"/>
        <w:gridCol w:w="1966"/>
        <w:gridCol w:w="1966"/>
      </w:tblGrid>
      <w:tr>
        <w:trPr>
          <w:tblHeader w:val="true"/>
          <w:cantSplit w:val="true"/>
          <w:tblHeader w:val="true"/>
        </w:trPr>
        <w:tc>
          <w:tcPr>
            <w:tcW w:type="dxa" w:w="1966"/>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5"/>
              </w:rPr>
            </w:r>
            <w:r>
              <w:rPr>
                <w:rFonts w:ascii="Times New Roman" w:hAnsi="Times New Roman" w:eastAsia="Times New Roman" w:cs="Times New Roman"/>
                <w:b/>
                <w:color w:val="1E364D"/>
                <w:sz w:val="15"/>
              </w:rPr>
              <w:t>Model</w:t>
            </w:r>
          </w:p>
        </w:tc>
        <w:tc>
          <w:tcPr>
            <w:tcW w:type="dxa" w:w="1966"/>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5"/>
              </w:rPr>
            </w:r>
            <w:r>
              <w:rPr>
                <w:rFonts w:ascii="Times New Roman" w:hAnsi="Times New Roman" w:eastAsia="Times New Roman" w:cs="Times New Roman"/>
                <w:b/>
                <w:color w:val="1E364D"/>
                <w:sz w:val="15"/>
              </w:rPr>
              <w:t>T1</w:t>
            </w:r>
          </w:p>
        </w:tc>
        <w:tc>
          <w:tcPr>
            <w:tcW w:type="dxa" w:w="1966"/>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5"/>
              </w:rPr>
            </w:r>
            <w:r>
              <w:rPr>
                <w:rFonts w:ascii="Times New Roman" w:hAnsi="Times New Roman" w:eastAsia="Times New Roman" w:cs="Times New Roman"/>
                <w:b/>
                <w:color w:val="1E364D"/>
                <w:sz w:val="15"/>
              </w:rPr>
              <w:t>T2</w:t>
            </w:r>
          </w:p>
        </w:tc>
        <w:tc>
          <w:tcPr>
            <w:tcW w:type="dxa" w:w="1966"/>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5"/>
              </w:rPr>
            </w:r>
            <w:r>
              <w:rPr>
                <w:rFonts w:ascii="Times New Roman" w:hAnsi="Times New Roman" w:eastAsia="Times New Roman" w:cs="Times New Roman"/>
                <w:b/>
                <w:color w:val="1E364D"/>
                <w:sz w:val="15"/>
              </w:rPr>
              <w:t>T3</w:t>
            </w:r>
          </w:p>
        </w:tc>
        <w:tc>
          <w:tcPr>
            <w:tcW w:type="dxa" w:w="1966"/>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5"/>
              </w:rPr>
            </w:r>
            <w:r>
              <w:rPr>
                <w:rFonts w:ascii="Times New Roman" w:hAnsi="Times New Roman" w:eastAsia="Times New Roman" w:cs="Times New Roman"/>
                <w:b/>
                <w:color w:val="1E364D"/>
                <w:sz w:val="15"/>
              </w:rPr>
              <w:t>T4</w:t>
            </w:r>
          </w:p>
        </w:tc>
      </w:tr>
      <w:tr>
        <w:trPr>
          <w:cantSplit w:val="true"/>
        </w:trPr>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M0</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0.397 [0.384,0.409]</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0.384 [0.362,0.405]</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0.420 [0.403,0.436]</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F1 .206 [.195,.216]; QWK .000; MAE .692</w:t>
            </w:r>
          </w:p>
        </w:tc>
      </w:tr>
      <w:tr>
        <w:trPr>
          <w:cantSplit w:val="true"/>
        </w:trPr>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M1</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0.614 [0.569,0.656]</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0.669 [0.619,0.716]</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0.722 [0.676,0.764]</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F1 .567 [.502,.627]; QWK .487 [.393,.574]; MAE .397</w:t>
            </w:r>
          </w:p>
        </w:tc>
      </w:tr>
      <w:tr>
        <w:trPr>
          <w:cantSplit w:val="true"/>
        </w:trPr>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M2</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0.608 [0.568,0.647]</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0.668 [0.610,0.719]</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0.677 [0.632,0.719]</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F1 .482 [.429,.532]; QWK .375 [.296,.452]; MAE .597</w:t>
            </w:r>
          </w:p>
        </w:tc>
      </w:tr>
      <w:tr>
        <w:trPr>
          <w:cantSplit w:val="true"/>
        </w:trPr>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M3</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0.655 [0.615,0.696]</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0.777 [0.732,0.818]</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0.791 [0.747,0.832]</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F1 .637 [.582,.686]; QWK .597 [.527,.660]; MAE .346</w:t>
            </w:r>
          </w:p>
        </w:tc>
      </w:tr>
      <w:tr>
        <w:trPr>
          <w:cantSplit w:val="true"/>
        </w:trPr>
        <w:tc>
          <w:tcPr>
            <w:tcW w:type="dxa" w:w="1966"/>
            <w:vAlign w:val="center"/>
            <w:tcMar>
              <w:top w:w="65" w:type="dxa"/>
              <w:start w:w="68" w:type="dxa"/>
              <w:bottom w:w="65" w:type="dxa"/>
              <w:end w:w="68" w:type="dxa"/>
            </w:tcMar>
          </w:tcPr>
          <w:p>
            <w:pPr>
              <w:spacing w:before="0" w:after="0"/>
            </w:pPr>
            <w:r>
              <w:rPr>
                <w:rFonts w:ascii="Times New Roman" w:hAnsi="Times New Roman"/>
                <w:sz w:val="15"/>
              </w:rPr>
              <w:t>M4 P1/identity</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0.741 [0.708,0.774]</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0.609 [0.559,0.658]</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0.530 [0.475,0.580]</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F1 .391 [.351,.429]; QWK .401 [.337,.469]; MAE .679</w:t>
            </w:r>
          </w:p>
        </w:tc>
      </w:tr>
    </w:tbl>
    <w:p>
      <w:pPr>
        <w:pStyle w:val="16"/>
        <w:keepNext/>
        <w:keepLines/>
        <w:spacing w:before="120" w:after="60"/>
        <w:jc w:val="left"/>
      </w:pPr>
      <w:r>
        <w:t>Table S60. Paired macro-F1 differences among the implemented reference protocols.</w:t>
      </w:r>
    </w:p>
    <w:tbl>
      <w:tblPr>
        <w:tblStyle w:val="35"/>
        <w:tblW w:type="auto" w:w="0"/>
        <w:tblLayout w:type="autofit"/>
        <w:tblLook w:firstColumn="1" w:firstRow="1" w:lastColumn="0" w:lastRow="0" w:noHBand="0" w:noVBand="1" w:val="04A0"/>
        <w:jc w:val="center"/>
        <w:tblBorders>
          <w:top w:val="single" w:sz="4" w:color="C7D4E2"/>
          <w:bottom w:val="single" w:sz="4" w:color="C7D4E2"/>
          <w:left w:val="single" w:sz="4" w:color="C7D4E2"/>
          <w:right w:val="single" w:sz="4" w:color="C7D4E2"/>
          <w:insideH w:val="single" w:sz="4" w:color="C7D4E2"/>
          <w:insideV w:val="single" w:sz="3" w:color="C7D4E2"/>
        </w:tblBorders>
      </w:tblPr>
      <w:tblGrid>
        <w:gridCol w:w="2458"/>
        <w:gridCol w:w="2458"/>
        <w:gridCol w:w="2458"/>
        <w:gridCol w:w="2458"/>
      </w:tblGrid>
      <w:tr>
        <w:trPr>
          <w:tblHeader w:val="true"/>
          <w:cantSplit w:val="true"/>
          <w:tblHeader w:val="true"/>
        </w:trPr>
        <w:tc>
          <w:tcPr>
            <w:tcW w:type="dxa" w:w="2458"/>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6"/>
              </w:rPr>
            </w:r>
            <w:r>
              <w:rPr>
                <w:rFonts w:ascii="Times New Roman" w:hAnsi="Times New Roman" w:eastAsia="Times New Roman" w:cs="Times New Roman"/>
                <w:b/>
                <w:color w:val="1E364D"/>
                <w:sz w:val="16"/>
              </w:rPr>
              <w:t>Target</w:t>
            </w:r>
          </w:p>
        </w:tc>
        <w:tc>
          <w:tcPr>
            <w:tcW w:type="dxa" w:w="2458"/>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6"/>
              </w:rPr>
            </w:r>
            <w:r>
              <w:rPr>
                <w:rFonts w:ascii="Times New Roman" w:hAnsi="Times New Roman" w:eastAsia="Times New Roman" w:cs="Times New Roman"/>
                <w:b/>
                <w:color w:val="1E364D"/>
                <w:sz w:val="16"/>
              </w:rPr>
              <w:t>M3−M1</w:t>
            </w:r>
          </w:p>
        </w:tc>
        <w:tc>
          <w:tcPr>
            <w:tcW w:type="dxa" w:w="2458"/>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6"/>
              </w:rPr>
            </w:r>
            <w:r>
              <w:rPr>
                <w:rFonts w:ascii="Times New Roman" w:hAnsi="Times New Roman" w:eastAsia="Times New Roman" w:cs="Times New Roman"/>
                <w:b/>
                <w:color w:val="1E364D"/>
                <w:sz w:val="16"/>
              </w:rPr>
              <w:t>M3−M2</w:t>
            </w:r>
          </w:p>
        </w:tc>
        <w:tc>
          <w:tcPr>
            <w:tcW w:type="dxa" w:w="2458"/>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6"/>
              </w:rPr>
            </w:r>
            <w:r>
              <w:rPr>
                <w:rFonts w:ascii="Times New Roman" w:hAnsi="Times New Roman" w:eastAsia="Times New Roman" w:cs="Times New Roman"/>
                <w:b/>
                <w:color w:val="1E364D"/>
                <w:sz w:val="16"/>
              </w:rPr>
              <w:t>M4−M3</w:t>
            </w:r>
          </w:p>
        </w:tc>
      </w:tr>
      <w:tr>
        <w:trPr>
          <w:cantSplit w:val="true"/>
        </w:trPr>
        <w:tc>
          <w:tcPr>
            <w:tcW w:type="dxa" w:w="2458"/>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T1</w:t>
            </w:r>
          </w:p>
        </w:tc>
        <w:tc>
          <w:tcPr>
            <w:tcW w:type="dxa" w:w="2458"/>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+0.041 [-0.013,0.097]</w:t>
            </w:r>
          </w:p>
        </w:tc>
        <w:tc>
          <w:tcPr>
            <w:tcW w:type="dxa" w:w="2458"/>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+0.047 [0.001,0.097]</w:t>
            </w:r>
          </w:p>
        </w:tc>
        <w:tc>
          <w:tcPr>
            <w:tcW w:type="dxa" w:w="2458"/>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+0.086 [0.042,0.132]</w:t>
            </w:r>
          </w:p>
        </w:tc>
      </w:tr>
      <w:tr>
        <w:trPr>
          <w:cantSplit w:val="true"/>
        </w:trPr>
        <w:tc>
          <w:tcPr>
            <w:tcW w:type="dxa" w:w="2458"/>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T2</w:t>
            </w:r>
          </w:p>
        </w:tc>
        <w:tc>
          <w:tcPr>
            <w:tcW w:type="dxa" w:w="2458"/>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+0.108 [0.060,0.156]</w:t>
            </w:r>
          </w:p>
        </w:tc>
        <w:tc>
          <w:tcPr>
            <w:tcW w:type="dxa" w:w="2458"/>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+0.109 [0.052,0.169]</w:t>
            </w:r>
          </w:p>
        </w:tc>
        <w:tc>
          <w:tcPr>
            <w:tcW w:type="dxa" w:w="2458"/>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-0.168 [-0.238,-0.090]</w:t>
            </w:r>
          </w:p>
        </w:tc>
      </w:tr>
      <w:tr>
        <w:trPr>
          <w:cantSplit w:val="true"/>
        </w:trPr>
        <w:tc>
          <w:tcPr>
            <w:tcW w:type="dxa" w:w="2458"/>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T3</w:t>
            </w:r>
          </w:p>
        </w:tc>
        <w:tc>
          <w:tcPr>
            <w:tcW w:type="dxa" w:w="2458"/>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+0.069 [0.018,0.118]</w:t>
            </w:r>
          </w:p>
        </w:tc>
        <w:tc>
          <w:tcPr>
            <w:tcW w:type="dxa" w:w="2458"/>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+0.114 [0.065,0.162]</w:t>
            </w:r>
          </w:p>
        </w:tc>
        <w:tc>
          <w:tcPr>
            <w:tcW w:type="dxa" w:w="2458"/>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-0.261 [-0.326,-0.201]</w:t>
            </w:r>
          </w:p>
        </w:tc>
      </w:tr>
      <w:tr>
        <w:trPr>
          <w:cantSplit w:val="true"/>
        </w:trPr>
        <w:tc>
          <w:tcPr>
            <w:tcW w:type="dxa" w:w="2458"/>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T4</w:t>
            </w:r>
          </w:p>
        </w:tc>
        <w:tc>
          <w:tcPr>
            <w:tcW w:type="dxa" w:w="2458"/>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+0.070 [0.009,0.130]</w:t>
            </w:r>
          </w:p>
        </w:tc>
        <w:tc>
          <w:tcPr>
            <w:tcW w:type="dxa" w:w="2458"/>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+0.155 [0.104,0.208]</w:t>
            </w:r>
          </w:p>
        </w:tc>
        <w:tc>
          <w:tcPr>
            <w:tcW w:type="dxa" w:w="2458"/>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-0.246 [-0.304,-0.185]</w:t>
            </w:r>
          </w:p>
        </w:tc>
      </w:tr>
    </w:tbl>
    <w:p>
      <w:pPr>
        <w:pStyle w:val="16"/>
        <w:keepNext/>
        <w:keepLines/>
        <w:spacing w:before="120" w:after="60"/>
        <w:jc w:val="left"/>
      </w:pPr>
      <w:r>
        <w:t>Table S61. Exact McNemar secondary paired-correctness comparison: M3-C vs M4-C. This conventional paired-correctness test does not model Prompt_ID clustering and is therefore secondary; dependence-aware protocol comparison is based on the paired Prompt_ID-cluster bootstrap differences in macro-F1 reported in Table S60.</w:t>
      </w:r>
    </w:p>
    <w:tbl>
      <w:tblPr>
        <w:tblStyle w:val="35"/>
        <w:tblW w:type="auto" w:w="0"/>
        <w:tblLayout w:type="autofit"/>
        <w:tblLook w:firstColumn="1" w:firstRow="1" w:lastColumn="0" w:lastRow="0" w:noHBand="0" w:noVBand="1" w:val="04A0"/>
        <w:jc w:val="center"/>
        <w:tblBorders>
          <w:top w:val="single" w:sz="4" w:color="C7D4E2"/>
          <w:bottom w:val="single" w:sz="4" w:color="C7D4E2"/>
          <w:left w:val="single" w:sz="4" w:color="C7D4E2"/>
          <w:right w:val="single" w:sz="4" w:color="C7D4E2"/>
          <w:insideH w:val="single" w:sz="4" w:color="C7D4E2"/>
          <w:insideV w:val="single" w:sz="3" w:color="C7D4E2"/>
        </w:tblBorders>
      </w:tblPr>
      <w:tblGrid>
        <w:gridCol w:w="1966"/>
        <w:gridCol w:w="1966"/>
        <w:gridCol w:w="1966"/>
        <w:gridCol w:w="1966"/>
        <w:gridCol w:w="1966"/>
      </w:tblGrid>
      <w:tr>
        <w:trPr>
          <w:tblHeader w:val="true"/>
          <w:cantSplit w:val="true"/>
          <w:tblHeader w:val="true"/>
        </w:trPr>
        <w:tc>
          <w:tcPr>
            <w:tcW w:type="dxa" w:w="1966"/>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5"/>
              </w:rPr>
            </w:r>
            <w:r>
              <w:rPr>
                <w:rFonts w:ascii="Times New Roman" w:hAnsi="Times New Roman" w:eastAsia="Times New Roman" w:cs="Times New Roman"/>
                <w:b/>
                <w:color w:val="1E364D"/>
                <w:sz w:val="15"/>
              </w:rPr>
              <w:t>Target</w:t>
            </w:r>
          </w:p>
        </w:tc>
        <w:tc>
          <w:tcPr>
            <w:tcW w:type="dxa" w:w="1966"/>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5"/>
              </w:rPr>
            </w:r>
            <w:r>
              <w:rPr>
                <w:rFonts w:ascii="Times New Roman" w:hAnsi="Times New Roman" w:eastAsia="Times New Roman" w:cs="Times New Roman"/>
                <w:b/>
                <w:color w:val="1E364D"/>
                <w:sz w:val="15"/>
              </w:rPr>
              <w:t>M3 correct / M4 wrong</w:t>
            </w:r>
          </w:p>
        </w:tc>
        <w:tc>
          <w:tcPr>
            <w:tcW w:type="dxa" w:w="1966"/>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5"/>
              </w:rPr>
            </w:r>
            <w:r>
              <w:rPr>
                <w:rFonts w:ascii="Times New Roman" w:hAnsi="Times New Roman" w:eastAsia="Times New Roman" w:cs="Times New Roman"/>
                <w:b/>
                <w:color w:val="1E364D"/>
                <w:sz w:val="15"/>
              </w:rPr>
              <w:t>M3 wrong / M4 correct</w:t>
            </w:r>
          </w:p>
        </w:tc>
        <w:tc>
          <w:tcPr>
            <w:tcW w:type="dxa" w:w="1966"/>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5"/>
              </w:rPr>
            </w:r>
            <w:r>
              <w:rPr>
                <w:rFonts w:ascii="Times New Roman" w:hAnsi="Times New Roman" w:eastAsia="Times New Roman" w:cs="Times New Roman"/>
                <w:b/>
                <w:color w:val="1E364D"/>
                <w:sz w:val="15"/>
              </w:rPr>
              <w:t>Discordant</w:t>
            </w:r>
          </w:p>
        </w:tc>
        <w:tc>
          <w:tcPr>
            <w:tcW w:type="dxa" w:w="1966"/>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5"/>
              </w:rPr>
            </w:r>
            <w:r>
              <w:rPr>
                <w:rFonts w:ascii="Times New Roman" w:hAnsi="Times New Roman" w:eastAsia="Times New Roman" w:cs="Times New Roman"/>
                <w:b/>
                <w:color w:val="1E364D"/>
                <w:sz w:val="15"/>
              </w:rPr>
              <w:t>Exact p</w:t>
            </w:r>
          </w:p>
        </w:tc>
      </w:tr>
      <w:tr>
        <w:trPr>
          <w:cantSplit w:val="true"/>
        </w:trPr>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T1</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114</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161</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275</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0.005443</w:t>
            </w:r>
          </w:p>
        </w:tc>
      </w:tr>
      <w:tr>
        <w:trPr>
          <w:cantSplit w:val="true"/>
        </w:trPr>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T2</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144</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70</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214</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&lt;.001</w:t>
            </w:r>
          </w:p>
        </w:tc>
      </w:tr>
      <w:tr>
        <w:trPr>
          <w:cantSplit w:val="true"/>
        </w:trPr>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T3</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179</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47</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226</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&lt;.001</w:t>
            </w:r>
          </w:p>
        </w:tc>
      </w:tr>
      <w:tr>
        <w:trPr>
          <w:cantSplit w:val="true"/>
        </w:trPr>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T4</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186</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80</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266</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&lt;.001</w:t>
            </w:r>
          </w:p>
        </w:tc>
      </w:tr>
    </w:tbl>
    <w:p>
      <w:pPr>
        <w:pStyle w:val="4"/>
        <w:keepNext/>
        <w:keepLines/>
      </w:pPr>
      <w:r>
        <w:rPr>
          <w:color w:val="000000"/>
        </w:rPr>
        <w:t>S9.4.1 Metric definitions and Prompt_ID-cluster uncertainty</w:t>
      </w:r>
    </w:p>
    <w:p>
      <w:r>
        <w:t>For a K-class target, class-specific F1 and macro-F1 are defined as:</w:t>
      </w:r>
    </w:p>
    <w:p>
      <w:pPr>
        <w:keepNext w:val="0"/>
        <w:keepLines/>
        <w:spacing w:before="50" w:after="40"/>
        <w:tabs>
          <w:tab w:val="center" w:pos="4729"/>
          <w:tab w:val="right" w:pos="9458"/>
        </w:tabs>
      </w:pPr>
      <w:r>
        <w:tab/>
      </w:r>
      <m:oMath>
        <m:r>
          <m:t>F</m:t>
        </m:r>
        <m:sSub>
          <m:e>
            <m:r>
              <m:t>1</m:t>
            </m:r>
          </m:e>
          <m:sub>
            <m:r>
              <m:t>k</m:t>
            </m:r>
          </m:sub>
        </m:sSub>
        <m:r>
          <m:rPr>
            <m:sty m:val="p"/>
          </m:rPr>
          <m:t>=</m:t>
        </m:r>
        <m:f>
          <m:fPr>
            <m:type m:val="bar"/>
          </m:fPr>
          <m:num>
            <m:r>
              <m:t>2</m:t>
            </m:r>
            <m:sSub>
              <m:e>
                <m:r>
                  <m:t>P</m:t>
                </m:r>
              </m:e>
              <m:sub>
                <m:r>
                  <m:t>k</m:t>
                </m:r>
              </m:sub>
            </m:sSub>
            <m:sSub>
              <m:e>
                <m:r>
                  <m:t>R</m:t>
                </m:r>
              </m:e>
              <m:sub>
                <m:r>
                  <m:t>k</m:t>
                </m:r>
              </m:sub>
            </m:sSub>
          </m:num>
          <m:den>
            <m:sSub>
              <m:e>
                <m:r>
                  <m:t>P</m:t>
                </m:r>
              </m:e>
              <m:sub>
                <m:r>
                  <m:t>k</m:t>
                </m:r>
              </m:sub>
            </m:sSub>
            <m:r>
              <m:rPr>
                <m:sty m:val="p"/>
              </m:rPr>
              <m:t>+</m:t>
            </m:r>
            <m:sSub>
              <m:e>
                <m:r>
                  <m:t>R</m:t>
                </m:r>
              </m:e>
              <m:sub>
                <m:r>
                  <m:t>k</m:t>
                </m:r>
              </m:sub>
            </m:sSub>
          </m:den>
        </m:f>
        <m:r>
          <m:rPr>
            <m:sty m:val="p"/>
          </m:rPr>
          <m:t>,</m:t>
        </m:r>
        <m:r>
          <m:t>  </m:t>
        </m:r>
        <m:r>
          <m:rPr>
            <m:sty m:val="p"/>
          </m:rPr>
          <m:t>M</m:t>
        </m:r>
        <m:r>
          <m:rPr>
            <m:sty m:val="p"/>
          </m:rPr>
          <m:t>a</m:t>
        </m:r>
        <m:r>
          <m:rPr>
            <m:sty m:val="p"/>
          </m:rPr>
          <m:t>c</m:t>
        </m:r>
        <m:r>
          <m:rPr>
            <m:sty m:val="p"/>
          </m:rPr>
          <m:t>r</m:t>
        </m:r>
        <m:r>
          <m:rPr>
            <m:sty m:val="p"/>
          </m:rPr>
          <m:t>o</m:t>
        </m:r>
        <m:r>
          <m:rPr>
            <m:sty m:val="p"/>
          </m:rPr>
          <m:t>F</m:t>
        </m:r>
        <m:r>
          <m:rPr>
            <m:sty m:val="p"/>
          </m:rPr>
          <m:t>1</m:t>
        </m:r>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r>
              <m:t>F</m:t>
            </m:r>
          </m:e>
        </m:nary>
        <m:sSub>
          <m:e>
            <m:r>
              <m:t>1</m:t>
            </m:r>
          </m:e>
          <m:sub>
            <m:r>
              <m:t>k</m:t>
            </m:r>
          </m:sub>
        </m:sSub>
      </m:oMath>
      <w:r>
        <w:tab/>
      </w:r>
      <w:r>
        <w:rPr>
          <w:rFonts w:ascii="Times New Roman" w:hAnsi="Times New Roman" w:eastAsia="Times New Roman" w:cs="Times New Roman"/>
          <w:sz w:val="21"/>
          <w:szCs w:val="21"/>
        </w:rPr>
        <w:t>(S8)</w:t>
      </w:r>
    </w:p>
    <w:p>
      <w:pPr>
        <w:widowControl/>
      </w:pPr>
      <w:r>
        <w:t>For ordinal T4, quadratic-weighted kappa uses the observed severity confusion matrix O_rs, expected matrix E_rs under observed marginals, and quadratic disagreement weights w_rs:</w:t>
      </w:r>
    </w:p>
    <w:p>
      <w:pPr>
        <w:keepNext w:val="0"/>
        <w:keepLines/>
        <w:spacing w:before="50" w:after="40"/>
        <w:tabs>
          <w:tab w:val="center" w:pos="4729"/>
          <w:tab w:val="right" w:pos="9458"/>
        </w:tabs>
      </w:pPr>
      <w:r>
        <w:tab/>
      </w:r>
      <m:oMath>
        <m:sSub>
          <m:e>
            <m:r>
              <m:t>w</m:t>
            </m:r>
          </m:e>
          <m:sub>
            <m:r>
              <m:t>r</m:t>
            </m:r>
            <m:r>
              <m:t>s</m:t>
            </m:r>
          </m:sub>
        </m:sSub>
        <m:r>
          <m:rPr>
            <m:sty m:val="p"/>
          </m:rPr>
          <m:t>=</m:t>
        </m:r>
        <m:f>
          <m:fPr>
            <m:type m:val="bar"/>
          </m:fPr>
          <m:num>
            <m:sSup>
              <m:e>
                <m:d>
                  <m:dPr>
                    <m:begChr m:val="("/>
                    <m:endChr m:val=")"/>
                    <m:sepChr m:val=""/>
                    <m:grow/>
                  </m:dPr>
                  <m:e>
                    <m:r>
                      <m:t>r</m:t>
                    </m:r>
                    <m:r>
                      <m:rPr>
                        <m:sty m:val="p"/>
                      </m:rPr>
                      <m:t>−</m:t>
                    </m:r>
                    <m:r>
                      <m:t>s</m:t>
                    </m:r>
                  </m:e>
                </m:d>
              </m:e>
              <m:sup>
                <m:r>
                  <m:t>2</m:t>
                </m:r>
              </m:sup>
            </m:sSup>
          </m:num>
          <m:den>
            <m:sSup>
              <m:e>
                <m:d>
                  <m:dPr>
                    <m:begChr m:val="("/>
                    <m:endChr m:val=")"/>
                    <m:sepChr m:val=""/>
                    <m:grow/>
                  </m:dPr>
                  <m:e>
                    <m:r>
                      <m:t>K</m:t>
                    </m:r>
                    <m:r>
                      <m:rPr>
                        <m:sty m:val="p"/>
                      </m:rPr>
                      <m:t>−</m:t>
                    </m:r>
                    <m:r>
                      <m:t>1</m:t>
                    </m:r>
                  </m:e>
                </m:d>
              </m:e>
              <m:sup>
                <m:r>
                  <m:t>2</m:t>
                </m:r>
              </m:sup>
            </m:sSup>
          </m:den>
        </m:f>
        <m:r>
          <m:rPr>
            <m:sty m:val="p"/>
          </m:rPr>
          <m:t>,</m:t>
        </m:r>
        <m:r>
          <m:t>  </m:t>
        </m:r>
        <m:sSub>
          <m:e>
            <m:r>
              <m:t>κ</m:t>
            </m:r>
          </m:e>
          <m:sub>
            <m:r>
              <m:rPr>
                <m:sty m:val="p"/>
              </m:rPr>
              <m:t>Q</m:t>
            </m:r>
            <m:r>
              <m:rPr>
                <m:sty m:val="p"/>
              </m:rPr>
              <m:t>W</m:t>
            </m:r>
          </m:sub>
        </m:sSub>
        <m:r>
          <m:rPr>
            <m:sty m:val="p"/>
          </m:rPr>
          <m:t>=</m:t>
        </m:r>
        <m:r>
          <m:t>1</m:t>
        </m:r>
        <m:r>
          <m:rPr>
            <m:sty m:val="p"/>
          </m:rPr>
          <m:t>−</m:t>
        </m:r>
        <m:f>
          <m:fPr>
            <m:type m:val="bar"/>
          </m:fPr>
          <m:num>
            <m:nary>
              <m:naryPr>
                <m:chr m:val="∑"/>
                <m:limLoc m:val="undOvr"/>
                <m:subHide m:val="off"/>
                <m:supHide m:val="off"/>
              </m:naryPr>
              <m:sub>
                <m:r>
                  <m:t>r</m:t>
                </m:r>
                <m:r>
                  <m:rPr>
                    <m:sty m:val="p"/>
                  </m:rPr>
                  <m:t>=</m:t>
                </m:r>
                <m:r>
                  <m:t>1</m:t>
                </m:r>
              </m:sub>
              <m:sup>
                <m:r>
                  <m:t>K</m:t>
                </m:r>
              </m:sup>
              <m:e>
                <m:nary>
                  <m:naryPr>
                    <m:chr m:val="∑"/>
                    <m:limLoc m:val="undOvr"/>
                    <m:subHide m:val="off"/>
                    <m:supHide m:val="off"/>
                  </m:naryPr>
                  <m:sub>
                    <m:r>
                      <m:t>s</m:t>
                    </m:r>
                    <m:r>
                      <m:rPr>
                        <m:sty m:val="p"/>
                      </m:rPr>
                      <m:t>=</m:t>
                    </m:r>
                    <m:r>
                      <m:t>1</m:t>
                    </m:r>
                  </m:sub>
                  <m:sup>
                    <m:r>
                      <m:t>K</m:t>
                    </m:r>
                  </m:sup>
                  <m:e>
                    <m:sSub>
                      <m:e>
                        <m:r>
                          <m:t>w</m:t>
                        </m:r>
                      </m:e>
                      <m:sub>
                        <m:r>
                          <m:t>r</m:t>
                        </m:r>
                        <m:r>
                          <m:t>s</m:t>
                        </m:r>
                      </m:sub>
                    </m:sSub>
                  </m:e>
                </m:nary>
              </m:e>
            </m:nary>
            <m:sSub>
              <m:e>
                <m:r>
                  <m:t>O</m:t>
                </m:r>
              </m:e>
              <m:sub>
                <m:r>
                  <m:t>r</m:t>
                </m:r>
                <m:r>
                  <m:t>s</m:t>
                </m:r>
              </m:sub>
            </m:sSub>
          </m:num>
          <m:den>
            <m:nary>
              <m:naryPr>
                <m:chr m:val="∑"/>
                <m:limLoc m:val="undOvr"/>
                <m:subHide m:val="off"/>
                <m:supHide m:val="off"/>
              </m:naryPr>
              <m:sub>
                <m:r>
                  <m:t>r</m:t>
                </m:r>
                <m:r>
                  <m:rPr>
                    <m:sty m:val="p"/>
                  </m:rPr>
                  <m:t>=</m:t>
                </m:r>
                <m:r>
                  <m:t>1</m:t>
                </m:r>
              </m:sub>
              <m:sup>
                <m:r>
                  <m:t>K</m:t>
                </m:r>
              </m:sup>
              <m:e>
                <m:nary>
                  <m:naryPr>
                    <m:chr m:val="∑"/>
                    <m:limLoc m:val="undOvr"/>
                    <m:subHide m:val="off"/>
                    <m:supHide m:val="off"/>
                  </m:naryPr>
                  <m:sub>
                    <m:r>
                      <m:t>s</m:t>
                    </m:r>
                    <m:r>
                      <m:rPr>
                        <m:sty m:val="p"/>
                      </m:rPr>
                      <m:t>=</m:t>
                    </m:r>
                    <m:r>
                      <m:t>1</m:t>
                    </m:r>
                  </m:sub>
                  <m:sup>
                    <m:r>
                      <m:t>K</m:t>
                    </m:r>
                  </m:sup>
                  <m:e>
                    <m:sSub>
                      <m:e>
                        <m:r>
                          <m:t>w</m:t>
                        </m:r>
                      </m:e>
                      <m:sub>
                        <m:r>
                          <m:t>r</m:t>
                        </m:r>
                        <m:r>
                          <m:t>s</m:t>
                        </m:r>
                      </m:sub>
                    </m:sSub>
                  </m:e>
                </m:nary>
              </m:e>
            </m:nary>
            <m:sSub>
              <m:e>
                <m:r>
                  <m:t>E</m:t>
                </m:r>
              </m:e>
              <m:sub>
                <m:r>
                  <m:t>r</m:t>
                </m:r>
                <m:r>
                  <m:t>s</m:t>
                </m:r>
              </m:sub>
            </m:sSub>
          </m:den>
        </m:f>
      </m:oMath>
      <w:r>
        <w:tab/>
      </w:r>
      <w:r>
        <w:rPr>
          <w:rFonts w:ascii="Times New Roman" w:hAnsi="Times New Roman" w:eastAsia="Times New Roman" w:cs="Times New Roman"/>
          <w:sz w:val="21"/>
          <w:szCs w:val="21"/>
        </w:rPr>
        <w:t>(S9)</w:t>
      </w:r>
    </w:p>
    <w:p>
      <w:pPr>
        <w:widowControl/>
      </w:pPr>
      <w:r>
        <w:t>Macro-F1 weights classes equally; QWK additionally weights errors by ordinal distance. Paired evaluator-protocol or evidence-condition contrasts use the same sampled Prompt_ID clusters in each bootstrap replicate:</w:t>
      </w:r>
    </w:p>
    <w:p>
      <w:pPr>
        <w:keepNext w:val="0"/>
        <w:keepLines/>
        <w:spacing w:after="40" w:before="50"/>
        <w:tabs>
          <w:tab w:val="center" w:pos="4729"/>
          <w:tab w:val="right" w:pos="9458"/>
        </w:tabs>
      </w:pPr>
      <w:r>
        <w:tab/>
      </w:r>
      <m:oMath>
        <m:sSubSup>
          <m:e>
            <m:r>
              <m:t>Δ</m:t>
            </m:r>
          </m:e>
          <m:sub>
            <m:r>
              <m:t>q</m:t>
            </m:r>
          </m:sub>
          <m:sup>
            <m:r>
              <m:rPr>
                <m:sty m:val="p"/>
              </m:rPr>
              <m:t>⋆</m:t>
            </m:r>
          </m:sup>
        </m:sSubSup>
        <m:r>
          <m:rPr>
            <m:sty m:val="p"/>
          </m:rPr>
          <m:t>=</m:t>
        </m:r>
        <m:r>
          <m:t>M</m:t>
        </m:r>
        <m:d>
          <m:dPr>
            <m:begChr m:val="("/>
            <m:endChr m:val=")"/>
            <m:sepChr m:val=""/>
            <m:grow/>
          </m:dPr>
          <m:e>
            <m:sSubSup>
              <m:e>
                <m:r>
                  <m:t>y</m:t>
                </m:r>
              </m:e>
              <m:sub>
                <m:r>
                  <m:t>q</m:t>
                </m:r>
              </m:sub>
              <m:sup>
                <m:r>
                  <m:rPr>
                    <m:sty m:val="p"/>
                  </m:rPr>
                  <m:t>⋆</m:t>
                </m:r>
              </m:sup>
            </m:sSubSup>
            <m:r>
              <m:rPr>
                <m:sty m:val="p"/>
              </m:rPr>
              <m:t>,</m:t>
            </m:r>
            <m:sSubSup>
              <m:e>
                <m:acc>
                  <m:accPr>
                    <m:chr m:val="̂"/>
                  </m:accPr>
                  <m:e>
                    <m:r>
                      <m:t>y</m:t>
                    </m:r>
                  </m:e>
                </m:acc>
              </m:e>
              <m:sub>
                <m:r>
                  <m:t>a</m:t>
                </m:r>
                <m:r>
                  <m:rPr>
                    <m:sty m:val="p"/>
                  </m:rPr>
                  <m:t>,</m:t>
                </m:r>
                <m:r>
                  <m:t>q</m:t>
                </m:r>
              </m:sub>
              <m:sup>
                <m:r>
                  <m:rPr>
                    <m:sty m:val="p"/>
                  </m:rPr>
                  <m:t>⋆</m:t>
                </m:r>
              </m:sup>
            </m:sSubSup>
          </m:e>
        </m:d>
        <m:r>
          <m:rPr>
            <m:sty m:val="p"/>
          </m:rPr>
          <m:t>−</m:t>
        </m:r>
        <m:r>
          <m:t>M</m:t>
        </m:r>
        <m:d>
          <m:dPr>
            <m:begChr m:val="("/>
            <m:endChr m:val=")"/>
            <m:sepChr m:val=""/>
            <m:grow/>
          </m:dPr>
          <m:e>
            <m:sSubSup>
              <m:e>
                <m:r>
                  <m:t>y</m:t>
                </m:r>
              </m:e>
              <m:sub>
                <m:r>
                  <m:t>q</m:t>
                </m:r>
              </m:sub>
              <m:sup>
                <m:r>
                  <m:rPr>
                    <m:sty m:val="p"/>
                  </m:rPr>
                  <m:t>⋆</m:t>
                </m:r>
              </m:sup>
            </m:sSubSup>
            <m:r>
              <m:rPr>
                <m:sty m:val="p"/>
              </m:rPr>
              <m:t>,</m:t>
            </m:r>
            <m:sSubSup>
              <m:e>
                <m:acc>
                  <m:accPr>
                    <m:chr m:val="̂"/>
                  </m:accPr>
                  <m:e>
                    <m:r>
                      <m:t>y</m:t>
                    </m:r>
                  </m:e>
                </m:acc>
              </m:e>
              <m:sub>
                <m:r>
                  <m:t>b</m:t>
                </m:r>
                <m:r>
                  <m:rPr>
                    <m:sty m:val="p"/>
                  </m:rPr>
                  <m:t>,</m:t>
                </m:r>
                <m:r>
                  <m:t>q</m:t>
                </m:r>
              </m:sub>
              <m:sup>
                <m:r>
                  <m:rPr>
                    <m:sty m:val="p"/>
                  </m:rPr>
                  <m:t>⋆</m:t>
                </m:r>
              </m:sup>
            </m:sSubSup>
          </m:e>
        </m:d>
        <m:r>
          <m:rPr>
            <m:sty m:val="p"/>
          </m:rPr>
          <m:t>,</m:t>
        </m:r>
        <m:r>
          <m:t>  </m:t>
        </m:r>
        <m:r>
          <m:t>q</m:t>
        </m:r>
        <m:r>
          <m:rPr>
            <m:sty m:val="p"/>
          </m:rPr>
          <m:t>=</m:t>
        </m:r>
        <m:r>
          <m:t>1</m:t>
        </m:r>
        <m:r>
          <m:rPr>
            <m:sty m:val="p"/>
          </m:rPr>
          <m:t>,</m:t>
        </m:r>
        <m:r>
          <m:rPr>
            <m:sty m:val="p"/>
          </m:rPr>
          <m:t>…</m:t>
        </m:r>
        <m:r>
          <m:rPr>
            <m:sty m:val="p"/>
          </m:rPr>
          <m:t>,</m:t>
        </m:r>
        <m:r>
          <m:t>B</m:t>
        </m:r>
        <m:r>
          <m:rPr>
            <m:sty m:val="p"/>
          </m:rPr>
          <m:t>,</m:t>
        </m:r>
        <m:r>
          <m:t> </m:t>
        </m:r>
        <m:r>
          <m:t>B</m:t>
        </m:r>
        <m:r>
          <m:rPr>
            <m:sty m:val="p"/>
          </m:rPr>
          <m:t>=</m:t>
        </m:r>
        <m:r>
          <m:t>2000</m:t>
        </m:r>
      </m:oMath>
      <w:r>
        <w:tab/>
      </w:r>
      <w:r>
        <w:rPr>
          <w:rFonts w:ascii="Times New Roman" w:hAnsi="Times New Roman" w:eastAsia="Times New Roman" w:cs="Times New Roman"/>
          <w:sz w:val="21"/>
          <w:szCs w:val="21"/>
        </w:rPr>
        <w:t>(S10)</w:t>
      </w:r>
    </w:p>
    <w:p>
      <w:pPr>
        <w:widowControl/>
      </w:pPr>
      <w:r>
        <w:rPr/>
        <w:t>Two thousand Prompt_ID-cluster bootstrap replicates are drawn with replacement using seed 20260908; each sampled prompt retains all eligible checkpoint outputs. Ninety-five per cent confidence intervals are the 2.5th–97.5th percentiles of the resulting statistic or paired-difference distribution. These intervals are conditional on the frozen fold assignment and the archived out-of-fold predictions; no retraining, alternative fold generation, or hyperparameter reselection occurs inside a bootstrap replicate. They therefore quantify prompt-cluster sampling uncertainty for the realised analysis rather than total algorithmic training uncertainty. No family-wise multiplicity adjustment is applied across the distinct T1–T4 estimands; intervals are interpreted as target-specific estimation intervals, with emphasis on magnitude, width, direction, and robustness rather than dichotomous significance.</w:t>
      </w:r>
    </w:p>
    <w:p>
      <w:pPr>
        <w:spacing w:after="100"/>
      </w:pPr>
      <w:r>
        <w:t>Inferential target and sampling-frame warning (S01/S12). The analysed 120 Prompt_ID clusters were constructed to cover six tasks, with exactly six fixed generator checkpoint outputs each. Unless a hypothetical within-task exchangeability model is explicitly assumed, cluster-bootstrap intervals do not have design-based 95% coverage for unseen prompts, unselected generators, judges, annotation teams or naturally occurring failure prevalence. The task-stratified sensitivity in Table S62 changes resampling composition but does not remedy purposive selection or independently sample model checkpoints.</w:t>
      </w:r>
    </w:p>
    <w:p>
      <w:pPr>
        <w:spacing w:after="100"/>
      </w:pPr>
      <w:r>
        <w:t>Multiplicity-family map (S03). Primary target macro-F1/QWK: four distinct GOLD-eligibility populations (T1 720; T2/T4 474; T3 460), nominal fixed-OOF prompt-cluster CIs (2,000 draws; seed 20260908; no across-target Holm). A/B/C within-target contrasts: paired nominal 2,000-draw intervals on the same frozen cases (no global correction). Source-bearing task×target cells: 16 exploratory descriptive cells, no correction. E1/E2: 20 post-hoc paired perturbations, nominal 3,000-draw Prompt_ID-cluster CIs (seed 20261009), no 20-way simultaneous correction. HJI: 60 overlapping GEE coefficients with Holm family-wise and BH-FDR adjusted p-values; separate GOLD-class-standardised marginal RDs carry nominal 2,500-draw intervals (PCG64 seed 20261010), not Holm-corrected. Follow-up dual and five dependent matched subsets: 2,000 task-stratified draws, seed 20260928; neither the five SDs nor their paired descriptive CIs are independent-replication evidence. Human agreement statistics: 2,000 task-stratified draws, seed 20260804, over the frozen pre-resolution annotation panel.</w:t>
      </w:r>
      <w:r>
        <w:t xml:space="preserve"> These are post-hoc nominal endpoint-sensitivity checks for a purposive task-balanced corpus, not an external-sampling coverage guarantee.</w:t>
      </w:r>
    </w:p>
    <w:p>
      <w:pPr>
        <w:widowControl/>
      </w:pPr>
      <w:r>
        <w:t>A post-hoc sensitivity analysis repeated the computational bootstrap while preserving the designed six-task composition: within every replicate, 20 Prompt_ID clusters were resampled with replacement inside each task. Point estimates remain unchanged because only the uncertainty resampling scheme changes. Across the intervals listed in Table S62, no interval changed whether it included zero and the largest absolute shift of either 95% interval endpoint was .013. The detailed row-level comparison is archived in P2_IPM_TASK_STRATIFIED_COMPUTATIONAL_BOOTSTRAP_SENSITIVITY.csv.</w:t>
      </w:r>
    </w:p>
    <w:p>
      <w:pPr>
        <w:keepNext/>
      </w:pPr>
      <w:r>
        <w:t>Table S62. Task-stratified computational-bootstrap sensitivity.</w:t>
      </w:r>
    </w:p>
    <w:p>
      <w:pPr>
        <w:spacing w:after="100"/>
      </w:pPr>
      <w:r>
        <w:t>Fixed-model interval boundary (S08). The 2,000-draw computation resamples rows only in preassigned Prompt_ID groups of archived out-of-fold predictions; it does not resample the fold creation, reselect the single predefined M3 inner-development partition/epoch, rerun training, resample the six checkpoints, or repeat judge inference. Thus intervals are conditional on these realised trained-model and design choices, not full training-pipeline uncertainty.</w:t>
      </w:r>
    </w:p>
    <w:tbl>
      <w:tblPr>
        <w:tblStyle w:val="35"/>
        <w:tblW w:type="auto" w:w="0"/>
        <w:jc w:val="center"/>
        <w:tblLayout w:type="autofit"/>
        <w:tblLook w:firstColumn="1" w:firstRow="1" w:lastColumn="0" w:lastRow="0" w:noHBand="0" w:noVBand="1" w:val="04A0"/>
        <w:tblBorders>
          <w:top w:val="single" w:sz="4" w:color="C7D4E2"/>
          <w:bottom w:val="single" w:sz="4" w:color="C7D4E2"/>
          <w:left w:val="single" w:sz="4" w:color="C7D4E2"/>
          <w:right w:val="single" w:sz="4" w:color="C7D4E2"/>
          <w:insideH w:val="single" w:sz="4" w:color="C7D4E2"/>
          <w:insideV w:val="single" w:sz="3" w:color="C7D4E2"/>
        </w:tblBorders>
      </w:tblPr>
      <w:tblGrid>
        <w:gridCol w:w="2458"/>
        <w:gridCol w:w="2458"/>
        <w:gridCol w:w="2458"/>
        <w:gridCol w:w="2458"/>
      </w:tblGrid>
      <w:tr>
        <w:trPr>
          <w:cantSplit/>
          <w:tblHeader w:val="true"/>
          <w:tblHeader w:val="true"/>
        </w:trPr>
        <w:tc>
          <w:tcPr>
            <w:tcW w:type="dxa" w:w="2458"/>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6"/>
              </w:rPr>
              <w:t>Analysis family</w:t>
            </w:r>
          </w:p>
        </w:tc>
        <w:tc>
          <w:tcPr>
            <w:tcW w:type="dxa" w:w="2458"/>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6"/>
              </w:rPr>
              <w:t>Intervals</w:t>
            </w:r>
          </w:p>
        </w:tc>
        <w:tc>
          <w:tcPr>
            <w:tcW w:type="dxa" w:w="2458"/>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6"/>
              </w:rPr>
              <w:t>Max endpoint shift</w:t>
            </w:r>
          </w:p>
        </w:tc>
        <w:tc>
          <w:tcPr>
            <w:tcW w:type="dxa" w:w="2458"/>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6"/>
              </w:rPr>
              <w:t>Zero-inclusion changes</w:t>
            </w:r>
          </w:p>
        </w:tc>
      </w:tr>
      <w:tr>
        <w:trPr>
          <w:cantSplit/>
        </w:trPr>
        <w:tc>
          <w:tcPr>
            <w:tcW w:type="dxa" w:w="2458"/>
            <w:vAlign w:val="center"/>
            <w:tcMar>
              <w:top w:w="65" w:type="dxa"/>
              <w:start w:w="68" w:type="dxa"/>
              <w:bottom w:w="65" w:type="dxa"/>
              <w:end w:w="68" w:type="dxa"/>
            </w:tcMar>
          </w:tcPr>
          <w:p>
            <w:pPr>
              <w:spacing w:after="0" w:before="0"/>
            </w:pPr>
            <w:r>
              <w:rPr>
                <w:rFonts w:ascii="Times New Roman" w:hAnsi="Times New Roman"/>
                <w:b w:val="0"/>
                <w:sz w:val="16"/>
              </w:rPr>
              <w:t>Condition-C performance (M0–M4; Table 16/S35)</w:t>
            </w:r>
          </w:p>
        </w:tc>
        <w:tc>
          <w:tcPr>
            <w:tcW w:type="dxa" w:w="2458"/>
            <w:vAlign w:val="center"/>
            <w:tcMar>
              <w:top w:w="65" w:type="dxa"/>
              <w:start w:w="68" w:type="dxa"/>
              <w:bottom w:w="65" w:type="dxa"/>
              <w:end w:w="68" w:type="dxa"/>
            </w:tcMar>
          </w:tcPr>
          <w:p>
            <w:pPr>
              <w:spacing w:after="0" w:before="0"/>
            </w:pPr>
            <w:r>
              <w:rPr>
                <w:rFonts w:ascii="Times New Roman" w:hAnsi="Times New Roman"/>
                <w:b w:val="0"/>
                <w:sz w:val="16"/>
              </w:rPr>
              <w:t>25</w:t>
            </w:r>
          </w:p>
        </w:tc>
        <w:tc>
          <w:tcPr>
            <w:tcW w:type="dxa" w:w="2458"/>
            <w:vAlign w:val="center"/>
            <w:tcMar>
              <w:top w:w="65" w:type="dxa"/>
              <w:start w:w="68" w:type="dxa"/>
              <w:bottom w:w="65" w:type="dxa"/>
              <w:end w:w="68" w:type="dxa"/>
            </w:tcMar>
          </w:tcPr>
          <w:p>
            <w:pPr>
              <w:spacing w:after="0" w:before="0"/>
            </w:pPr>
            <w:r>
              <w:rPr>
                <w:rFonts w:ascii="Times New Roman" w:hAnsi="Times New Roman"/>
                <w:b w:val="0"/>
                <w:sz w:val="16"/>
              </w:rPr>
              <w:t>.013</w:t>
            </w:r>
          </w:p>
        </w:tc>
        <w:tc>
          <w:tcPr>
            <w:tcW w:type="dxa" w:w="2458"/>
            <w:vAlign w:val="center"/>
            <w:tcMar>
              <w:top w:w="65" w:type="dxa"/>
              <w:start w:w="68" w:type="dxa"/>
              <w:bottom w:w="65" w:type="dxa"/>
              <w:end w:w="68" w:type="dxa"/>
            </w:tcMar>
          </w:tcPr>
          <w:p>
            <w:pPr>
              <w:spacing w:after="0" w:before="0"/>
            </w:pPr>
            <w:r>
              <w:rPr>
                <w:rFonts w:ascii="Times New Roman" w:hAnsi="Times New Roman"/>
                <w:b w:val="0"/>
                <w:sz w:val="16"/>
              </w:rPr>
              <w:t>0</w:t>
            </w:r>
          </w:p>
        </w:tc>
      </w:tr>
      <w:tr>
        <w:trPr>
          <w:cantSplit/>
        </w:trPr>
        <w:tc>
          <w:tcPr>
            <w:tcW w:type="dxa" w:w="2458"/>
            <w:vAlign w:val="center"/>
            <w:tcMar>
              <w:top w:w="65" w:type="dxa"/>
              <w:start w:w="68" w:type="dxa"/>
              <w:bottom w:w="65" w:type="dxa"/>
              <w:end w:w="68" w:type="dxa"/>
            </w:tcMar>
          </w:tcPr>
          <w:p>
            <w:pPr>
              <w:spacing w:after="0" w:before="0"/>
            </w:pPr>
            <w:r>
              <w:rPr>
                <w:rFonts w:ascii="Times New Roman" w:hAnsi="Times New Roman"/>
                <w:b w:val="0"/>
                <w:sz w:val="16"/>
              </w:rPr>
              <w:t>Paired evaluator-protocol contrasts (Table 17/S36)</w:t>
            </w:r>
          </w:p>
        </w:tc>
        <w:tc>
          <w:tcPr>
            <w:tcW w:type="dxa" w:w="2458"/>
            <w:vAlign w:val="center"/>
            <w:tcMar>
              <w:top w:w="65" w:type="dxa"/>
              <w:start w:w="68" w:type="dxa"/>
              <w:bottom w:w="65" w:type="dxa"/>
              <w:end w:w="68" w:type="dxa"/>
            </w:tcMar>
          </w:tcPr>
          <w:p>
            <w:pPr>
              <w:spacing w:after="0" w:before="0"/>
            </w:pPr>
            <w:r>
              <w:rPr>
                <w:rFonts w:ascii="Times New Roman" w:hAnsi="Times New Roman"/>
                <w:b w:val="0"/>
                <w:sz w:val="16"/>
              </w:rPr>
              <w:t>8</w:t>
            </w:r>
          </w:p>
        </w:tc>
        <w:tc>
          <w:tcPr>
            <w:tcW w:type="dxa" w:w="2458"/>
            <w:vAlign w:val="center"/>
            <w:tcMar>
              <w:top w:w="65" w:type="dxa"/>
              <w:start w:w="68" w:type="dxa"/>
              <w:bottom w:w="65" w:type="dxa"/>
              <w:end w:w="68" w:type="dxa"/>
            </w:tcMar>
          </w:tcPr>
          <w:p>
            <w:pPr>
              <w:spacing w:after="0" w:before="0"/>
            </w:pPr>
            <w:r>
              <w:rPr>
                <w:rFonts w:ascii="Times New Roman" w:hAnsi="Times New Roman"/>
                <w:b w:val="0"/>
                <w:sz w:val="16"/>
              </w:rPr>
              <w:t>.010</w:t>
            </w:r>
          </w:p>
        </w:tc>
        <w:tc>
          <w:tcPr>
            <w:tcW w:type="dxa" w:w="2458"/>
            <w:vAlign w:val="center"/>
            <w:tcMar>
              <w:top w:w="65" w:type="dxa"/>
              <w:start w:w="68" w:type="dxa"/>
              <w:bottom w:w="65" w:type="dxa"/>
              <w:end w:w="68" w:type="dxa"/>
            </w:tcMar>
          </w:tcPr>
          <w:p>
            <w:pPr>
              <w:spacing w:after="0" w:before="0"/>
            </w:pPr>
            <w:r>
              <w:rPr>
                <w:rFonts w:ascii="Times New Roman" w:hAnsi="Times New Roman"/>
                <w:b w:val="0"/>
                <w:sz w:val="16"/>
              </w:rPr>
              <w:t>0</w:t>
            </w:r>
          </w:p>
        </w:tc>
      </w:tr>
      <w:tr>
        <w:trPr>
          <w:cantSplit/>
        </w:trPr>
        <w:tc>
          <w:tcPr>
            <w:tcW w:type="dxa" w:w="2458"/>
            <w:vAlign w:val="center"/>
            <w:tcMar>
              <w:top w:w="65" w:type="dxa"/>
              <w:start w:w="68" w:type="dxa"/>
              <w:bottom w:w="65" w:type="dxa"/>
              <w:end w:w="68" w:type="dxa"/>
            </w:tcMar>
          </w:tcPr>
          <w:p>
            <w:pPr>
              <w:spacing w:after="0" w:before="0"/>
            </w:pPr>
            <w:r>
              <w:rPr>
                <w:rFonts w:ascii="Times New Roman" w:hAnsi="Times New Roman"/>
                <w:b w:val="0"/>
                <w:sz w:val="16"/>
              </w:rPr>
              <w:t>M3 evidence-condition contrasts (Table 18/S38)</w:t>
            </w:r>
          </w:p>
        </w:tc>
        <w:tc>
          <w:tcPr>
            <w:tcW w:type="dxa" w:w="2458"/>
            <w:vAlign w:val="center"/>
            <w:tcMar>
              <w:top w:w="65" w:type="dxa"/>
              <w:start w:w="68" w:type="dxa"/>
              <w:bottom w:w="65" w:type="dxa"/>
              <w:end w:w="68" w:type="dxa"/>
            </w:tcMar>
          </w:tcPr>
          <w:p>
            <w:pPr>
              <w:spacing w:after="0" w:before="0"/>
            </w:pPr>
            <w:r>
              <w:rPr>
                <w:rFonts w:ascii="Times New Roman" w:hAnsi="Times New Roman"/>
                <w:b w:val="0"/>
                <w:sz w:val="16"/>
              </w:rPr>
              <w:t>8</w:t>
            </w:r>
          </w:p>
        </w:tc>
        <w:tc>
          <w:tcPr>
            <w:tcW w:type="dxa" w:w="2458"/>
            <w:vAlign w:val="center"/>
            <w:tcMar>
              <w:top w:w="65" w:type="dxa"/>
              <w:start w:w="68" w:type="dxa"/>
              <w:bottom w:w="65" w:type="dxa"/>
              <w:end w:w="68" w:type="dxa"/>
            </w:tcMar>
          </w:tcPr>
          <w:p>
            <w:pPr>
              <w:spacing w:after="0" w:before="0"/>
            </w:pPr>
            <w:r>
              <w:rPr>
                <w:rFonts w:ascii="Times New Roman" w:hAnsi="Times New Roman"/>
                <w:b w:val="0"/>
                <w:sz w:val="16"/>
              </w:rPr>
              <w:t>.007</w:t>
            </w:r>
          </w:p>
        </w:tc>
        <w:tc>
          <w:tcPr>
            <w:tcW w:type="dxa" w:w="2458"/>
            <w:vAlign w:val="center"/>
            <w:tcMar>
              <w:top w:w="65" w:type="dxa"/>
              <w:start w:w="68" w:type="dxa"/>
              <w:bottom w:w="65" w:type="dxa"/>
              <w:end w:w="68" w:type="dxa"/>
            </w:tcMar>
          </w:tcPr>
          <w:p>
            <w:pPr>
              <w:spacing w:after="0" w:before="0"/>
            </w:pPr>
            <w:r>
              <w:rPr>
                <w:rFonts w:ascii="Times New Roman" w:hAnsi="Times New Roman"/>
                <w:b w:val="0"/>
                <w:sz w:val="16"/>
              </w:rPr>
              <w:t>0</w:t>
            </w:r>
          </w:p>
        </w:tc>
      </w:tr>
      <w:tr>
        <w:trPr>
          <w:cantSplit/>
        </w:trPr>
        <w:tc>
          <w:tcPr>
            <w:tcW w:type="dxa" w:w="2458"/>
            <w:vAlign w:val="center"/>
            <w:tcMar>
              <w:top w:w="65" w:type="dxa"/>
              <w:start w:w="68" w:type="dxa"/>
              <w:bottom w:w="65" w:type="dxa"/>
              <w:end w:w="68" w:type="dxa"/>
            </w:tcMar>
          </w:tcPr>
          <w:p>
            <w:pPr>
              <w:spacing w:after="0" w:before="0"/>
            </w:pPr>
            <w:r>
              <w:rPr>
                <w:rFonts w:ascii="Times New Roman" w:hAnsi="Times New Roman"/>
                <w:b w:val="0"/>
                <w:sz w:val="16"/>
              </w:rPr>
              <w:t>M3 human-hard/easy error + entropy contrasts (Table 19/S42)</w:t>
            </w:r>
          </w:p>
        </w:tc>
        <w:tc>
          <w:tcPr>
            <w:tcW w:type="dxa" w:w="2458"/>
            <w:vAlign w:val="center"/>
            <w:tcMar>
              <w:top w:w="65" w:type="dxa"/>
              <w:start w:w="68" w:type="dxa"/>
              <w:bottom w:w="65" w:type="dxa"/>
              <w:end w:w="68" w:type="dxa"/>
            </w:tcMar>
          </w:tcPr>
          <w:p>
            <w:pPr>
              <w:spacing w:after="0" w:before="0"/>
            </w:pPr>
            <w:r>
              <w:rPr>
                <w:rFonts w:ascii="Times New Roman" w:hAnsi="Times New Roman"/>
                <w:b w:val="0"/>
                <w:sz w:val="16"/>
              </w:rPr>
              <w:t>8</w:t>
            </w:r>
          </w:p>
        </w:tc>
        <w:tc>
          <w:tcPr>
            <w:tcW w:type="dxa" w:w="2458"/>
            <w:vAlign w:val="center"/>
            <w:tcMar>
              <w:top w:w="65" w:type="dxa"/>
              <w:start w:w="68" w:type="dxa"/>
              <w:bottom w:w="65" w:type="dxa"/>
              <w:end w:w="68" w:type="dxa"/>
            </w:tcMar>
          </w:tcPr>
          <w:p>
            <w:pPr>
              <w:spacing w:after="0" w:before="0"/>
            </w:pPr>
            <w:r>
              <w:rPr>
                <w:rFonts w:ascii="Times New Roman" w:hAnsi="Times New Roman"/>
                <w:b w:val="0"/>
                <w:sz w:val="16"/>
              </w:rPr>
              <w:t>.011</w:t>
            </w:r>
          </w:p>
        </w:tc>
        <w:tc>
          <w:tcPr>
            <w:tcW w:type="dxa" w:w="2458"/>
            <w:vAlign w:val="center"/>
            <w:tcMar>
              <w:top w:w="65" w:type="dxa"/>
              <w:start w:w="68" w:type="dxa"/>
              <w:bottom w:w="65" w:type="dxa"/>
              <w:end w:w="68" w:type="dxa"/>
            </w:tcMar>
          </w:tcPr>
          <w:p>
            <w:pPr>
              <w:spacing w:after="0" w:before="0"/>
            </w:pPr>
            <w:r>
              <w:rPr>
                <w:rFonts w:ascii="Times New Roman" w:hAnsi="Times New Roman"/>
                <w:b w:val="0"/>
                <w:sz w:val="16"/>
              </w:rPr>
              <w:t>0</w:t>
            </w:r>
          </w:p>
        </w:tc>
      </w:tr>
    </w:tbl>
    <w:p>
      <w:pPr>
        <w:pStyle w:val="3"/>
        <w:keepNext/>
        <w:keepLines/>
      </w:pPr>
      <w:r>
        <w:rPr>
          <w:color w:val="000000"/>
        </w:rPr>
        <w:t>S9.5 Evidence-condition comparisons</w:t>
      </w:r>
    </w:p>
    <w:p>
      <w:pPr>
        <w:widowControl/>
      </w:pPr>
      <w:r>
        <w:t>Paired Δ(B−A) and Δ(C−B) use the same 2,000 Prompt_ID-cluster bootstrap procedure. For M4 the model weights are unchanged across conditions. For M3, B and C are separately trained models; therefore source-free B/C differences can reflect training-regime spillover and are not interpreted as a direct source effect.</w:t>
      </w:r>
    </w:p>
    <w:p>
      <w:pPr>
        <w:pStyle w:val="16"/>
        <w:keepNext/>
        <w:keepLines/>
        <w:spacing w:before="120" w:after="60"/>
        <w:jc w:val="left"/>
      </w:pPr>
      <w:r>
        <w:t>Table S63. M1, M3, and archived P1/identity M4 evidence-condition results.</w:t>
      </w:r>
    </w:p>
    <w:tbl>
      <w:tblPr>
        <w:tblStyle w:val="35"/>
        <w:tblW w:type="auto" w:w="0"/>
        <w:tblLayout w:type="autofit"/>
        <w:tblLook w:firstColumn="1" w:firstRow="1" w:lastColumn="0" w:lastRow="0" w:noHBand="0" w:noVBand="1" w:val="04A0"/>
        <w:jc w:val="center"/>
        <w:tblBorders>
          <w:top w:val="single" w:sz="4" w:color="C7D4E2"/>
          <w:bottom w:val="single" w:sz="4" w:color="C7D4E2"/>
          <w:left w:val="single" w:sz="4" w:color="C7D4E2"/>
          <w:right w:val="single" w:sz="4" w:color="C7D4E2"/>
          <w:insideH w:val="single" w:sz="4" w:color="C7D4E2"/>
          <w:insideV w:val="single" w:sz="3" w:color="C7D4E2"/>
        </w:tblBorders>
      </w:tblPr>
      <w:tblGrid>
        <w:gridCol w:w="1405"/>
        <w:gridCol w:w="1405"/>
        <w:gridCol w:w="1405"/>
        <w:gridCol w:w="1405"/>
        <w:gridCol w:w="1405"/>
        <w:gridCol w:w="1405"/>
        <w:gridCol w:w="1405"/>
      </w:tblGrid>
      <w:tr>
        <w:trPr>
          <w:tblHeader w:val="true"/>
          <w:cantSplit w:val="true"/>
          <w:tblHeader w:val="true"/>
        </w:trPr>
        <w:tc>
          <w:tcPr>
            <w:tcW w:type="dxa" w:w="1405"/>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4"/>
              </w:rPr>
            </w:r>
            <w:r>
              <w:rPr>
                <w:rFonts w:ascii="Times New Roman" w:hAnsi="Times New Roman" w:eastAsia="Times New Roman" w:cs="Times New Roman"/>
                <w:b/>
                <w:color w:val="1E364D"/>
                <w:sz w:val="14"/>
              </w:rPr>
              <w:t>Model</w:t>
            </w:r>
          </w:p>
        </w:tc>
        <w:tc>
          <w:tcPr>
            <w:tcW w:type="dxa" w:w="1405"/>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4"/>
              </w:rPr>
            </w:r>
            <w:r>
              <w:rPr>
                <w:rFonts w:ascii="Times New Roman" w:hAnsi="Times New Roman" w:eastAsia="Times New Roman" w:cs="Times New Roman"/>
                <w:b/>
                <w:color w:val="1E364D"/>
                <w:sz w:val="14"/>
              </w:rPr>
              <w:t>Target</w:t>
            </w:r>
          </w:p>
        </w:tc>
        <w:tc>
          <w:tcPr>
            <w:tcW w:type="dxa" w:w="1405"/>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4"/>
              </w:rPr>
            </w:r>
            <w:r>
              <w:rPr>
                <w:rFonts w:ascii="Times New Roman" w:hAnsi="Times New Roman" w:eastAsia="Times New Roman" w:cs="Times New Roman"/>
                <w:b/>
                <w:color w:val="1E364D"/>
                <w:sz w:val="14"/>
              </w:rPr>
              <w:t>A</w:t>
            </w:r>
          </w:p>
        </w:tc>
        <w:tc>
          <w:tcPr>
            <w:tcW w:type="dxa" w:w="1405"/>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4"/>
              </w:rPr>
            </w:r>
            <w:r>
              <w:rPr>
                <w:rFonts w:ascii="Times New Roman" w:hAnsi="Times New Roman" w:eastAsia="Times New Roman" w:cs="Times New Roman"/>
                <w:b/>
                <w:color w:val="1E364D"/>
                <w:sz w:val="14"/>
              </w:rPr>
              <w:t>B</w:t>
            </w:r>
          </w:p>
        </w:tc>
        <w:tc>
          <w:tcPr>
            <w:tcW w:type="dxa" w:w="1405"/>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4"/>
              </w:rPr>
            </w:r>
            <w:r>
              <w:rPr>
                <w:rFonts w:ascii="Times New Roman" w:hAnsi="Times New Roman" w:eastAsia="Times New Roman" w:cs="Times New Roman"/>
                <w:b/>
                <w:color w:val="1E364D"/>
                <w:sz w:val="14"/>
              </w:rPr>
              <w:t>C</w:t>
            </w:r>
          </w:p>
        </w:tc>
        <w:tc>
          <w:tcPr>
            <w:tcW w:type="dxa" w:w="1405"/>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4"/>
              </w:rPr>
            </w:r>
            <w:r>
              <w:rPr>
                <w:rFonts w:ascii="Times New Roman" w:hAnsi="Times New Roman" w:eastAsia="Times New Roman" w:cs="Times New Roman"/>
                <w:b/>
                <w:color w:val="1E364D"/>
                <w:sz w:val="14"/>
              </w:rPr>
              <w:t>Δ(B−A)</w:t>
            </w:r>
          </w:p>
        </w:tc>
        <w:tc>
          <w:tcPr>
            <w:tcW w:type="dxa" w:w="1405"/>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4"/>
              </w:rPr>
            </w:r>
            <w:r>
              <w:rPr>
                <w:rFonts w:ascii="Times New Roman" w:hAnsi="Times New Roman" w:eastAsia="Times New Roman" w:cs="Times New Roman"/>
                <w:b/>
                <w:color w:val="1E364D"/>
                <w:sz w:val="14"/>
              </w:rPr>
              <w:t>Δ(C−B)</w:t>
            </w:r>
          </w:p>
        </w:tc>
      </w:tr>
      <w:tr>
        <w:trPr>
          <w:cantSplit w:val="true"/>
        </w:trPr>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M1</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T1</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0.591</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0.614</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0.614</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+0.022 [-0.017,0.061]</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-0.000 [-0.022,0.023]</w:t>
            </w:r>
          </w:p>
        </w:tc>
      </w:tr>
      <w:tr>
        <w:trPr>
          <w:cantSplit w:val="true"/>
        </w:trPr>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M1</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T2</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0.657</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0.661</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0.669</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+0.004 [-0.043,0.051]</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+0.008 [-0.023,0.037]</w:t>
            </w:r>
          </w:p>
        </w:tc>
      </w:tr>
      <w:tr>
        <w:trPr>
          <w:cantSplit w:val="true"/>
        </w:trPr>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M1</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T3</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0.700</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0.715</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0.722</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+0.016 [-0.032,0.064]</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+0.007 [-0.023,0.038]</w:t>
            </w:r>
          </w:p>
        </w:tc>
      </w:tr>
      <w:tr>
        <w:trPr>
          <w:cantSplit w:val="true"/>
        </w:trPr>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M1</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T4</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0.532</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0.577</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0.567</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+0.045 [0.015,0.076]</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-0.010 [-0.037,0.017]</w:t>
            </w:r>
          </w:p>
        </w:tc>
      </w:tr>
      <w:tr>
        <w:trPr>
          <w:cantSplit w:val="true"/>
        </w:trPr>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M3</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T1</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0.692</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0.692</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0.655</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+0.000 [-0.041,0.040]</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-0.037 [-0.071,-0.001]</w:t>
            </w:r>
          </w:p>
        </w:tc>
      </w:tr>
      <w:tr>
        <w:trPr>
          <w:cantSplit w:val="true"/>
        </w:trPr>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M3</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T2</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0.728</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0.766</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0.777</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+0.038 [-0.002,0.077]</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+0.012 [-0.023,0.043]</w:t>
            </w:r>
          </w:p>
        </w:tc>
      </w:tr>
      <w:tr>
        <w:trPr>
          <w:cantSplit w:val="true"/>
        </w:trPr>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M3</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T3</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0.742</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0.814</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0.791</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+0.072 [0.021,0.125]</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-0.023 [-0.062,0.017]</w:t>
            </w:r>
          </w:p>
        </w:tc>
      </w:tr>
      <w:tr>
        <w:trPr>
          <w:cantSplit w:val="true"/>
        </w:trPr>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M3</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T4</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0.671</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0.678</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0.637</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+0.007 [-0.030,0.046]</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-0.041 [-0.073,-0.013]</w:t>
            </w:r>
          </w:p>
        </w:tc>
      </w:tr>
      <w:tr>
        <w:trPr>
          <w:cantSplit w:val="true"/>
        </w:trPr>
        <w:tc>
          <w:tcPr>
            <w:tcW w:type="dxa" w:w="1405"/>
            <w:vAlign w:val="center"/>
            <w:tcMar>
              <w:top w:w="65" w:type="dxa"/>
              <w:start w:w="68" w:type="dxa"/>
              <w:bottom w:w="65" w:type="dxa"/>
              <w:end w:w="68" w:type="dxa"/>
            </w:tcMar>
          </w:tcPr>
          <w:p>
            <w:pPr>
              <w:spacing w:before="0" w:after="0"/>
            </w:pPr>
            <w:r>
              <w:rPr>
                <w:rFonts w:ascii="Times New Roman" w:hAnsi="Times New Roman"/>
                <w:sz w:val="14"/>
              </w:rPr>
              <w:t>M4</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T1</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0.499</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0.673</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0.741</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+0.174 [0.140,0.209]</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+0.068 [0.043,0.095]</w:t>
            </w:r>
          </w:p>
        </w:tc>
      </w:tr>
      <w:tr>
        <w:trPr>
          <w:cantSplit w:val="true"/>
        </w:trPr>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M4</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T2</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0.499</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0.475</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0.609</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-0.024 [-0.075,0.025]</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+0.135 [0.093,0.178]</w:t>
            </w:r>
          </w:p>
        </w:tc>
      </w:tr>
      <w:tr>
        <w:trPr>
          <w:cantSplit w:val="true"/>
        </w:trPr>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M4</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T3</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0.493</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0.462</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0.530</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-0.031 [-0.086,0.023]</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+0.068 [0.036,0.101]</w:t>
            </w:r>
          </w:p>
        </w:tc>
      </w:tr>
      <w:tr>
        <w:trPr>
          <w:cantSplit w:val="true"/>
        </w:trPr>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M4</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T4</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0.252</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0.337</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0.391</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+0.085 [0.054,0.116]</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+0.054 [0.031,0.077]</w:t>
            </w:r>
          </w:p>
        </w:tc>
      </w:tr>
    </w:tbl>
    <w:p>
      <w:pPr>
        <w:pStyle w:val="4"/>
        <w:keepNext/>
        <w:keepLines/>
      </w:pPr>
      <w:r>
        <w:rPr>
          <w:color w:val="000000"/>
        </w:rPr>
        <w:t>S9.5.1 Source-bearing restriction</w:t>
      </w:r>
    </w:p>
    <w:p>
      <w:pPr>
        <w:widowControl/>
      </w:pPr>
      <w:r>
        <w:t>The post-hoc B→C source-bearing sensitivity excludes cases for which no authorised source exists. With S_i indicating source availability, the restricted population and contrast are:</w:t>
      </w:r>
    </w:p>
    <w:p>
      <w:pPr>
        <w:keepNext w:val="0"/>
        <w:keepLines/>
        <w:spacing w:before="50" w:after="40"/>
        <w:tabs>
          <w:tab w:val="center" w:pos="4729"/>
          <w:tab w:val="right" w:pos="9458"/>
        </w:tabs>
      </w:pPr>
      <w:r>
        <w:tab/>
      </w:r>
      <m:oMath>
        <m:sSubSup>
          <m:e>
            <m:r>
              <m:rPr>
                <m:sty m:val="p"/>
                <m:scr m:val="script"/>
              </m:rPr>
              <m:t>D</m:t>
            </m:r>
          </m:e>
          <m:sub>
            <m:r>
              <m:t>T</m:t>
            </m:r>
          </m:sub>
          <m:sup>
            <m:r>
              <m:rPr>
                <m:sty m:val="p"/>
              </m:rPr>
              <m:t>s</m:t>
            </m:r>
            <m:r>
              <m:rPr>
                <m:sty m:val="p"/>
              </m:rPr>
              <m:t>r</m:t>
            </m:r>
            <m:r>
              <m:rPr>
                <m:sty m:val="p"/>
              </m:rPr>
              <m:t>c</m:t>
            </m:r>
          </m:sup>
        </m:sSubSup>
        <m:r>
          <m:rPr>
            <m:sty m:val="p"/>
          </m:rPr>
          <m:t>=</m:t>
        </m:r>
        <m:r>
          <m:rPr>
            <m:sty m:val="p"/>
          </m:rPr>
          <m:t>{</m:t>
        </m:r>
        <m:r>
          <m:t>i</m:t>
        </m:r>
        <m:r>
          <m:rPr>
            <m:sty m:val="p"/>
          </m:rPr>
          <m:t>∈</m:t>
        </m:r>
        <m:sSub>
          <m:e>
            <m:r>
              <m:rPr>
                <m:sty m:val="p"/>
                <m:scr m:val="script"/>
              </m:rPr>
              <m:t>D</m:t>
            </m:r>
          </m:e>
          <m:sub>
            <m:r>
              <m:t>T</m:t>
            </m:r>
          </m:sub>
        </m:sSub>
        <m:r>
          <m:rPr>
            <m:sty m:val="p"/>
          </m:rPr>
          <m:t>:</m:t>
        </m:r>
        <m:sSub>
          <m:e>
            <m:r>
              <m:t>S</m:t>
            </m:r>
          </m:e>
          <m:sub>
            <m:r>
              <m:t>i</m:t>
            </m:r>
          </m:sub>
        </m:sSub>
        <m:r>
          <m:rPr>
            <m:sty m:val="p"/>
          </m:rPr>
          <m:t>=</m:t>
        </m:r>
        <m:r>
          <m:t>1</m:t>
        </m:r>
        <m:r>
          <m:rPr>
            <m:sty m:val="p"/>
          </m:rPr>
          <m:t>}</m:t>
        </m:r>
        <m:r>
          <m:rPr>
            <m:sty m:val="p"/>
          </m:rPr>
          <m:t>,</m:t>
        </m:r>
        <m:r>
          <m:t>  </m:t>
        </m:r>
        <m:sSubSup>
          <m:e>
            <m:r>
              <m:t>Δ</m:t>
            </m:r>
          </m:e>
          <m:sub>
            <m:r>
              <m:t>T</m:t>
            </m:r>
            <m:r>
              <m:rPr>
                <m:sty m:val="p"/>
              </m:rPr>
              <m:t>,</m:t>
            </m:r>
            <m:r>
              <m:rPr>
                <m:sty m:val="p"/>
              </m:rPr>
              <m:t>s</m:t>
            </m:r>
            <m:r>
              <m:rPr>
                <m:sty m:val="p"/>
              </m:rPr>
              <m:t>r</m:t>
            </m:r>
            <m:r>
              <m:rPr>
                <m:sty m:val="p"/>
              </m:rPr>
              <m:t>c</m:t>
            </m:r>
          </m:sub>
          <m:sup>
            <m:r>
              <m:t>C</m:t>
            </m:r>
            <m:r>
              <m:rPr>
                <m:sty m:val="p"/>
              </m:rPr>
              <m:t>−</m:t>
            </m:r>
            <m:r>
              <m:t>B</m:t>
            </m:r>
          </m:sup>
        </m:sSubSup>
        <m:r>
          <m:rPr>
            <m:sty m:val="p"/>
          </m:rPr>
          <m:t>=</m:t>
        </m:r>
        <m:sSub>
          <m:e>
            <m:r>
              <m:t>M</m:t>
            </m:r>
          </m:e>
          <m:sub>
            <m:r>
              <m:t>C</m:t>
            </m:r>
          </m:sub>
        </m:sSub>
        <m:d>
          <m:dPr>
            <m:begChr m:val="("/>
            <m:endChr m:val=")"/>
            <m:sepChr m:val=""/>
            <m:grow/>
          </m:dPr>
          <m:e>
            <m:sSubSup>
              <m:e>
                <m:r>
                  <m:rPr>
                    <m:sty m:val="p"/>
                    <m:scr m:val="script"/>
                  </m:rPr>
                  <m:t>D</m:t>
                </m:r>
              </m:e>
              <m:sub>
                <m:r>
                  <m:t>T</m:t>
                </m:r>
              </m:sub>
              <m:sup>
                <m:r>
                  <m:rPr>
                    <m:sty m:val="p"/>
                  </m:rPr>
                  <m:t>s</m:t>
                </m:r>
                <m:r>
                  <m:rPr>
                    <m:sty m:val="p"/>
                  </m:rPr>
                  <m:t>r</m:t>
                </m:r>
                <m:r>
                  <m:rPr>
                    <m:sty m:val="p"/>
                  </m:rPr>
                  <m:t>c</m:t>
                </m:r>
              </m:sup>
            </m:sSubSup>
          </m:e>
        </m:d>
        <m:r>
          <m:rPr>
            <m:sty m:val="p"/>
          </m:rPr>
          <m:t>−</m:t>
        </m:r>
        <m:sSub>
          <m:e>
            <m:r>
              <m:t>M</m:t>
            </m:r>
          </m:e>
          <m:sub>
            <m:r>
              <m:t>B</m:t>
            </m:r>
          </m:sub>
        </m:sSub>
        <m:d>
          <m:dPr>
            <m:begChr m:val="("/>
            <m:endChr m:val=")"/>
            <m:sepChr m:val=""/>
            <m:grow/>
          </m:dPr>
          <m:e>
            <m:sSubSup>
              <m:e>
                <m:r>
                  <m:rPr>
                    <m:sty m:val="p"/>
                    <m:scr m:val="script"/>
                  </m:rPr>
                  <m:t>D</m:t>
                </m:r>
              </m:e>
              <m:sub>
                <m:r>
                  <m:t>T</m:t>
                </m:r>
              </m:sub>
              <m:sup>
                <m:r>
                  <m:rPr>
                    <m:sty m:val="p"/>
                  </m:rPr>
                  <m:t>s</m:t>
                </m:r>
                <m:r>
                  <m:rPr>
                    <m:sty m:val="p"/>
                  </m:rPr>
                  <m:t>r</m:t>
                </m:r>
                <m:r>
                  <m:rPr>
                    <m:sty m:val="p"/>
                  </m:rPr>
                  <m:t>c</m:t>
                </m:r>
              </m:sup>
            </m:sSubSup>
          </m:e>
        </m:d>
      </m:oMath>
      <w:r>
        <w:tab/>
      </w:r>
      <w:r>
        <w:rPr>
          <w:rFonts w:ascii="Times New Roman" w:hAnsi="Times New Roman" w:eastAsia="Times New Roman"/>
          <w:sz w:val="21"/>
        </w:rPr>
        <w:t>(S11)</w:t>
      </w:r>
    </w:p>
    <w:p>
      <w:pPr>
        <w:spacing w:after="100"/>
      </w:pPr>
      <w:r>
        <w:t>Selection and multiple-testing boundary. These 16 task×target source-bearing breakdowns constitute a selected post-hoc descriptive family with no Holm/BH correction. Their fractions and CIs should not be interpreted as 16 independent significance claims or an estimate of context utility under randomly assigned evidence access; source availability is structurally task-dependent.</w:t>
      </w:r>
    </w:p>
    <w:p>
      <w:pPr>
        <w:widowControl/>
      </w:pPr>
      <w:r>
        <w:t>This restriction is descriptive and does not replace the primary full-population evidence contrasts. For M4 it is a fixed-weight inference-time comparison; for M3 it remains descriptive because B and C are separately trained systems.</w:t>
      </w:r>
    </w:p>
    <w:p>
      <w:pPr>
        <w:pStyle w:val="3"/>
        <w:keepNext/>
        <w:keepLines/>
      </w:pPr>
      <w:r>
        <w:rPr>
          <w:color w:val="000000"/>
        </w:rPr>
        <w:t>S9.6 Exploratory task-conditioned source utility</w:t>
      </w:r>
    </w:p>
    <w:p>
      <w:pPr>
        <w:widowControl/>
      </w:pPr>
      <w:r>
        <w:t>Because source availability is structurally tied to task type, the within-source-bearing-task decomposition is exploratory. Sixteen task×target cells are reported without multiplicity correction; intervals are used to describe patterns, not to declare a family of confirmatory significant effects.</w:t>
      </w:r>
    </w:p>
    <w:p>
      <w:pPr>
        <w:pStyle w:val="16"/>
        <w:keepNext/>
        <w:keepLines/>
        <w:spacing w:before="120" w:after="60"/>
        <w:jc w:val="left"/>
      </w:pPr>
      <w:r>
        <w:t>Table S64. M3 task-conditioned C−B source utility in source-bearing tasks.</w:t>
      </w:r>
    </w:p>
    <w:tbl>
      <w:tblPr>
        <w:tblStyle w:val="35"/>
        <w:tblW w:type="auto" w:w="0"/>
        <w:tblLayout w:type="autofit"/>
        <w:tblLook w:firstColumn="1" w:firstRow="1" w:lastColumn="0" w:lastRow="0" w:noHBand="0" w:noVBand="1" w:val="04A0"/>
        <w:jc w:val="center"/>
        <w:tblBorders>
          <w:top w:val="single" w:sz="4" w:color="C7D4E2"/>
          <w:bottom w:val="single" w:sz="4" w:color="C7D4E2"/>
          <w:left w:val="single" w:sz="4" w:color="C7D4E2"/>
          <w:right w:val="single" w:sz="4" w:color="C7D4E2"/>
          <w:insideH w:val="single" w:sz="4" w:color="C7D4E2"/>
          <w:insideV w:val="single" w:sz="3" w:color="C7D4E2"/>
        </w:tblBorders>
      </w:tblPr>
      <w:tblGrid>
        <w:gridCol w:w="1405"/>
        <w:gridCol w:w="1405"/>
        <w:gridCol w:w="1405"/>
        <w:gridCol w:w="1405"/>
        <w:gridCol w:w="1405"/>
        <w:gridCol w:w="1405"/>
        <w:gridCol w:w="1405"/>
      </w:tblGrid>
      <w:tr>
        <w:trPr>
          <w:tblHeader w:val="true"/>
          <w:cantSplit w:val="true"/>
          <w:tblHeader w:val="true"/>
        </w:trPr>
        <w:tc>
          <w:tcPr>
            <w:tcW w:type="dxa" w:w="1405"/>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4"/>
              </w:rPr>
            </w:r>
            <w:r>
              <w:rPr>
                <w:rFonts w:ascii="Times New Roman" w:hAnsi="Times New Roman" w:eastAsia="Times New Roman" w:cs="Times New Roman"/>
                <w:b/>
                <w:color w:val="1E364D"/>
                <w:sz w:val="14"/>
              </w:rPr>
              <w:t>Target</w:t>
            </w:r>
          </w:p>
        </w:tc>
        <w:tc>
          <w:tcPr>
            <w:tcW w:type="dxa" w:w="1405"/>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4"/>
              </w:rPr>
            </w:r>
            <w:r>
              <w:rPr>
                <w:rFonts w:ascii="Times New Roman" w:hAnsi="Times New Roman" w:eastAsia="Times New Roman" w:cs="Times New Roman"/>
                <w:b/>
                <w:color w:val="1E364D"/>
                <w:sz w:val="14"/>
              </w:rPr>
              <w:t>Task</w:t>
            </w:r>
          </w:p>
        </w:tc>
        <w:tc>
          <w:tcPr>
            <w:tcW w:type="dxa" w:w="1405"/>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b/>
                <w:color w:val="1E364D"/>
                <w:sz w:val="14"/>
              </w:rPr>
              <w:t>Rows (N) / Prompt clusters (K)</w:t>
            </w:r>
          </w:p>
        </w:tc>
        <w:tc>
          <w:tcPr>
            <w:tcW w:type="dxa" w:w="1405"/>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4"/>
              </w:rPr>
            </w:r>
            <w:r>
              <w:rPr>
                <w:rFonts w:ascii="Times New Roman" w:hAnsi="Times New Roman" w:eastAsia="Times New Roman" w:cs="Times New Roman"/>
                <w:b/>
                <w:color w:val="1E364D"/>
                <w:sz w:val="14"/>
              </w:rPr>
              <w:t>B F1</w:t>
            </w:r>
          </w:p>
        </w:tc>
        <w:tc>
          <w:tcPr>
            <w:tcW w:type="dxa" w:w="1405"/>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4"/>
              </w:rPr>
            </w:r>
            <w:r>
              <w:rPr>
                <w:rFonts w:ascii="Times New Roman" w:hAnsi="Times New Roman" w:eastAsia="Times New Roman" w:cs="Times New Roman"/>
                <w:b/>
                <w:color w:val="1E364D"/>
                <w:sz w:val="14"/>
              </w:rPr>
              <w:t>C F1</w:t>
            </w:r>
          </w:p>
        </w:tc>
        <w:tc>
          <w:tcPr>
            <w:tcW w:type="dxa" w:w="1405"/>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4"/>
              </w:rPr>
            </w:r>
            <w:r>
              <w:rPr>
                <w:rFonts w:ascii="Times New Roman" w:hAnsi="Times New Roman" w:eastAsia="Times New Roman" w:cs="Times New Roman"/>
                <w:b/>
                <w:color w:val="1E364D"/>
                <w:sz w:val="14"/>
              </w:rPr>
              <w:t>Δ(C−B)</w:t>
            </w:r>
          </w:p>
        </w:tc>
        <w:tc>
          <w:tcPr>
            <w:tcW w:type="dxa" w:w="1405"/>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4"/>
              </w:rPr>
            </w:r>
            <w:r>
              <w:rPr>
                <w:rFonts w:ascii="Times New Roman" w:hAnsi="Times New Roman" w:eastAsia="Times New Roman" w:cs="Times New Roman"/>
                <w:b/>
                <w:color w:val="1E364D"/>
                <w:sz w:val="14"/>
              </w:rPr>
              <w:t>Pattern</w:t>
            </w:r>
          </w:p>
        </w:tc>
      </w:tr>
      <w:tr>
        <w:trPr>
          <w:cantSplit w:val="true"/>
        </w:trPr>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T1</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summarisation</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b w:val="0"/>
                <w:sz w:val="14"/>
              </w:rPr>
              <w:t>120 / 20</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0.722</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0.644</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-0.078 [-0.175,0.018]</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uncertain</w:t>
            </w:r>
          </w:p>
        </w:tc>
      </w:tr>
      <w:tr>
        <w:trPr>
          <w:cantSplit w:val="true"/>
        </w:trPr>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T1</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question_answering</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b w:val="0"/>
                <w:sz w:val="14"/>
              </w:rPr>
              <w:t>120 / 20</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0.695</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0.678</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-0.017 [-0.112,0.091]</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uncertain</w:t>
            </w:r>
          </w:p>
        </w:tc>
      </w:tr>
      <w:tr>
        <w:trPr>
          <w:cantSplit w:val="true"/>
        </w:trPr>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T1</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source_grounded_generation</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b w:val="0"/>
                <w:sz w:val="14"/>
              </w:rPr>
              <w:t>120 / 20</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0.680</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0.665</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-0.015 [-0.092,0.064]</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uncertain</w:t>
            </w:r>
          </w:p>
        </w:tc>
      </w:tr>
      <w:tr>
        <w:trPr>
          <w:cantSplit w:val="true"/>
        </w:trPr>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T1</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multi_entity_context_tracking</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b w:val="0"/>
                <w:sz w:val="14"/>
              </w:rPr>
              <w:t>120 / 20</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0.730</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0.562</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-0.168 [-0.255,-0.082]</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harm</w:t>
            </w:r>
          </w:p>
        </w:tc>
      </w:tr>
      <w:tr>
        <w:trPr>
          <w:cantSplit w:val="true"/>
        </w:trPr>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T2</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summarisation</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b w:val="0"/>
                <w:sz w:val="14"/>
              </w:rPr>
              <w:t>85 / 20</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0.678</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0.670</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-0.008 [-0.117,0.117]</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uncertain</w:t>
            </w:r>
          </w:p>
        </w:tc>
      </w:tr>
      <w:tr>
        <w:trPr>
          <w:cantSplit w:val="true"/>
        </w:trPr>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T2</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question_answering</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b w:val="0"/>
                <w:sz w:val="14"/>
              </w:rPr>
              <w:t>61 / 20</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0.694</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0.670</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-0.024 [-0.089,0.034]</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uncertain</w:t>
            </w:r>
          </w:p>
        </w:tc>
      </w:tr>
      <w:tr>
        <w:trPr>
          <w:cantSplit w:val="true"/>
        </w:trPr>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T2</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source_grounded_generation</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b w:val="0"/>
                <w:sz w:val="14"/>
              </w:rPr>
              <w:t>77 / 20</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0.714</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0.791</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+0.077 [0.012,0.141]</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benefit</w:t>
            </w:r>
          </w:p>
        </w:tc>
      </w:tr>
      <w:tr>
        <w:trPr>
          <w:cantSplit w:val="true"/>
        </w:trPr>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T2</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multi_entity_context_tracking</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b w:val="0"/>
                <w:sz w:val="14"/>
              </w:rPr>
              <w:t>81 / 20</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0.719</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0.716</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-0.003 [-0.096,0.075]</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uncertain</w:t>
            </w:r>
          </w:p>
        </w:tc>
      </w:tr>
      <w:tr>
        <w:trPr>
          <w:cantSplit w:val="true"/>
        </w:trPr>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T3</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summarisation</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b w:val="0"/>
                <w:sz w:val="14"/>
              </w:rPr>
              <w:t>84 / 20</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0.715</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0.663</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-0.052 [-0.162,0.066]</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uncertain</w:t>
            </w:r>
          </w:p>
        </w:tc>
      </w:tr>
      <w:tr>
        <w:trPr>
          <w:cantSplit w:val="true"/>
        </w:trPr>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T3</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question_answering</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b w:val="0"/>
                <w:sz w:val="14"/>
              </w:rPr>
              <w:t>60 / 20</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0.808</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0.840</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+0.032 [0.000,0.076]</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uncertain</w:t>
            </w:r>
          </w:p>
        </w:tc>
      </w:tr>
      <w:tr>
        <w:trPr>
          <w:cantSplit w:val="true"/>
        </w:trPr>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T3</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source_grounded_generation</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b w:val="0"/>
                <w:sz w:val="14"/>
              </w:rPr>
              <w:t>68 / 20</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0.761</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0.733</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-0.027 [-0.136,0.112]</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uncertain</w:t>
            </w:r>
          </w:p>
        </w:tc>
      </w:tr>
      <w:tr>
        <w:trPr>
          <w:cantSplit w:val="true"/>
        </w:trPr>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T3</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multi_entity_context_tracking</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b w:val="0"/>
                <w:sz w:val="14"/>
              </w:rPr>
              <w:t>78 / 20</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0.832</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0.807</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-0.025 [-0.096,0.049]</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uncertain</w:t>
            </w:r>
          </w:p>
        </w:tc>
      </w:tr>
      <w:tr>
        <w:trPr>
          <w:cantSplit w:val="true"/>
        </w:trPr>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T4</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summarisation</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b w:val="0"/>
                <w:sz w:val="14"/>
              </w:rPr>
              <w:t>85 / 20</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0.636</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0.537</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-0.098 [-0.187,-0.011]</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harm</w:t>
            </w:r>
          </w:p>
        </w:tc>
      </w:tr>
      <w:tr>
        <w:trPr>
          <w:cantSplit w:val="true"/>
        </w:trPr>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T4</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question_answering</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b w:val="0"/>
                <w:sz w:val="14"/>
              </w:rPr>
              <w:t>61 / 20</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0.479</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0.440</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-0.039 [-0.097,0.021]</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uncertain</w:t>
            </w:r>
          </w:p>
        </w:tc>
      </w:tr>
      <w:tr>
        <w:trPr>
          <w:cantSplit w:val="true"/>
        </w:trPr>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T4</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source_grounded_generation</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b w:val="0"/>
                <w:sz w:val="14"/>
              </w:rPr>
              <w:t>77 / 20</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0.608</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0.558</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-0.051 [-0.114,-0.010]</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harm</w:t>
            </w:r>
          </w:p>
        </w:tc>
      </w:tr>
      <w:tr>
        <w:trPr>
          <w:cantSplit w:val="true"/>
        </w:trPr>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T4</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multi_entity_context_tracking</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b w:val="0"/>
                <w:sz w:val="14"/>
              </w:rPr>
              <w:t>81 / 20</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0.560</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0.540</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-0.021 [-0.052,0.009]</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uncertain</w:t>
            </w:r>
          </w:p>
        </w:tc>
      </w:tr>
    </w:tbl>
    <w:p>
      <w:pPr>
        <w:pStyle w:val="3"/>
        <w:keepNext/>
        <w:keepLines/>
      </w:pPr>
      <w:r>
        <w:rPr>
          <w:color w:val="000000"/>
        </w:rPr>
        <w:t>S9.7 M3 seed stability</w:t>
      </w:r>
    </w:p>
    <w:p>
      <w:pPr>
        <w:pStyle w:val="16"/>
        <w:keepNext/>
        <w:keepLines/>
        <w:spacing w:before="120" w:after="60"/>
        <w:jc w:val="left"/>
      </w:pPr>
      <w:r>
        <w:t>Table S65. M3 condition-C stability across the frozen primary seed and two additional seeds.</w:t>
      </w:r>
    </w:p>
    <w:tbl>
      <w:tblPr>
        <w:tblStyle w:val="35"/>
        <w:tblW w:type="auto" w:w="0"/>
        <w:tblLayout w:type="autofit"/>
        <w:tblLook w:firstColumn="1" w:firstRow="1" w:lastColumn="0" w:lastRow="0" w:noHBand="0" w:noVBand="1" w:val="04A0"/>
        <w:jc w:val="center"/>
        <w:tblBorders>
          <w:top w:val="single" w:sz="4" w:color="C7D4E2"/>
          <w:bottom w:val="single" w:sz="4" w:color="C7D4E2"/>
          <w:left w:val="single" w:sz="4" w:color="C7D4E2"/>
          <w:right w:val="single" w:sz="4" w:color="C7D4E2"/>
          <w:insideH w:val="single" w:sz="4" w:color="C7D4E2"/>
          <w:insideV w:val="single" w:sz="3" w:color="C7D4E2"/>
        </w:tblBorders>
      </w:tblPr>
      <w:tblGrid>
        <w:gridCol w:w="1966"/>
        <w:gridCol w:w="1966"/>
        <w:gridCol w:w="1966"/>
        <w:gridCol w:w="1966"/>
        <w:gridCol w:w="1966"/>
      </w:tblGrid>
      <w:tr>
        <w:trPr>
          <w:tblHeader w:val="true"/>
          <w:cantSplit w:val="true"/>
          <w:tblHeader w:val="true"/>
        </w:trPr>
        <w:tc>
          <w:tcPr>
            <w:tcW w:type="dxa" w:w="1966"/>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5"/>
              </w:rPr>
            </w:r>
            <w:r>
              <w:rPr>
                <w:rFonts w:ascii="Times New Roman" w:hAnsi="Times New Roman" w:eastAsia="Times New Roman" w:cs="Times New Roman"/>
                <w:b/>
                <w:color w:val="1E364D"/>
                <w:sz w:val="15"/>
              </w:rPr>
              <w:t>Target</w:t>
            </w:r>
          </w:p>
        </w:tc>
        <w:tc>
          <w:tcPr>
            <w:tcW w:type="dxa" w:w="1966"/>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5"/>
              </w:rPr>
            </w:r>
            <w:r>
              <w:rPr>
                <w:rFonts w:ascii="Times New Roman" w:hAnsi="Times New Roman" w:eastAsia="Times New Roman" w:cs="Times New Roman"/>
                <w:b/>
                <w:color w:val="1E364D"/>
                <w:sz w:val="15"/>
              </w:rPr>
              <w:t>Seed</w:t>
            </w:r>
          </w:p>
        </w:tc>
        <w:tc>
          <w:tcPr>
            <w:tcW w:type="dxa" w:w="1966"/>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5"/>
              </w:rPr>
            </w:r>
            <w:r>
              <w:rPr>
                <w:rFonts w:ascii="Times New Roman" w:hAnsi="Times New Roman" w:eastAsia="Times New Roman" w:cs="Times New Roman"/>
                <w:b/>
                <w:color w:val="1E364D"/>
                <w:sz w:val="15"/>
              </w:rPr>
              <w:t>Macro-F1</w:t>
            </w:r>
          </w:p>
        </w:tc>
        <w:tc>
          <w:tcPr>
            <w:tcW w:type="dxa" w:w="1966"/>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5"/>
              </w:rPr>
            </w:r>
            <w:r>
              <w:rPr>
                <w:rFonts w:ascii="Times New Roman" w:hAnsi="Times New Roman" w:eastAsia="Times New Roman" w:cs="Times New Roman"/>
                <w:b/>
                <w:color w:val="1E364D"/>
                <w:sz w:val="15"/>
              </w:rPr>
              <w:t>95% CI</w:t>
            </w:r>
          </w:p>
        </w:tc>
        <w:tc>
          <w:tcPr>
            <w:tcW w:type="dxa" w:w="1966"/>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5"/>
              </w:rPr>
            </w:r>
            <w:r>
              <w:rPr>
                <w:rFonts w:ascii="Times New Roman" w:hAnsi="Times New Roman" w:eastAsia="Times New Roman" w:cs="Times New Roman"/>
                <w:b/>
                <w:color w:val="1E364D"/>
                <w:sz w:val="15"/>
              </w:rPr>
              <w:t>QWK (T4)</w:t>
            </w:r>
          </w:p>
        </w:tc>
      </w:tr>
      <w:tr>
        <w:trPr>
          <w:cantSplit w:val="true"/>
        </w:trPr>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T1</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20260908</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0.655</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0.615–0.696</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w:t>
            </w:r>
          </w:p>
        </w:tc>
      </w:tr>
      <w:tr>
        <w:trPr>
          <w:cantSplit w:val="true"/>
        </w:trPr>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T1</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20260909</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0.652</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0.612–0.688</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w:t>
            </w:r>
          </w:p>
        </w:tc>
      </w:tr>
      <w:tr>
        <w:trPr>
          <w:cantSplit w:val="true"/>
        </w:trPr>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T1</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20260910</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0.640</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0.597–0.677</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w:t>
            </w:r>
          </w:p>
        </w:tc>
      </w:tr>
      <w:tr>
        <w:trPr>
          <w:cantSplit w:val="true"/>
        </w:trPr>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T2</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20260908</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0.777</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0.732–0.818</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w:t>
            </w:r>
          </w:p>
        </w:tc>
      </w:tr>
      <w:tr>
        <w:trPr>
          <w:cantSplit w:val="true"/>
        </w:trPr>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T2</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20260909</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0.752</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0.710–0.792</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w:t>
            </w:r>
          </w:p>
        </w:tc>
      </w:tr>
      <w:tr>
        <w:trPr>
          <w:cantSplit w:val="true"/>
        </w:trPr>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T2</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20260910</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0.768</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0.728–0.807</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w:t>
            </w:r>
          </w:p>
        </w:tc>
      </w:tr>
      <w:tr>
        <w:trPr>
          <w:cantSplit w:val="true"/>
        </w:trPr>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T3</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20260908</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0.791</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0.747–0.832</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w:t>
            </w:r>
          </w:p>
        </w:tc>
      </w:tr>
      <w:tr>
        <w:trPr>
          <w:cantSplit w:val="true"/>
        </w:trPr>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T3</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20260909</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0.815</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0.769–0.858</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w:t>
            </w:r>
          </w:p>
        </w:tc>
      </w:tr>
      <w:tr>
        <w:trPr>
          <w:cantSplit w:val="true"/>
        </w:trPr>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T3</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20260910</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0.825</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0.784–0.862</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w:t>
            </w:r>
          </w:p>
        </w:tc>
      </w:tr>
      <w:tr>
        <w:trPr>
          <w:cantSplit w:val="true"/>
        </w:trPr>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T4</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20260908</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0.637</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0.582–0.686</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0.597</w:t>
            </w:r>
          </w:p>
        </w:tc>
      </w:tr>
      <w:tr>
        <w:trPr>
          <w:cantSplit w:val="true"/>
        </w:trPr>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T4</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20260909</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0.643</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0.579–0.701</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0.609</w:t>
            </w:r>
          </w:p>
        </w:tc>
      </w:tr>
      <w:tr>
        <w:trPr>
          <w:cantSplit w:val="true"/>
        </w:trPr>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T4</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20260910</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0.691</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0.635–0.742</w:t>
            </w:r>
          </w:p>
        </w:tc>
        <w:tc>
          <w:tcPr>
            <w:tcW w:type="dxa" w:w="196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0.628</w:t>
            </w:r>
          </w:p>
        </w:tc>
      </w:tr>
    </w:tbl>
    <w:p>
      <w:pPr>
        <w:widowControl/>
      </w:pPr>
      <w:r>
        <w:rPr>
          <w:rFonts w:ascii="Times New Roman" w:hAnsi="Times New Roman" w:eastAsia="Times New Roman"/>
        </w:rPr>
        <w:t>Across the three full-pipeline Condition-C reruns, target-level macro-F1 means (SD) are .649 (.008) for T1, .766 (.013) for T2, .810 (.017) for T3, and .657 (.030) for T4; the corresponding ranges are .016, .026, .034, and .054. For T4, QWK mean (SD) is .611 (.016). These summaries describe stochastic stability around the frozen primary seed; they are not used to average away or replace the prespecified 20260908 reference result.</w:t>
      </w:r>
    </w:p>
    <w:p>
      <w:pPr>
        <w:pStyle w:val="3"/>
        <w:keepNext/>
        <w:keepLines/>
      </w:pPr>
      <w:r>
        <w:rPr>
          <w:color w:val="000000"/>
        </w:rPr>
        <w:t>S9.8 Leave-one-task-out internal robustness</w:t>
      </w:r>
    </w:p>
    <w:p>
      <w:pPr>
        <w:keepNext/>
      </w:pPr>
      <w:r>
        <w:t>Table S66. M3 leave-one-task-out performance.</w:t>
      </w:r>
    </w:p>
    <w:tbl>
      <w:tblPr>
        <w:tblStyle w:val="35"/>
        <w:tblW w:type="auto" w:w="0"/>
        <w:tblLayout w:type="autofit"/>
        <w:tblLook w:firstColumn="1" w:firstRow="1" w:lastColumn="0" w:lastRow="0" w:noHBand="0" w:noVBand="1" w:val="04A0"/>
        <w:jc w:val="center"/>
        <w:tblBorders>
          <w:top w:val="single" w:sz="4" w:color="C7D4E2"/>
          <w:bottom w:val="single" w:sz="4" w:color="C7D4E2"/>
          <w:left w:val="single" w:sz="4" w:color="C7D4E2"/>
          <w:right w:val="single" w:sz="4" w:color="C7D4E2"/>
          <w:insideH w:val="single" w:sz="4" w:color="C7D4E2"/>
          <w:insideV w:val="single" w:sz="3" w:color="C7D4E2"/>
        </w:tblBorders>
      </w:tblPr>
      <w:tblGrid>
        <w:gridCol w:w="1639"/>
        <w:gridCol w:w="1639"/>
        <w:gridCol w:w="1639"/>
        <w:gridCol w:w="1639"/>
        <w:gridCol w:w="1639"/>
        <w:gridCol w:w="1639"/>
      </w:tblGrid>
      <w:tr>
        <w:trPr>
          <w:tblHeader w:val="true"/>
          <w:cantSplit w:val="true"/>
          <w:tblHeader w:val="true"/>
        </w:trPr>
        <w:tc>
          <w:tcPr>
            <w:tcW w:type="dxa" w:w="1639"/>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5"/>
              </w:rPr>
            </w:r>
            <w:r>
              <w:rPr>
                <w:rFonts w:ascii="Times New Roman" w:hAnsi="Times New Roman" w:eastAsia="Times New Roman" w:cs="Times New Roman"/>
                <w:b/>
                <w:color w:val="1E364D"/>
                <w:sz w:val="15"/>
              </w:rPr>
              <w:t>Target</w:t>
            </w:r>
          </w:p>
        </w:tc>
        <w:tc>
          <w:tcPr>
            <w:tcW w:type="dxa" w:w="1639"/>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5"/>
              </w:rPr>
            </w:r>
            <w:r>
              <w:rPr>
                <w:rFonts w:ascii="Times New Roman" w:hAnsi="Times New Roman" w:eastAsia="Times New Roman" w:cs="Times New Roman"/>
                <w:b/>
                <w:color w:val="1E364D"/>
                <w:sz w:val="15"/>
              </w:rPr>
              <w:t>Held-out task</w:t>
            </w:r>
          </w:p>
        </w:tc>
        <w:tc>
          <w:tcPr>
            <w:tcW w:type="dxa" w:w="1639"/>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5"/>
              </w:rPr>
            </w:r>
            <w:r>
              <w:rPr>
                <w:rFonts w:ascii="Times New Roman" w:hAnsi="Times New Roman" w:eastAsia="Times New Roman" w:cs="Times New Roman"/>
                <w:b/>
                <w:color w:val="1E364D"/>
                <w:sz w:val="15"/>
              </w:rPr>
              <w:t>N</w:t>
            </w:r>
          </w:p>
        </w:tc>
        <w:tc>
          <w:tcPr>
            <w:tcW w:type="dxa" w:w="1639"/>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5"/>
              </w:rPr>
            </w:r>
            <w:r>
              <w:rPr>
                <w:rFonts w:ascii="Times New Roman" w:hAnsi="Times New Roman" w:eastAsia="Times New Roman" w:cs="Times New Roman"/>
                <w:b/>
                <w:color w:val="1E364D"/>
                <w:sz w:val="15"/>
              </w:rPr>
              <w:t>Macro-F1</w:t>
            </w:r>
          </w:p>
        </w:tc>
        <w:tc>
          <w:tcPr>
            <w:tcW w:type="dxa" w:w="1639"/>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5"/>
              </w:rPr>
            </w:r>
            <w:r>
              <w:rPr>
                <w:rFonts w:ascii="Times New Roman" w:hAnsi="Times New Roman" w:eastAsia="Times New Roman" w:cs="Times New Roman"/>
                <w:b/>
                <w:color w:val="1E364D"/>
                <w:sz w:val="15"/>
              </w:rPr>
              <w:t>95% CI</w:t>
            </w:r>
          </w:p>
        </w:tc>
        <w:tc>
          <w:tcPr>
            <w:tcW w:type="dxa" w:w="1639"/>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5"/>
              </w:rPr>
            </w:r>
            <w:r>
              <w:rPr>
                <w:rFonts w:ascii="Times New Roman" w:hAnsi="Times New Roman" w:eastAsia="Times New Roman" w:cs="Times New Roman"/>
                <w:b/>
                <w:color w:val="1E364D"/>
                <w:sz w:val="15"/>
              </w:rPr>
              <w:t>QWK</w:t>
            </w:r>
          </w:p>
        </w:tc>
      </w:tr>
      <w:tr>
        <w:trPr>
          <w:cantSplit w:val="true"/>
        </w:trPr>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T1</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explanation</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120</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0.457</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0.377–0.528</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w:t>
            </w:r>
          </w:p>
        </w:tc>
      </w:tr>
      <w:tr>
        <w:trPr>
          <w:cantSplit w:val="true"/>
        </w:trPr>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T1</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instruction_following</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120</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0.450</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0.375–0.546</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w:t>
            </w:r>
          </w:p>
        </w:tc>
      </w:tr>
      <w:tr>
        <w:trPr>
          <w:cantSplit w:val="true"/>
        </w:trPr>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T1</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multi_entity_context_tracking</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120</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0.583</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0.483–0.673</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w:t>
            </w:r>
          </w:p>
        </w:tc>
      </w:tr>
      <w:tr>
        <w:trPr>
          <w:cantSplit w:val="true"/>
        </w:trPr>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T1</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question_answering</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120</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0.460</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0.359–0.556</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w:t>
            </w:r>
          </w:p>
        </w:tc>
      </w:tr>
      <w:tr>
        <w:trPr>
          <w:cantSplit w:val="true"/>
        </w:trPr>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T1</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source_grounded_generation</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120</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0.675</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0.623–0.725</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w:t>
            </w:r>
          </w:p>
        </w:tc>
      </w:tr>
      <w:tr>
        <w:trPr>
          <w:cantSplit w:val="true"/>
        </w:trPr>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T1</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summarisation</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120</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0.527</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0.441–0.618</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w:t>
            </w:r>
          </w:p>
        </w:tc>
      </w:tr>
      <w:tr>
        <w:trPr>
          <w:cantSplit w:val="true"/>
        </w:trPr>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T2</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explanation</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91</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0.418</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0.348–0.498</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w:t>
            </w:r>
          </w:p>
        </w:tc>
      </w:tr>
      <w:tr>
        <w:trPr>
          <w:cantSplit w:val="true"/>
        </w:trPr>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T2</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instruction_following</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79</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0.561</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0.432–0.728</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w:t>
            </w:r>
          </w:p>
        </w:tc>
      </w:tr>
      <w:tr>
        <w:trPr>
          <w:cantSplit w:val="true"/>
        </w:trPr>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T2</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multi_entity_context_tracking</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81</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0.580</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0.486–0.670</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w:t>
            </w:r>
          </w:p>
        </w:tc>
      </w:tr>
      <w:tr>
        <w:trPr>
          <w:cantSplit w:val="true"/>
        </w:trPr>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T2</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question_answering</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61</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0.372</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0.264–0.490</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w:t>
            </w:r>
          </w:p>
        </w:tc>
      </w:tr>
      <w:tr>
        <w:trPr>
          <w:cantSplit w:val="true"/>
        </w:trPr>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T2</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source_grounded_generation</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77</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0.792</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0.703–0.876</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w:t>
            </w:r>
          </w:p>
        </w:tc>
      </w:tr>
      <w:tr>
        <w:trPr>
          <w:cantSplit w:val="true"/>
        </w:trPr>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T2</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summarisation</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85</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0.518</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0.417–0.619</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w:t>
            </w:r>
          </w:p>
        </w:tc>
      </w:tr>
      <w:tr>
        <w:trPr>
          <w:cantSplit w:val="true"/>
        </w:trPr>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T3</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explanation</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91</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0.530</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0.438–0.624</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w:t>
            </w:r>
          </w:p>
        </w:tc>
      </w:tr>
      <w:tr>
        <w:trPr>
          <w:cantSplit w:val="true"/>
        </w:trPr>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T3</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instruction_following</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79</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0.560</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0.451–0.731</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w:t>
            </w:r>
          </w:p>
        </w:tc>
      </w:tr>
      <w:tr>
        <w:trPr>
          <w:cantSplit w:val="true"/>
        </w:trPr>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T3</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multi_entity_context_tracking</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78</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0.638</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0.496–0.767</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w:t>
            </w:r>
          </w:p>
        </w:tc>
      </w:tr>
      <w:tr>
        <w:trPr>
          <w:cantSplit w:val="true"/>
        </w:trPr>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T3</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question_answering</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60</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0.475</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0.357–0.613</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w:t>
            </w:r>
          </w:p>
        </w:tc>
      </w:tr>
      <w:tr>
        <w:trPr>
          <w:cantSplit w:val="true"/>
        </w:trPr>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T3</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source_grounded_generation</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68</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0.773</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0.633–0.890</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w:t>
            </w:r>
          </w:p>
        </w:tc>
      </w:tr>
      <w:tr>
        <w:trPr>
          <w:cantSplit w:val="true"/>
        </w:trPr>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T3</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summarisation</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84</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0.571</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0.488–0.662</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w:t>
            </w:r>
          </w:p>
        </w:tc>
      </w:tr>
      <w:tr>
        <w:trPr>
          <w:cantSplit w:val="true"/>
        </w:trPr>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T4</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explanation</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91</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0.788</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0.702–0.864</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0.788</w:t>
            </w:r>
          </w:p>
        </w:tc>
      </w:tr>
      <w:tr>
        <w:trPr>
          <w:cantSplit w:val="true"/>
        </w:trPr>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T4</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instruction_following</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79</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0.573</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0.518–0.618</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0.691</w:t>
            </w:r>
          </w:p>
        </w:tc>
      </w:tr>
      <w:tr>
        <w:trPr>
          <w:cantSplit w:val="true"/>
        </w:trPr>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T4</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multi_entity_context_tracking</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81</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0.484</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0.435–0.534</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0.469</w:t>
            </w:r>
          </w:p>
        </w:tc>
      </w:tr>
      <w:tr>
        <w:trPr>
          <w:cantSplit w:val="true"/>
        </w:trPr>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T4</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question_answering</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61</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0.482</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0.431–0.744</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0.520</w:t>
            </w:r>
          </w:p>
        </w:tc>
      </w:tr>
      <w:tr>
        <w:trPr>
          <w:cantSplit w:val="true"/>
        </w:trPr>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T4</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source_grounded_generation</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77</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0.587</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0.431–0.725</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0.572</w:t>
            </w:r>
          </w:p>
        </w:tc>
      </w:tr>
      <w:tr>
        <w:trPr>
          <w:cantSplit w:val="true"/>
        </w:trPr>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T4</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summarisation</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85</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0.432</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0.385–0.481</w:t>
            </w:r>
          </w:p>
        </w:tc>
        <w:tc>
          <w:tcPr>
            <w:tcW w:type="dxa" w:w="163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5"/>
              </w:rPr>
            </w:r>
            <w:r>
              <w:rPr>
                <w:rFonts w:ascii="Times New Roman" w:hAnsi="Times New Roman" w:eastAsia="Times New Roman" w:cs="Times New Roman"/>
                <w:b w:val="0"/>
                <w:sz w:val="15"/>
              </w:rPr>
              <w:t>0.452</w:t>
            </w:r>
          </w:p>
        </w:tc>
      </w:tr>
    </w:tbl>
    <w:p>
      <w:pPr>
        <w:keepNext/>
        <w:widowControl/>
      </w:pPr>
      <w:r>
        <w:t>Table S67. Compact leave-one-task-out transfer summary. Min/max identify the held-out task associated with the score; task labels are descriptive because class distributions differ by target and task.</w:t>
      </w:r>
    </w:p>
    <w:tbl>
      <w:tblPr>
        <w:tblStyle w:val="35"/>
        <w:tblW w:type="auto" w:w="0"/>
        <w:jc w:val="center"/>
        <w:tblLayout w:type="autofit"/>
        <w:tblLook w:firstColumn="1" w:firstRow="1" w:lastColumn="0" w:lastRow="0" w:noHBand="0" w:noVBand="1" w:val="04A0"/>
        <w:tblBorders>
          <w:top w:val="single" w:sz="4" w:color="C7D4E2"/>
          <w:bottom w:val="single" w:sz="4" w:color="C7D4E2"/>
          <w:left w:val="single" w:sz="4" w:color="C7D4E2"/>
          <w:right w:val="single" w:sz="4" w:color="C7D4E2"/>
          <w:insideH w:val="single" w:sz="4" w:color="C7D4E2"/>
          <w:insideV w:val="single" w:sz="3" w:color="C7D4E2"/>
        </w:tblBorders>
      </w:tblPr>
      <w:tblGrid>
        <w:gridCol w:w="1966"/>
        <w:gridCol w:w="1966"/>
        <w:gridCol w:w="1966"/>
        <w:gridCol w:w="1966"/>
        <w:gridCol w:w="1966"/>
      </w:tblGrid>
      <w:tr>
        <w:trPr>
          <w:tblHeader w:val="true"/>
          <w:cantSplit/>
          <w:tblHeader w:val="true"/>
        </w:trPr>
        <w:tc>
          <w:tcPr>
            <w:tcW w:type="dxa" w:w="936"/>
            <w:vAlign w:val="center"/>
            <w:tcMar>
              <w:top w:w="65" w:type="dxa"/>
              <w:start w:w="68" w:type="dxa"/>
              <w:bottom w:w="65" w:type="dxa"/>
              <w:end w:w="68" w:type="dxa"/>
            </w:tcMar>
            <w:shd w:val="clear" w:color="auto" w:fill="E8F0F8"/>
          </w:tcPr>
          <w:p>
            <w:pPr>
              <w:spacing w:after="0" w:before="0" w:line="240" w:lineRule="auto"/>
            </w:pPr>
            <w:r>
              <w:rPr>
                <w:rFonts w:ascii="Times New Roman" w:hAnsi="Times New Roman" w:eastAsia="Times New Roman"/>
                <w:b/>
                <w:color w:val="1E364D"/>
                <w:sz w:val="15"/>
              </w:rPr>
              <w:t>Target</w:t>
            </w:r>
          </w:p>
        </w:tc>
        <w:tc>
          <w:tcPr>
            <w:tcW w:type="dxa" w:w="1440"/>
            <w:vAlign w:val="center"/>
            <w:tcMar>
              <w:top w:w="65" w:type="dxa"/>
              <w:start w:w="68" w:type="dxa"/>
              <w:bottom w:w="65" w:type="dxa"/>
              <w:end w:w="68" w:type="dxa"/>
            </w:tcMar>
            <w:shd w:val="clear" w:color="auto" w:fill="E8F0F8"/>
          </w:tcPr>
          <w:p>
            <w:pPr>
              <w:spacing w:after="0" w:before="0" w:line="240" w:lineRule="auto"/>
            </w:pPr>
            <w:r>
              <w:rPr>
                <w:rFonts w:ascii="Times New Roman" w:hAnsi="Times New Roman" w:eastAsia="Times New Roman"/>
                <w:b/>
                <w:color w:val="1E364D"/>
                <w:sz w:val="15"/>
              </w:rPr>
              <w:t>Median macro-F1</w:t>
            </w:r>
          </w:p>
        </w:tc>
        <w:tc>
          <w:tcPr>
            <w:tcW w:type="dxa" w:w="2592"/>
            <w:vAlign w:val="center"/>
            <w:tcMar>
              <w:top w:w="65" w:type="dxa"/>
              <w:start w:w="68" w:type="dxa"/>
              <w:bottom w:w="65" w:type="dxa"/>
              <w:end w:w="68" w:type="dxa"/>
            </w:tcMar>
            <w:shd w:val="clear" w:color="auto" w:fill="E8F0F8"/>
          </w:tcPr>
          <w:p>
            <w:pPr>
              <w:spacing w:after="0" w:before="0" w:line="240" w:lineRule="auto"/>
            </w:pPr>
            <w:r>
              <w:rPr>
                <w:rFonts w:ascii="Times New Roman" w:hAnsi="Times New Roman" w:eastAsia="Times New Roman"/>
                <w:b/>
                <w:color w:val="1E364D"/>
                <w:sz w:val="15"/>
              </w:rPr>
              <w:t>Minimum (held-out task)</w:t>
            </w:r>
          </w:p>
        </w:tc>
        <w:tc>
          <w:tcPr>
            <w:tcW w:type="dxa" w:w="2592"/>
            <w:vAlign w:val="center"/>
            <w:tcMar>
              <w:top w:w="65" w:type="dxa"/>
              <w:start w:w="68" w:type="dxa"/>
              <w:bottom w:w="65" w:type="dxa"/>
              <w:end w:w="68" w:type="dxa"/>
            </w:tcMar>
            <w:shd w:val="clear" w:color="auto" w:fill="E8F0F8"/>
          </w:tcPr>
          <w:p>
            <w:pPr>
              <w:spacing w:after="0" w:before="0" w:line="240" w:lineRule="auto"/>
            </w:pPr>
            <w:r>
              <w:rPr>
                <w:rFonts w:ascii="Times New Roman" w:hAnsi="Times New Roman" w:eastAsia="Times New Roman"/>
                <w:b/>
                <w:color w:val="1E364D"/>
                <w:sz w:val="15"/>
              </w:rPr>
              <w:t>Maximum (held-out task)</w:t>
            </w:r>
          </w:p>
        </w:tc>
        <w:tc>
          <w:tcPr>
            <w:tcW w:type="dxa" w:w="1296"/>
            <w:vAlign w:val="center"/>
            <w:tcMar>
              <w:top w:w="65" w:type="dxa"/>
              <w:start w:w="68" w:type="dxa"/>
              <w:bottom w:w="65" w:type="dxa"/>
              <w:end w:w="68" w:type="dxa"/>
            </w:tcMar>
            <w:shd w:val="clear" w:color="auto" w:fill="E8F0F8"/>
          </w:tcPr>
          <w:p>
            <w:pPr>
              <w:spacing w:after="0" w:before="0" w:line="240" w:lineRule="auto"/>
            </w:pPr>
            <w:r>
              <w:rPr>
                <w:rFonts w:ascii="Times New Roman" w:hAnsi="Times New Roman" w:eastAsia="Times New Roman"/>
                <w:b/>
                <w:color w:val="1E364D"/>
                <w:sz w:val="15"/>
              </w:rPr>
              <w:t>Mean (SD)</w:t>
            </w:r>
          </w:p>
        </w:tc>
      </w:tr>
      <w:tr>
        <w:trPr>
          <w:cantSplit/>
        </w:trPr>
        <w:tc>
          <w:tcPr>
            <w:tcW w:type="dxa" w:w="936"/>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T1</w:t>
            </w:r>
          </w:p>
        </w:tc>
        <w:tc>
          <w:tcPr>
            <w:tcW w:type="dxa" w:w="1440"/>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.494</w:t>
            </w:r>
          </w:p>
        </w:tc>
        <w:tc>
          <w:tcPr>
            <w:tcW w:type="dxa" w:w="2592"/>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.450 (instruction following)</w:t>
            </w:r>
          </w:p>
        </w:tc>
        <w:tc>
          <w:tcPr>
            <w:tcW w:type="dxa" w:w="2592"/>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.675 (source-grounded generation)</w:t>
            </w:r>
          </w:p>
        </w:tc>
        <w:tc>
          <w:tcPr>
            <w:tcW w:type="dxa" w:w="1296"/>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.525 (.090)</w:t>
            </w:r>
          </w:p>
        </w:tc>
      </w:tr>
      <w:tr>
        <w:trPr>
          <w:cantSplit/>
        </w:trPr>
        <w:tc>
          <w:tcPr>
            <w:tcW w:type="dxa" w:w="936"/>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T2</w:t>
            </w:r>
          </w:p>
        </w:tc>
        <w:tc>
          <w:tcPr>
            <w:tcW w:type="dxa" w:w="1440"/>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.540</w:t>
            </w:r>
          </w:p>
        </w:tc>
        <w:tc>
          <w:tcPr>
            <w:tcW w:type="dxa" w:w="2592"/>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.372 (question answering)</w:t>
            </w:r>
          </w:p>
        </w:tc>
        <w:tc>
          <w:tcPr>
            <w:tcW w:type="dxa" w:w="2592"/>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.792 (source-grounded generation)</w:t>
            </w:r>
          </w:p>
        </w:tc>
        <w:tc>
          <w:tcPr>
            <w:tcW w:type="dxa" w:w="1296"/>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.540 (.148)</w:t>
            </w:r>
          </w:p>
        </w:tc>
      </w:tr>
      <w:tr>
        <w:trPr>
          <w:cantSplit/>
        </w:trPr>
        <w:tc>
          <w:tcPr>
            <w:tcW w:type="dxa" w:w="936"/>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T3</w:t>
            </w:r>
          </w:p>
        </w:tc>
        <w:tc>
          <w:tcPr>
            <w:tcW w:type="dxa" w:w="1440"/>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.566</w:t>
            </w:r>
          </w:p>
        </w:tc>
        <w:tc>
          <w:tcPr>
            <w:tcW w:type="dxa" w:w="2592"/>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.475 (question answering)</w:t>
            </w:r>
          </w:p>
        </w:tc>
        <w:tc>
          <w:tcPr>
            <w:tcW w:type="dxa" w:w="2592"/>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.773 (source-grounded generation)</w:t>
            </w:r>
          </w:p>
        </w:tc>
        <w:tc>
          <w:tcPr>
            <w:tcW w:type="dxa" w:w="1296"/>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.591 (.104)</w:t>
            </w:r>
          </w:p>
        </w:tc>
      </w:tr>
      <w:tr>
        <w:trPr>
          <w:cantSplit/>
        </w:trPr>
        <w:tc>
          <w:tcPr>
            <w:tcW w:type="dxa" w:w="936"/>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T4</w:t>
            </w:r>
          </w:p>
        </w:tc>
        <w:tc>
          <w:tcPr>
            <w:tcW w:type="dxa" w:w="1440"/>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.529</w:t>
            </w:r>
          </w:p>
        </w:tc>
        <w:tc>
          <w:tcPr>
            <w:tcW w:type="dxa" w:w="2592"/>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.432 (summarisation)</w:t>
            </w:r>
          </w:p>
        </w:tc>
        <w:tc>
          <w:tcPr>
            <w:tcW w:type="dxa" w:w="2592"/>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.788 (explanation)</w:t>
            </w:r>
          </w:p>
        </w:tc>
        <w:tc>
          <w:tcPr>
            <w:tcW w:type="dxa" w:w="1296"/>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.558 (.127)</w:t>
            </w:r>
          </w:p>
        </w:tc>
      </w:tr>
    </w:tbl>
    <w:p>
      <w:pPr>
        <w:widowControl/>
      </w:pPr>
      <w:r>
        <w:t>For each LOTO run, the complete held-out task is excluded from fitting and checkpoint selection. Within the remaining tasks, frozen fold 0 serves as development data and folds 1–4 as fitting data; the checkpoint with the best development macro-F1 predicts the held-out task. Unlike the primary outer-CV pipeline, LOTO is not followed by a full refit on all five non-held-out tasks. It is therefore an exploratory internal transfer diagnostic, not a second estimate of the primary protocol or external validation. Each held-out task contains 20 prompt clusters and target-specific class balance differs across tasks, so best/worst task labels must not be read as rankings of intrinsic task difficulty.</w:t>
      </w:r>
    </w:p>
    <w:p>
      <w:pPr>
        <w:pStyle w:val="3"/>
        <w:keepNext/>
        <w:keepLines/>
      </w:pPr>
      <w:r>
        <w:rPr>
          <w:color w:val="000000"/>
        </w:rPr>
        <w:t>S9.9 Human–machine difficulty and predictive uncertainty</w:t>
      </w:r>
    </w:p>
    <w:p>
      <w:pPr>
        <w:widowControl/>
      </w:pPr>
      <w:r>
        <w:t>Human-easy means full A1–A3 agreement on the target-specific pre-resolution decision; human-hard means disagreement. Error contrasts are primary. Normalised entropy, top-two margin, and maximum probability are supplementary post-hoc uncertainty proxies and are not calibration claims.</w:t>
      </w:r>
    </w:p>
    <w:p>
      <w:pPr>
        <w:spacing w:before="80" w:after="40"/>
      </w:pPr>
      <w:r>
        <w:rPr>
          <w:rFonts w:ascii="Times New Roman" w:hAnsi="Times New Roman" w:eastAsia="Times New Roman" w:cs="Times New Roman"/>
          <w:b w:val="0"/>
          <w:i w:val="0"/>
          <w:sz w:val="20"/>
        </w:rPr>
        <w:t>The supplementary normalised predictive-entropy proxy is defined as:</w:t>
      </w:r>
    </w:p>
    <w:p>
      <w:pPr>
        <w:keepNext w:val="0"/>
        <w:keepLines/>
        <w:spacing w:before="50" w:after="40"/>
        <w:tabs>
          <w:tab w:val="center" w:pos="4729"/>
          <w:tab w:val="right" w:pos="9458"/>
        </w:tabs>
      </w:pPr>
      <w:r>
        <w:tab/>
      </w:r>
      <m:oMath>
        <m:sSub>
          <m:e>
            <m:r>
              <m:t>H</m:t>
            </m:r>
          </m:e>
          <m:sub>
            <m:r>
              <m:rPr>
                <m:sty m:val="p"/>
              </m:rPr>
              <m:t>n</m:t>
            </m:r>
            <m:r>
              <m:rPr>
                <m:sty m:val="p"/>
              </m:rPr>
              <m:t>o</m:t>
            </m:r>
            <m:r>
              <m:rPr>
                <m:sty m:val="p"/>
              </m:rPr>
              <m:t>r</m:t>
            </m:r>
            <m:r>
              <m:rPr>
                <m:sty m:val="p"/>
              </m:rPr>
              <m:t>m</m:t>
            </m:r>
          </m:sub>
        </m:sSub>
        <m:d>
          <m:dPr>
            <m:begChr m:val="("/>
            <m:endChr m:val=")"/>
            <m:sepChr m:val=""/>
            <m:grow/>
          </m:dPr>
          <m:e>
            <m:r>
              <m:rPr>
                <m:sty m:val="b"/>
              </m:rPr>
              <m:t>p</m:t>
            </m:r>
          </m:e>
        </m:d>
        <m:r>
          <m:rPr>
            <m:sty m:val="p"/>
          </m:rPr>
          <m:t>=</m:t>
        </m:r>
        <m:r>
          <m:rPr>
            <m:sty m:val="p"/>
          </m:rPr>
          <m:t>−</m:t>
        </m:r>
        <m:f>
          <m:fPr>
            <m:type m:val="bar"/>
          </m:fPr>
          <m:num>
            <m:nary>
              <m:naryPr>
                <m:chr m:val="∑"/>
                <m:limLoc m:val="undOvr"/>
                <m:subHide m:val="off"/>
                <m:supHide m:val="off"/>
              </m:naryPr>
              <m:sub>
                <m:r>
                  <m:t>k</m:t>
                </m:r>
                <m:r>
                  <m:rPr>
                    <m:sty m:val="p"/>
                  </m:rPr>
                  <m:t>=</m:t>
                </m:r>
                <m:r>
                  <m:t>1</m:t>
                </m:r>
              </m:sub>
              <m:sup>
                <m:r>
                  <m:t>K</m:t>
                </m:r>
              </m:sup>
              <m:e>
                <m:sSub>
                  <m:e>
                    <m:r>
                      <m:t>p</m:t>
                    </m:r>
                  </m:e>
                  <m:sub>
                    <m:r>
                      <m:t>k</m:t>
                    </m:r>
                  </m:sub>
                </m:sSub>
              </m:e>
            </m:nary>
            <m:r>
              <m:rPr>
                <m:sty m:val="p"/>
              </m:rPr>
              <m:t>log</m:t>
            </m:r>
            <m:sSub>
              <m:e>
                <m:r>
                  <m:t>p</m:t>
                </m:r>
              </m:e>
              <m:sub>
                <m:r>
                  <m:t>k</m:t>
                </m:r>
              </m:sub>
            </m:sSub>
          </m:num>
          <m:den>
            <m:r>
              <m:rPr>
                <m:sty m:val="p"/>
              </m:rPr>
              <m:t>log</m:t>
            </m:r>
            <m:r>
              <m:t>K</m:t>
            </m:r>
          </m:den>
        </m:f>
        <m:r>
          <m:rPr>
            <m:sty m:val="p"/>
          </m:rPr>
          <m:t>,</m:t>
        </m:r>
        <m:r>
          <m:t>  </m:t>
        </m:r>
        <m:sSub>
          <m:e>
            <m:r>
              <m:t>p</m:t>
            </m:r>
          </m:e>
          <m:sub>
            <m:r>
              <m:t>k</m:t>
            </m:r>
          </m:sub>
        </m:sSub>
        <m:r>
          <m:rPr>
            <m:sty m:val="p"/>
          </m:rPr>
          <m:t>≥</m:t>
        </m:r>
        <m:r>
          <m:t>0</m:t>
        </m:r>
        <m:r>
          <m:rPr>
            <m:sty m:val="p"/>
          </m:rPr>
          <m:t>,</m:t>
        </m:r>
        <m:r>
          <m:t> </m:t>
        </m:r>
        <m:nary>
          <m:naryPr>
            <m:chr m:val="∑"/>
            <m:limLoc m:val="undOvr"/>
            <m:subHide m:val="off"/>
            <m:supHide m:val="off"/>
          </m:naryPr>
          <m:sub>
            <m:r>
              <m:t>k</m:t>
            </m:r>
            <m:r>
              <m:rPr>
                <m:sty m:val="p"/>
              </m:rPr>
              <m:t>=</m:t>
            </m:r>
            <m:r>
              <m:t>1</m:t>
            </m:r>
          </m:sub>
          <m:sup>
            <m:r>
              <m:t>K</m:t>
            </m:r>
          </m:sup>
          <m:e>
            <m:sSub>
              <m:e>
                <m:r>
                  <m:t>p</m:t>
                </m:r>
              </m:e>
              <m:sub>
                <m:r>
                  <m:t>k</m:t>
                </m:r>
              </m:sub>
            </m:sSub>
          </m:e>
        </m:nary>
        <m:r>
          <m:rPr>
            <m:sty m:val="p"/>
          </m:rPr>
          <m:t>=</m:t>
        </m:r>
        <m:r>
          <m:t>1</m:t>
        </m:r>
      </m:oMath>
      <w:r>
        <w:tab/>
      </w:r>
      <w:r>
        <w:rPr>
          <w:rFonts w:ascii="Times New Roman" w:hAnsi="Times New Roman" w:eastAsia="Times New Roman" w:cs="Times New Roman"/>
          <w:sz w:val="21"/>
          <w:szCs w:val="21"/>
        </w:rPr>
        <w:t>(S12)</w:t>
      </w:r>
    </w:p>
    <w:p>
      <w:pPr>
        <w:widowControl/>
        <w:spacing w:before="0" w:after="80"/>
      </w:pPr>
      <w:r>
        <w:rPr>
          <w:rFonts w:ascii="Times New Roman" w:hAnsi="Times New Roman" w:eastAsia="Times New Roman" w:cs="Times New Roman"/>
          <w:b w:val="0"/>
          <w:i w:val="0"/>
          <w:sz w:val="20"/>
        </w:rPr>
        <w:t>where K is the number of classes in the frozen target and p_k is the M3 class probability for class k. The quantity is used only as a comparative uncertainty proxy; no calibration claim is made.</w:t>
      </w:r>
    </w:p>
    <w:p>
      <w:pPr>
        <w:pStyle w:val="16"/>
        <w:keepNext/>
        <w:keepLines/>
        <w:spacing w:before="120" w:after="60"/>
        <w:jc w:val="left"/>
      </w:pPr>
      <w:r>
        <w:t>Table S68. M3 human-easy/hard error and normalised-entropy differences.</w:t>
      </w:r>
    </w:p>
    <w:tbl>
      <w:tblPr>
        <w:tblStyle w:val="35"/>
        <w:tblW w:type="auto" w:w="0"/>
        <w:tblLayout w:type="autofit"/>
        <w:tblLook w:firstColumn="1" w:firstRow="1" w:lastColumn="0" w:lastRow="0" w:noHBand="0" w:noVBand="1" w:val="04A0"/>
        <w:jc w:val="center"/>
        <w:tblBorders>
          <w:top w:val="single" w:sz="4" w:color="C7D4E2"/>
          <w:bottom w:val="single" w:sz="4" w:color="C7D4E2"/>
          <w:left w:val="single" w:sz="4" w:color="C7D4E2"/>
          <w:right w:val="single" w:sz="4" w:color="C7D4E2"/>
          <w:insideH w:val="single" w:sz="4" w:color="C7D4E2"/>
          <w:insideV w:val="single" w:sz="3" w:color="C7D4E2"/>
        </w:tblBorders>
      </w:tblPr>
      <w:tblGrid>
        <w:gridCol w:w="1405"/>
        <w:gridCol w:w="1405"/>
        <w:gridCol w:w="1405"/>
        <w:gridCol w:w="1405"/>
        <w:gridCol w:w="1405"/>
        <w:gridCol w:w="1405"/>
        <w:gridCol w:w="1405"/>
      </w:tblGrid>
      <w:tr>
        <w:trPr>
          <w:tblHeader w:val="true"/>
          <w:cantSplit w:val="true"/>
          <w:tblHeader w:val="true"/>
        </w:trPr>
        <w:tc>
          <w:tcPr>
            <w:tcW w:type="dxa" w:w="1405"/>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4"/>
              </w:rPr>
            </w:r>
            <w:r>
              <w:rPr>
                <w:rFonts w:ascii="Times New Roman" w:hAnsi="Times New Roman" w:eastAsia="Times New Roman" w:cs="Times New Roman"/>
                <w:b/>
                <w:color w:val="1E364D"/>
                <w:sz w:val="14"/>
              </w:rPr>
              <w:t>Target</w:t>
            </w:r>
          </w:p>
        </w:tc>
        <w:tc>
          <w:tcPr>
            <w:tcW w:type="dxa" w:w="1405"/>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4"/>
              </w:rPr>
            </w:r>
            <w:r>
              <w:rPr>
                <w:rFonts w:ascii="Times New Roman" w:hAnsi="Times New Roman" w:eastAsia="Times New Roman" w:cs="Times New Roman"/>
                <w:b/>
                <w:color w:val="1E364D"/>
                <w:sz w:val="14"/>
              </w:rPr>
              <w:t>Easy N</w:t>
            </w:r>
          </w:p>
        </w:tc>
        <w:tc>
          <w:tcPr>
            <w:tcW w:type="dxa" w:w="1405"/>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4"/>
              </w:rPr>
            </w:r>
            <w:r>
              <w:rPr>
                <w:rFonts w:ascii="Times New Roman" w:hAnsi="Times New Roman" w:eastAsia="Times New Roman" w:cs="Times New Roman"/>
                <w:b/>
                <w:color w:val="1E364D"/>
                <w:sz w:val="14"/>
              </w:rPr>
              <w:t>Easy err.</w:t>
            </w:r>
          </w:p>
        </w:tc>
        <w:tc>
          <w:tcPr>
            <w:tcW w:type="dxa" w:w="1405"/>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4"/>
              </w:rPr>
            </w:r>
            <w:r>
              <w:rPr>
                <w:rFonts w:ascii="Times New Roman" w:hAnsi="Times New Roman" w:eastAsia="Times New Roman" w:cs="Times New Roman"/>
                <w:b/>
                <w:color w:val="1E364D"/>
                <w:sz w:val="14"/>
              </w:rPr>
              <w:t>Hard N</w:t>
            </w:r>
          </w:p>
        </w:tc>
        <w:tc>
          <w:tcPr>
            <w:tcW w:type="dxa" w:w="1405"/>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4"/>
              </w:rPr>
            </w:r>
            <w:r>
              <w:rPr>
                <w:rFonts w:ascii="Times New Roman" w:hAnsi="Times New Roman" w:eastAsia="Times New Roman" w:cs="Times New Roman"/>
                <w:b/>
                <w:color w:val="1E364D"/>
                <w:sz w:val="14"/>
              </w:rPr>
              <w:t>Hard err.</w:t>
            </w:r>
          </w:p>
        </w:tc>
        <w:tc>
          <w:tcPr>
            <w:tcW w:type="dxa" w:w="1405"/>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4"/>
              </w:rPr>
            </w:r>
            <w:r>
              <w:rPr>
                <w:rFonts w:ascii="Times New Roman" w:hAnsi="Times New Roman" w:eastAsia="Times New Roman" w:cs="Times New Roman"/>
                <w:b/>
                <w:color w:val="1E364D"/>
                <w:sz w:val="14"/>
              </w:rPr>
              <w:t>Δ error</w:t>
            </w:r>
          </w:p>
        </w:tc>
        <w:tc>
          <w:tcPr>
            <w:tcW w:type="dxa" w:w="1405"/>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4"/>
              </w:rPr>
            </w:r>
            <w:r>
              <w:rPr>
                <w:rFonts w:ascii="Times New Roman" w:hAnsi="Times New Roman" w:eastAsia="Times New Roman" w:cs="Times New Roman"/>
                <w:b/>
                <w:color w:val="1E364D"/>
                <w:sz w:val="14"/>
              </w:rPr>
              <w:t>Δ norm. entropy</w:t>
            </w:r>
          </w:p>
        </w:tc>
      </w:tr>
      <w:tr>
        <w:trPr>
          <w:cantSplit w:val="true"/>
        </w:trPr>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T1</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578</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0.287</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142</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0.465</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+0.178 [0.086,0.272]</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+0.076 [0.014,0.138]</w:t>
            </w:r>
          </w:p>
        </w:tc>
      </w:tr>
      <w:tr>
        <w:trPr>
          <w:cantSplit w:val="true"/>
        </w:trPr>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T2</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326</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0.160</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148</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0.331</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+0.172 [0.087,0.262]</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+0.107 [0.033,0.184]</w:t>
            </w:r>
          </w:p>
        </w:tc>
      </w:tr>
      <w:tr>
        <w:trPr>
          <w:cantSplit w:val="true"/>
        </w:trPr>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T3</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323</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0.142</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137</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0.255</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+0.113 [0.028,0.202]</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+0.156 [0.084,0.232]</w:t>
            </w:r>
          </w:p>
        </w:tc>
      </w:tr>
      <w:tr>
        <w:trPr>
          <w:cantSplit w:val="true"/>
        </w:trPr>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T4</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223</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0.184</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251</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0.442</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+0.258 [0.177,0.339]</w:t>
            </w:r>
          </w:p>
        </w:tc>
        <w:tc>
          <w:tcPr>
            <w:tcW w:type="dxa" w:w="1405"/>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+0.301 [0.232,0.371]</w:t>
            </w:r>
          </w:p>
        </w:tc>
      </w:tr>
    </w:tbl>
    <w:p>
      <w:pPr>
        <w:spacing w:before="120" w:after="40"/>
        <w:jc w:val="center"/>
      </w:pPr>
      <w:r/>
    </w:p>
    <w:p>
      <w:pPr>
        <w:spacing w:before="120" w:after="40"/>
        <w:jc w:val="center"/>
      </w:pPr>
      <w:r>
        <w:drawing>
          <wp:inline xmlns:a="http://schemas.openxmlformats.org/drawingml/2006/main" xmlns:pic="http://schemas.openxmlformats.org/drawingml/2006/picture">
            <wp:extent cx="5897880" cy="2985017"/>
            <wp:docPr id="9" name="Picture 9"/>
            <wp:cNvGraphicFramePr>
              <a:graphicFrameLocks noChangeAspect="1"/>
            </wp:cNvGraphicFramePr>
            <a:graphic>
              <a:graphicData uri="http://schemas.openxmlformats.org/drawingml/2006/picture">
                <pic:pic>
                  <pic:nvPicPr>
                    <pic:cNvPr id="0" name="figureS7_difficulty_entropy.png"/>
                    <pic:cNvPicPr/>
                  </pic:nvPicPr>
                  <pic:blipFill>
                    <a:blip r:embed="rId23"/>
                    <a:stretch>
                      <a:fillRect/>
                    </a:stretch>
                  </pic:blipFill>
                  <pic:spPr>
                    <a:xfrm>
                      <a:off x="0" y="0"/>
                      <a:ext cx="5897880" cy="2985017"/>
                    </a:xfrm>
                    <a:prstGeom prst="rect"/>
                  </pic:spPr>
                </pic:pic>
              </a:graphicData>
            </a:graphic>
          </wp:inline>
        </w:drawing>
      </w:r>
    </w:p>
    <w:p>
      <w:pPr>
        <w:keepNext/>
        <w:spacing w:before="120" w:after="60"/>
        <w:jc w:val="left"/>
      </w:pPr>
      <w:r>
        <w:rPr>
          <w:rFonts w:ascii="Times New Roman" w:hAnsi="Times New Roman" w:eastAsia="Times New Roman" w:cs="Times New Roman"/>
          <w:b/>
          <w:sz w:val="18"/>
        </w:rPr>
        <w:t>Figure S4.</w:t>
      </w:r>
      <w:r>
        <w:rPr>
          <w:rFonts w:ascii="Times New Roman" w:hAnsi="Times New Roman" w:eastAsia="Times New Roman" w:cs="Times New Roman"/>
          <w:b w:val="0"/>
          <w:sz w:val="18"/>
        </w:rPr>
        <w:t xml:space="preserve"> Human-hard versus human-easy M3 error and normalised predictive-entropy contrasts across T1–T4.</w:t>
      </w:r>
    </w:p>
    <w:p>
      <w:pPr>
        <w:widowControl/>
        <w:spacing w:before="0" w:after="120"/>
      </w:pPr>
      <w:r>
        <w:rPr>
          <w:rFonts w:ascii="Times New Roman" w:hAnsi="Times New Roman" w:eastAsia="Times New Roman" w:cs="Times New Roman"/>
          <w:b w:val="0"/>
          <w:i/>
          <w:sz w:val="16"/>
        </w:rPr>
        <w:t xml:space="preserve">Note. </w:t>
      </w:r>
      <w:r>
        <w:rPr>
          <w:rFonts w:ascii="Times New Roman" w:hAnsi="Times New Roman" w:eastAsia="Times New Roman" w:cs="Times New Roman"/>
          <w:sz w:val="16"/>
        </w:rPr>
        <w:t>Positive values indicate higher error or higher normalised entropy on cases with pre-adjudication human disagreement. Error bars are 95% Prompt_ID-cluster bootstrap confidence intervals.</w:t>
      </w:r>
    </w:p>
    <w:p>
      <w:pPr>
        <w:pStyle w:val="3"/>
        <w:keepNext/>
        <w:keepLines/>
      </w:pPr>
      <w:r>
        <w:rPr>
          <w:rFonts w:ascii="Times New Roman" w:hAnsi="Times New Roman" w:eastAsia="Times New Roman"/>
          <w:color w:val="000000"/>
        </w:rPr>
        <w:t>S9.10 Post-hoc annotator-to-adjudicated-reference target concordance</w:t>
      </w:r>
    </w:p>
    <w:p>
      <w:pPr>
        <w:keepNext/>
      </w:pPr>
      <w:r>
        <w:t>Table S69. Annotator-to-adjudicated-reference target concordance on FINAL GOLD-defined target populations.</w:t>
      </w:r>
    </w:p>
    <w:tbl>
      <w:tblPr>
        <w:tblStyle w:val="35"/>
        <w:tblW w:type="auto" w:w="0"/>
        <w:jc w:val="center"/>
        <w:tblLayout w:type="autofit"/>
        <w:tblLook w:firstColumn="1" w:firstRow="1" w:lastColumn="0" w:lastRow="0" w:noHBand="0" w:noVBand="1" w:val="04A0"/>
        <w:tblBorders>
          <w:top w:val="single" w:sz="4" w:color="C7D4E2"/>
          <w:bottom w:val="single" w:sz="4" w:color="C7D4E2"/>
          <w:left w:val="single" w:sz="4" w:color="C7D4E2"/>
          <w:right w:val="single" w:sz="4" w:color="C7D4E2"/>
          <w:insideH w:val="single" w:sz="4" w:color="C7D4E2"/>
          <w:insideV w:val="single" w:sz="3" w:color="C7D4E2"/>
        </w:tblBorders>
      </w:tblPr>
      <w:tblGrid>
        <w:gridCol w:w="1405"/>
        <w:gridCol w:w="1405"/>
        <w:gridCol w:w="1405"/>
        <w:gridCol w:w="1405"/>
        <w:gridCol w:w="1405"/>
        <w:gridCol w:w="1405"/>
        <w:gridCol w:w="1405"/>
      </w:tblGrid>
      <w:tr>
        <w:trPr>
          <w:cantSplit/>
          <w:tblHeader w:val="true"/>
          <w:tblHeader w:val="true"/>
        </w:trPr>
        <w:tc>
          <w:tcPr>
            <w:tcW w:type="dxa" w:w="1405"/>
            <w:vAlign w:val="center"/>
            <w:tcMar>
              <w:top w:w="65" w:type="dxa"/>
              <w:start w:w="68" w:type="dxa"/>
              <w:bottom w:w="65" w:type="dxa"/>
              <w:end w:w="68" w:type="dxa"/>
            </w:tcMar>
            <w:shd w:val="clear" w:color="auto" w:fill="E8F0F8"/>
          </w:tcPr>
          <w:p>
            <w:pPr>
              <w:spacing w:after="0" w:before="0"/>
            </w:pPr>
            <w:r>
              <w:rPr>
                <w:rFonts w:ascii="Times New Roman" w:hAnsi="Times New Roman" w:eastAsia="Times New Roman"/>
                <w:b/>
                <w:color w:val="1E364D"/>
                <w:sz w:val="14"/>
              </w:rPr>
              <w:t>Target</w:t>
            </w:r>
          </w:p>
        </w:tc>
        <w:tc>
          <w:tcPr>
            <w:tcW w:type="dxa" w:w="1405"/>
            <w:vAlign w:val="center"/>
            <w:tcMar>
              <w:top w:w="65" w:type="dxa"/>
              <w:start w:w="68" w:type="dxa"/>
              <w:bottom w:w="65" w:type="dxa"/>
              <w:end w:w="68" w:type="dxa"/>
            </w:tcMar>
            <w:shd w:val="clear" w:color="auto" w:fill="E8F0F8"/>
          </w:tcPr>
          <w:p>
            <w:pPr>
              <w:spacing w:after="0" w:before="0"/>
            </w:pPr>
            <w:r>
              <w:rPr>
                <w:rFonts w:ascii="Times New Roman" w:hAnsi="Times New Roman" w:eastAsia="Times New Roman"/>
                <w:b/>
                <w:color w:val="1E364D"/>
                <w:sz w:val="14"/>
              </w:rPr>
              <w:t>Annotator</w:t>
            </w:r>
          </w:p>
        </w:tc>
        <w:tc>
          <w:tcPr>
            <w:tcW w:type="dxa" w:w="1405"/>
            <w:vAlign w:val="center"/>
            <w:tcMar>
              <w:top w:w="65" w:type="dxa"/>
              <w:start w:w="68" w:type="dxa"/>
              <w:bottom w:w="65" w:type="dxa"/>
              <w:end w:w="68" w:type="dxa"/>
            </w:tcMar>
            <w:shd w:val="clear" w:color="auto" w:fill="E8F0F8"/>
          </w:tcPr>
          <w:p>
            <w:pPr>
              <w:spacing w:after="0" w:before="0"/>
            </w:pPr>
            <w:r>
              <w:rPr>
                <w:rFonts w:ascii="Times New Roman" w:hAnsi="Times New Roman" w:eastAsia="Times New Roman"/>
                <w:b/>
                <w:color w:val="1E364D"/>
                <w:sz w:val="14"/>
              </w:rPr>
              <w:t>N</w:t>
            </w:r>
          </w:p>
        </w:tc>
        <w:tc>
          <w:tcPr>
            <w:tcW w:type="dxa" w:w="1405"/>
            <w:vAlign w:val="center"/>
            <w:tcMar>
              <w:top w:w="65" w:type="dxa"/>
              <w:start w:w="68" w:type="dxa"/>
              <w:bottom w:w="65" w:type="dxa"/>
              <w:end w:w="68" w:type="dxa"/>
            </w:tcMar>
            <w:shd w:val="clear" w:color="auto" w:fill="E8F0F8"/>
          </w:tcPr>
          <w:p>
            <w:pPr>
              <w:spacing w:after="0" w:before="0"/>
            </w:pPr>
            <w:r>
              <w:rPr>
                <w:rFonts w:ascii="Times New Roman" w:hAnsi="Times New Roman" w:eastAsia="Times New Roman"/>
                <w:b/>
                <w:color w:val="1E364D"/>
                <w:sz w:val="14"/>
              </w:rPr>
              <w:t>Coverage</w:t>
            </w:r>
          </w:p>
        </w:tc>
        <w:tc>
          <w:tcPr>
            <w:tcW w:type="dxa" w:w="1405"/>
            <w:vAlign w:val="center"/>
            <w:tcMar>
              <w:top w:w="65" w:type="dxa"/>
              <w:start w:w="68" w:type="dxa"/>
              <w:bottom w:w="65" w:type="dxa"/>
              <w:end w:w="68" w:type="dxa"/>
            </w:tcMar>
            <w:shd w:val="clear" w:color="auto" w:fill="E8F0F8"/>
          </w:tcPr>
          <w:p>
            <w:pPr>
              <w:spacing w:after="0" w:before="0"/>
            </w:pPr>
            <w:r>
              <w:rPr>
                <w:rFonts w:ascii="Times New Roman" w:hAnsi="Times New Roman" w:eastAsia="Times New Roman"/>
                <w:b/>
                <w:color w:val="1E364D"/>
                <w:sz w:val="14"/>
              </w:rPr>
              <w:t>Strict macro-F1 (95% CI)</w:t>
            </w:r>
          </w:p>
        </w:tc>
        <w:tc>
          <w:tcPr>
            <w:tcW w:type="dxa" w:w="1405"/>
            <w:vAlign w:val="center"/>
            <w:tcMar>
              <w:top w:w="65" w:type="dxa"/>
              <w:start w:w="68" w:type="dxa"/>
              <w:bottom w:w="65" w:type="dxa"/>
              <w:end w:w="68" w:type="dxa"/>
            </w:tcMar>
            <w:shd w:val="clear" w:color="auto" w:fill="E8F0F8"/>
          </w:tcPr>
          <w:p>
            <w:pPr>
              <w:spacing w:after="0" w:before="0"/>
            </w:pPr>
            <w:r>
              <w:rPr>
                <w:rFonts w:ascii="Times New Roman" w:hAnsi="Times New Roman" w:eastAsia="Times New Roman"/>
                <w:b/>
                <w:color w:val="1E364D"/>
                <w:sz w:val="14"/>
              </w:rPr>
              <w:t>Strict accuracy</w:t>
            </w:r>
          </w:p>
        </w:tc>
        <w:tc>
          <w:tcPr>
            <w:tcW w:type="dxa" w:w="1405"/>
            <w:vAlign w:val="center"/>
            <w:tcMar>
              <w:top w:w="65" w:type="dxa"/>
              <w:start w:w="68" w:type="dxa"/>
              <w:bottom w:w="65" w:type="dxa"/>
              <w:end w:w="68" w:type="dxa"/>
            </w:tcMar>
            <w:shd w:val="clear" w:color="auto" w:fill="E8F0F8"/>
          </w:tcPr>
          <w:p>
            <w:pPr>
              <w:spacing w:after="0" w:before="0"/>
            </w:pPr>
            <w:r>
              <w:rPr>
                <w:rFonts w:ascii="Times New Roman" w:hAnsi="Times New Roman" w:eastAsia="Times New Roman"/>
                <w:b/>
                <w:color w:val="1E364D"/>
                <w:sz w:val="14"/>
              </w:rPr>
              <w:t>T4 QWK (95% CI)</w:t>
            </w:r>
          </w:p>
        </w:tc>
      </w:tr>
      <w:tr>
        <w:trPr>
          <w:cantSplit/>
        </w:trPr>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T1</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A1</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720</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1.000</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.863 [.838, .886]</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.868</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w:t>
            </w:r>
          </w:p>
        </w:tc>
      </w:tr>
      <w:tr>
        <w:trPr>
          <w:cantSplit/>
        </w:trPr>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T1</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A2</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720</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1.000</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.957 [.939, .972]</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.961</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w:t>
            </w:r>
          </w:p>
        </w:tc>
      </w:tr>
      <w:tr>
        <w:trPr>
          <w:cantSplit/>
        </w:trPr>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T1</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A3</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720</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1.000</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.921 [.899, .942]</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.928</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w:t>
            </w:r>
          </w:p>
        </w:tc>
      </w:tr>
      <w:tr>
        <w:trPr>
          <w:cantSplit/>
        </w:trPr>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T2</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A1</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474</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.808</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.835 [.807, .863]</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.768</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w:t>
            </w:r>
          </w:p>
        </w:tc>
      </w:tr>
      <w:tr>
        <w:trPr>
          <w:cantSplit/>
        </w:trPr>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T2</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A2</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474</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.970</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.936 [.914, .955]</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.922</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w:t>
            </w:r>
          </w:p>
        </w:tc>
      </w:tr>
      <w:tr>
        <w:trPr>
          <w:cantSplit/>
        </w:trPr>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T2</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A3</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474</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.926</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.915 [.890, .938]</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.882</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w:t>
            </w:r>
          </w:p>
        </w:tc>
      </w:tr>
      <w:tr>
        <w:trPr>
          <w:cantSplit/>
        </w:trPr>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T3</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A1</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460</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.809</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.847 [.815, .876]</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.791</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w:t>
            </w:r>
          </w:p>
        </w:tc>
      </w:tr>
      <w:tr>
        <w:trPr>
          <w:cantSplit/>
        </w:trPr>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T3</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A2</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460</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.967</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.930 [.904, .955]</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.922</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w:t>
            </w:r>
          </w:p>
        </w:tc>
      </w:tr>
      <w:tr>
        <w:trPr>
          <w:cantSplit/>
        </w:trPr>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T3</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A3</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460</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.891</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.877 [.841, .912]</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.852</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w:t>
            </w:r>
          </w:p>
        </w:tc>
      </w:tr>
      <w:tr>
        <w:trPr>
          <w:cantSplit/>
        </w:trPr>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T4</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A1</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474</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.808</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.705 [.659, .751]</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.662</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.488 [.418, .558]</w:t>
            </w:r>
          </w:p>
        </w:tc>
      </w:tr>
      <w:tr>
        <w:trPr>
          <w:cantSplit/>
        </w:trPr>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T4</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A2</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474</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.970</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.858 [.816, .895]</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.869</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.854 [.812, .893]</w:t>
            </w:r>
          </w:p>
        </w:tc>
      </w:tr>
      <w:tr>
        <w:trPr>
          <w:cantSplit/>
        </w:trPr>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T4</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A3</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474</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.926</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.644 [.586, .698]</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.700</w:t>
            </w:r>
          </w:p>
        </w:tc>
        <w:tc>
          <w:tcPr>
            <w:tcW w:type="dxa" w:w="1405"/>
            <w:vAlign w:val="center"/>
            <w:tcMar>
              <w:top w:w="65" w:type="dxa"/>
              <w:start w:w="68" w:type="dxa"/>
              <w:bottom w:w="65" w:type="dxa"/>
              <w:end w:w="68" w:type="dxa"/>
            </w:tcMar>
          </w:tcPr>
          <w:p>
            <w:pPr>
              <w:spacing w:after="0" w:before="0"/>
            </w:pPr>
            <w:r>
              <w:rPr>
                <w:rFonts w:ascii="Times New Roman" w:hAnsi="Times New Roman" w:eastAsia="Times New Roman"/>
                <w:b w:val="0"/>
                <w:sz w:val="14"/>
              </w:rPr>
              <w:t>.673 [.621, .724]</w:t>
            </w:r>
          </w:p>
        </w:tc>
      </w:tr>
    </w:tbl>
    <w:p>
      <w:pPr>
        <w:widowControl/>
      </w:pPr>
      <w:r>
        <w:t>This post-hoc analysis projects each locked A1–A3 decision onto the FINAL GOLD-defined T1–T4 populations. T1 uses all 720 cases; T2/T4 use 474 FINAL GOLD failures; T3 uses 460 FINAL GOLD Core-SCF/OVR cases. For T2–T4, decisions outside the target-valid label set count as strict misses and target-valid coverage is reported. Prompt_ID-cluster bootstrap intervals use 2,000 resamples. Because FINAL GOLD incorporates these same A1–A3 judgments plus senior adjudication, the results are concordance bands rather than independent human ceilings or new IAA estimates. Strict macro-F1 ranges are .863–.957, .835–.936, .847–.930, and .644–.858 for T1–T4; strict T4 QWK ranges .488–.854 (Table S69).</w:t>
      </w:r>
    </w:p>
    <w:p>
      <w:pPr>
        <w:pStyle w:val="3"/>
        <w:keepNext/>
        <w:keepLines/>
      </w:pPr>
      <w:r>
        <w:rPr>
          <w:color w:val="000000"/>
        </w:rPr>
        <w:t>S9.11 Selected diagnostic error structure</w:t>
      </w:r>
    </w:p>
    <w:p>
      <w:pPr>
        <w:pStyle w:val="16"/>
        <w:keepNext/>
        <w:keepLines/>
        <w:spacing w:before="120" w:after="60"/>
        <w:jc w:val="left"/>
      </w:pPr>
      <w:r>
        <w:t>Table S70. Selected M3/M4 class-specific diagnostics for T3 and T4 under Condition C.</w:t>
      </w:r>
    </w:p>
    <w:tbl>
      <w:tblPr>
        <w:tblStyle w:val="35"/>
        <w:tblW w:type="auto" w:w="0"/>
        <w:tblLayout w:type="autofit"/>
        <w:tblLook w:firstColumn="1" w:firstRow="1" w:lastColumn="0" w:lastRow="0" w:noHBand="0" w:noVBand="1" w:val="04A0"/>
        <w:jc w:val="center"/>
        <w:tblBorders>
          <w:top w:val="single" w:sz="4" w:color="C7D4E2"/>
          <w:bottom w:val="single" w:sz="4" w:color="C7D4E2"/>
          <w:left w:val="single" w:sz="4" w:color="C7D4E2"/>
          <w:right w:val="single" w:sz="4" w:color="C7D4E2"/>
          <w:insideH w:val="single" w:sz="4" w:color="C7D4E2"/>
          <w:insideV w:val="single" w:sz="3" w:color="C7D4E2"/>
        </w:tblBorders>
      </w:tblPr>
      <w:tblGrid>
        <w:gridCol w:w="1229"/>
        <w:gridCol w:w="1229"/>
        <w:gridCol w:w="1229"/>
        <w:gridCol w:w="1229"/>
        <w:gridCol w:w="1229"/>
        <w:gridCol w:w="1229"/>
        <w:gridCol w:w="1229"/>
        <w:gridCol w:w="1229"/>
      </w:tblGrid>
      <w:tr>
        <w:trPr>
          <w:tblHeader w:val="true"/>
          <w:cantSplit w:val="true"/>
          <w:tblHeader w:val="true"/>
        </w:trPr>
        <w:tc>
          <w:tcPr>
            <w:tcW w:type="dxa" w:w="1229"/>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4"/>
              </w:rPr>
            </w:r>
            <w:r>
              <w:rPr>
                <w:rFonts w:ascii="Times New Roman" w:hAnsi="Times New Roman" w:eastAsia="Times New Roman" w:cs="Times New Roman"/>
                <w:b/>
                <w:color w:val="1E364D"/>
                <w:sz w:val="14"/>
              </w:rPr>
              <w:t>Model</w:t>
            </w:r>
          </w:p>
        </w:tc>
        <w:tc>
          <w:tcPr>
            <w:tcW w:type="dxa" w:w="1229"/>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4"/>
              </w:rPr>
            </w:r>
            <w:r>
              <w:rPr>
                <w:rFonts w:ascii="Times New Roman" w:hAnsi="Times New Roman" w:eastAsia="Times New Roman" w:cs="Times New Roman"/>
                <w:b/>
                <w:color w:val="1E364D"/>
                <w:sz w:val="14"/>
              </w:rPr>
              <w:t>Target</w:t>
            </w:r>
          </w:p>
        </w:tc>
        <w:tc>
          <w:tcPr>
            <w:tcW w:type="dxa" w:w="1229"/>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4"/>
              </w:rPr>
            </w:r>
            <w:r>
              <w:rPr>
                <w:rFonts w:ascii="Times New Roman" w:hAnsi="Times New Roman" w:eastAsia="Times New Roman" w:cs="Times New Roman"/>
                <w:b/>
                <w:color w:val="1E364D"/>
                <w:sz w:val="14"/>
              </w:rPr>
              <w:t>Class</w:t>
            </w:r>
          </w:p>
        </w:tc>
        <w:tc>
          <w:tcPr>
            <w:tcW w:type="dxa" w:w="1229"/>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4"/>
              </w:rPr>
            </w:r>
            <w:r>
              <w:rPr>
                <w:rFonts w:ascii="Times New Roman" w:hAnsi="Times New Roman" w:eastAsia="Times New Roman" w:cs="Times New Roman"/>
                <w:b/>
                <w:color w:val="1E364D"/>
                <w:sz w:val="14"/>
              </w:rPr>
              <w:t>Gold N</w:t>
            </w:r>
          </w:p>
        </w:tc>
        <w:tc>
          <w:tcPr>
            <w:tcW w:type="dxa" w:w="1229"/>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4"/>
              </w:rPr>
            </w:r>
            <w:r>
              <w:rPr>
                <w:rFonts w:ascii="Times New Roman" w:hAnsi="Times New Roman" w:eastAsia="Times New Roman" w:cs="Times New Roman"/>
                <w:b/>
                <w:color w:val="1E364D"/>
                <w:sz w:val="14"/>
              </w:rPr>
              <w:t>Pred. N</w:t>
            </w:r>
          </w:p>
        </w:tc>
        <w:tc>
          <w:tcPr>
            <w:tcW w:type="dxa" w:w="1229"/>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4"/>
              </w:rPr>
            </w:r>
            <w:r>
              <w:rPr>
                <w:rFonts w:ascii="Times New Roman" w:hAnsi="Times New Roman" w:eastAsia="Times New Roman" w:cs="Times New Roman"/>
                <w:b/>
                <w:color w:val="1E364D"/>
                <w:sz w:val="14"/>
              </w:rPr>
              <w:t>Precision</w:t>
            </w:r>
          </w:p>
        </w:tc>
        <w:tc>
          <w:tcPr>
            <w:tcW w:type="dxa" w:w="1229"/>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4"/>
              </w:rPr>
            </w:r>
            <w:r>
              <w:rPr>
                <w:rFonts w:ascii="Times New Roman" w:hAnsi="Times New Roman" w:eastAsia="Times New Roman" w:cs="Times New Roman"/>
                <w:b/>
                <w:color w:val="1E364D"/>
                <w:sz w:val="14"/>
              </w:rPr>
              <w:t>Recall</w:t>
            </w:r>
          </w:p>
        </w:tc>
        <w:tc>
          <w:tcPr>
            <w:tcW w:type="dxa" w:w="1229"/>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4"/>
              </w:rPr>
            </w:r>
            <w:r>
              <w:rPr>
                <w:rFonts w:ascii="Times New Roman" w:hAnsi="Times New Roman" w:eastAsia="Times New Roman" w:cs="Times New Roman"/>
                <w:b/>
                <w:color w:val="1E364D"/>
                <w:sz w:val="14"/>
              </w:rPr>
              <w:t>F1</w:t>
            </w:r>
          </w:p>
        </w:tc>
      </w:tr>
      <w:tr>
        <w:trPr>
          <w:cantSplit w:val="true"/>
        </w:trPr>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M3</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T3</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Core SCF</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333</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310</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0.906</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0.844</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0.874</w:t>
            </w:r>
          </w:p>
        </w:tc>
      </w:tr>
      <w:tr>
        <w:trPr>
          <w:cantSplit w:val="true"/>
        </w:trPr>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M3</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T3</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OVR</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127</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150</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0.653</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0.772</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0.708</w:t>
            </w:r>
          </w:p>
        </w:tc>
      </w:tr>
      <w:tr>
        <w:trPr>
          <w:cantSplit w:val="true"/>
        </w:trPr>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M4</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T3</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Core SCF</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333</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184</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0.826</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0.456</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0.588</w:t>
            </w:r>
          </w:p>
        </w:tc>
      </w:tr>
      <w:tr>
        <w:trPr>
          <w:cantSplit w:val="true"/>
        </w:trPr>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M4</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T3</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OVR</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127</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276</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0.344</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0.748</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0.471</w:t>
            </w:r>
          </w:p>
        </w:tc>
      </w:tr>
      <w:tr>
        <w:trPr>
          <w:cantSplit w:val="true"/>
        </w:trPr>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M3</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T4</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Severity 1</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66</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79</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0.430</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0.515</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0.469</w:t>
            </w:r>
          </w:p>
        </w:tc>
      </w:tr>
      <w:tr>
        <w:trPr>
          <w:cantSplit w:val="true"/>
        </w:trPr>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M3</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T4</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Severity 2</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196</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238</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0.618</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0.750</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0.677</w:t>
            </w:r>
          </w:p>
        </w:tc>
      </w:tr>
      <w:tr>
        <w:trPr>
          <w:cantSplit w:val="true"/>
        </w:trPr>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M3</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T4</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Severity 3</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212</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157</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0.898</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0.665</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0.764</w:t>
            </w:r>
          </w:p>
        </w:tc>
      </w:tr>
      <w:tr>
        <w:trPr>
          <w:cantSplit w:val="true"/>
        </w:trPr>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M4</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T4</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Severity 1</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66</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243</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0.239</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0.879</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0.375</w:t>
            </w:r>
          </w:p>
        </w:tc>
      </w:tr>
      <w:tr>
        <w:trPr>
          <w:cantSplit w:val="true"/>
        </w:trPr>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M4</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T4</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Severity 2</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196</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20</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0.550</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0.056</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0.102</w:t>
            </w:r>
          </w:p>
        </w:tc>
      </w:tr>
      <w:tr>
        <w:trPr>
          <w:cantSplit w:val="true"/>
        </w:trPr>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M4</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T4</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Severity 3</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212</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211</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0.697</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0.693</w:t>
            </w:r>
          </w:p>
        </w:tc>
        <w:tc>
          <w:tcPr>
            <w:tcW w:type="dxa" w:w="1229"/>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4"/>
              </w:rPr>
            </w:r>
            <w:r>
              <w:rPr>
                <w:rFonts w:ascii="Times New Roman" w:hAnsi="Times New Roman" w:eastAsia="Times New Roman" w:cs="Times New Roman"/>
                <w:b w:val="0"/>
                <w:sz w:val="14"/>
              </w:rPr>
              <w:t>0.695</w:t>
            </w:r>
          </w:p>
        </w:tc>
      </w:tr>
    </w:tbl>
    <w:p>
      <w:pPr>
        <w:pStyle w:val="16"/>
        <w:keepNext/>
        <w:keepLines/>
      </w:pPr>
      <w:r>
        <w:t>Table S71. Full primary-seed M3 Condition-C class diagnostics across T1–T4, with class-F1 range across the three full-pipeline stability seeds.</w:t>
      </w:r>
    </w:p>
    <w:tbl>
      <w:tblPr>
        <w:tblStyle w:val="35"/>
        <w:tblW w:type="auto" w:w="0"/>
        <w:jc w:val="center"/>
        <w:tblLayout w:type="autofit"/>
        <w:tblLook w:firstColumn="1" w:firstRow="1" w:lastColumn="0" w:lastRow="0" w:noHBand="0" w:noVBand="1" w:val="04A0"/>
        <w:tblBorders>
          <w:top w:val="single" w:sz="4" w:color="C7D4E2"/>
          <w:bottom w:val="single" w:sz="4" w:color="C7D4E2"/>
          <w:left w:val="single" w:sz="4" w:color="C7D4E2"/>
          <w:right w:val="single" w:sz="4" w:color="C7D4E2"/>
          <w:insideH w:val="single" w:sz="4" w:color="C7D4E2"/>
          <w:insideV w:val="single" w:sz="3" w:color="C7D4E2"/>
        </w:tblBorders>
      </w:tblPr>
      <w:tblGrid>
        <w:gridCol w:w="1229"/>
        <w:gridCol w:w="1229"/>
        <w:gridCol w:w="1229"/>
        <w:gridCol w:w="1229"/>
        <w:gridCol w:w="1229"/>
        <w:gridCol w:w="1229"/>
        <w:gridCol w:w="1229"/>
        <w:gridCol w:w="1229"/>
      </w:tblGrid>
      <w:tr>
        <w:trPr>
          <w:tblHeader w:val="true"/>
          <w:cantSplit/>
          <w:tblHeader w:val="true"/>
        </w:trPr>
        <w:tc>
          <w:tcPr>
            <w:tcW w:type="dxa" w:w="648"/>
            <w:vAlign w:val="center"/>
            <w:tcMar>
              <w:top w:w="65" w:type="dxa"/>
              <w:start w:w="68" w:type="dxa"/>
              <w:bottom w:w="65" w:type="dxa"/>
              <w:end w:w="68" w:type="dxa"/>
            </w:tcMar>
            <w:shd w:val="clear" w:color="auto" w:fill="E8F0F8"/>
          </w:tcPr>
          <w:p>
            <w:pPr>
              <w:spacing w:after="0" w:before="0" w:line="240" w:lineRule="auto"/>
            </w:pPr>
            <w:r>
              <w:rPr>
                <w:rFonts w:ascii="Times New Roman" w:hAnsi="Times New Roman" w:eastAsia="Times New Roman"/>
                <w:b/>
                <w:color w:val="1E364D"/>
                <w:sz w:val="14"/>
              </w:rPr>
              <w:t>Target</w:t>
            </w:r>
          </w:p>
        </w:tc>
        <w:tc>
          <w:tcPr>
            <w:tcW w:type="dxa" w:w="1800"/>
            <w:vAlign w:val="center"/>
            <w:tcMar>
              <w:top w:w="65" w:type="dxa"/>
              <w:start w:w="68" w:type="dxa"/>
              <w:bottom w:w="65" w:type="dxa"/>
              <w:end w:w="68" w:type="dxa"/>
            </w:tcMar>
            <w:shd w:val="clear" w:color="auto" w:fill="E8F0F8"/>
          </w:tcPr>
          <w:p>
            <w:pPr>
              <w:spacing w:after="0" w:before="0" w:line="240" w:lineRule="auto"/>
            </w:pPr>
            <w:r>
              <w:rPr>
                <w:rFonts w:ascii="Times New Roman" w:hAnsi="Times New Roman" w:eastAsia="Times New Roman"/>
                <w:b/>
                <w:color w:val="1E364D"/>
                <w:sz w:val="14"/>
              </w:rPr>
              <w:t>Class</w:t>
            </w:r>
          </w:p>
        </w:tc>
        <w:tc>
          <w:tcPr>
            <w:tcW w:type="dxa" w:w="792"/>
            <w:vAlign w:val="center"/>
            <w:tcMar>
              <w:top w:w="65" w:type="dxa"/>
              <w:start w:w="68" w:type="dxa"/>
              <w:bottom w:w="65" w:type="dxa"/>
              <w:end w:w="68" w:type="dxa"/>
            </w:tcMar>
            <w:shd w:val="clear" w:color="auto" w:fill="E8F0F8"/>
          </w:tcPr>
          <w:p>
            <w:pPr>
              <w:spacing w:after="0" w:before="0" w:line="240" w:lineRule="auto"/>
            </w:pPr>
            <w:r>
              <w:rPr>
                <w:rFonts w:ascii="Times New Roman" w:hAnsi="Times New Roman" w:eastAsia="Times New Roman"/>
                <w:b/>
                <w:color w:val="1E364D"/>
                <w:sz w:val="14"/>
              </w:rPr>
              <w:t>Gold N</w:t>
            </w:r>
          </w:p>
        </w:tc>
        <w:tc>
          <w:tcPr>
            <w:tcW w:type="dxa" w:w="792"/>
            <w:vAlign w:val="center"/>
            <w:tcMar>
              <w:top w:w="65" w:type="dxa"/>
              <w:start w:w="68" w:type="dxa"/>
              <w:bottom w:w="65" w:type="dxa"/>
              <w:end w:w="68" w:type="dxa"/>
            </w:tcMar>
            <w:shd w:val="clear" w:color="auto" w:fill="E8F0F8"/>
          </w:tcPr>
          <w:p>
            <w:pPr>
              <w:spacing w:after="0" w:before="0" w:line="240" w:lineRule="auto"/>
            </w:pPr>
            <w:r>
              <w:rPr>
                <w:rFonts w:ascii="Times New Roman" w:hAnsi="Times New Roman" w:eastAsia="Times New Roman"/>
                <w:b/>
                <w:color w:val="1E364D"/>
                <w:sz w:val="14"/>
              </w:rPr>
              <w:t>Pred. N</w:t>
            </w:r>
          </w:p>
        </w:tc>
        <w:tc>
          <w:tcPr>
            <w:tcW w:type="dxa" w:w="1008"/>
            <w:vAlign w:val="center"/>
            <w:tcMar>
              <w:top w:w="65" w:type="dxa"/>
              <w:start w:w="68" w:type="dxa"/>
              <w:bottom w:w="65" w:type="dxa"/>
              <w:end w:w="68" w:type="dxa"/>
            </w:tcMar>
            <w:shd w:val="clear" w:color="auto" w:fill="E8F0F8"/>
          </w:tcPr>
          <w:p>
            <w:pPr>
              <w:spacing w:after="0" w:before="0" w:line="240" w:lineRule="auto"/>
            </w:pPr>
            <w:r>
              <w:rPr>
                <w:rFonts w:ascii="Times New Roman" w:hAnsi="Times New Roman" w:eastAsia="Times New Roman"/>
                <w:b/>
                <w:color w:val="1E364D"/>
                <w:sz w:val="14"/>
              </w:rPr>
              <w:t>Precision</w:t>
            </w:r>
          </w:p>
        </w:tc>
        <w:tc>
          <w:tcPr>
            <w:tcW w:type="dxa" w:w="1008"/>
            <w:vAlign w:val="center"/>
            <w:tcMar>
              <w:top w:w="65" w:type="dxa"/>
              <w:start w:w="68" w:type="dxa"/>
              <w:bottom w:w="65" w:type="dxa"/>
              <w:end w:w="68" w:type="dxa"/>
            </w:tcMar>
            <w:shd w:val="clear" w:color="auto" w:fill="E8F0F8"/>
          </w:tcPr>
          <w:p>
            <w:pPr>
              <w:spacing w:after="0" w:before="0" w:line="240" w:lineRule="auto"/>
            </w:pPr>
            <w:r>
              <w:rPr>
                <w:rFonts w:ascii="Times New Roman" w:hAnsi="Times New Roman" w:eastAsia="Times New Roman"/>
                <w:b/>
                <w:color w:val="1E364D"/>
                <w:sz w:val="14"/>
              </w:rPr>
              <w:t>Recall</w:t>
            </w:r>
          </w:p>
        </w:tc>
        <w:tc>
          <w:tcPr>
            <w:tcW w:type="dxa" w:w="1008"/>
            <w:vAlign w:val="center"/>
            <w:tcMar>
              <w:top w:w="65" w:type="dxa"/>
              <w:start w:w="68" w:type="dxa"/>
              <w:bottom w:w="65" w:type="dxa"/>
              <w:end w:w="68" w:type="dxa"/>
            </w:tcMar>
            <w:shd w:val="clear" w:color="auto" w:fill="E8F0F8"/>
          </w:tcPr>
          <w:p>
            <w:pPr>
              <w:spacing w:after="0" w:before="0" w:line="240" w:lineRule="auto"/>
            </w:pPr>
            <w:r>
              <w:rPr>
                <w:rFonts w:ascii="Times New Roman" w:hAnsi="Times New Roman" w:eastAsia="Times New Roman"/>
                <w:b/>
                <w:color w:val="1E364D"/>
                <w:sz w:val="14"/>
              </w:rPr>
              <w:t>Primary F1</w:t>
            </w:r>
          </w:p>
        </w:tc>
        <w:tc>
          <w:tcPr>
            <w:tcW w:type="dxa" w:w="1368"/>
            <w:vAlign w:val="center"/>
            <w:tcMar>
              <w:top w:w="65" w:type="dxa"/>
              <w:start w:w="68" w:type="dxa"/>
              <w:bottom w:w="65" w:type="dxa"/>
              <w:end w:w="68" w:type="dxa"/>
            </w:tcMar>
            <w:shd w:val="clear" w:color="auto" w:fill="E8F0F8"/>
          </w:tcPr>
          <w:p>
            <w:pPr>
              <w:spacing w:after="0" w:before="0" w:line="240" w:lineRule="auto"/>
            </w:pPr>
            <w:r>
              <w:rPr>
                <w:rFonts w:ascii="Times New Roman" w:hAnsi="Times New Roman" w:eastAsia="Times New Roman"/>
                <w:b/>
                <w:color w:val="1E364D"/>
                <w:sz w:val="14"/>
              </w:rPr>
              <w:t>3-seed F1 range</w:t>
            </w:r>
          </w:p>
        </w:tc>
      </w:tr>
      <w:tr>
        <w:trPr>
          <w:cantSplit/>
        </w:trPr>
        <w:tc>
          <w:tcPr>
            <w:tcW w:type="dxa" w:w="64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T1</w:t>
            </w:r>
          </w:p>
        </w:tc>
        <w:tc>
          <w:tcPr>
            <w:tcW w:type="dxa" w:w="1800"/>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no_failure</w:t>
            </w:r>
          </w:p>
        </w:tc>
        <w:tc>
          <w:tcPr>
            <w:tcW w:type="dxa" w:w="792"/>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246</w:t>
            </w:r>
          </w:p>
        </w:tc>
        <w:tc>
          <w:tcPr>
            <w:tcW w:type="dxa" w:w="792"/>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290</w:t>
            </w:r>
          </w:p>
        </w:tc>
        <w:tc>
          <w:tcPr>
            <w:tcW w:type="dxa" w:w="100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.524</w:t>
            </w:r>
          </w:p>
        </w:tc>
        <w:tc>
          <w:tcPr>
            <w:tcW w:type="dxa" w:w="100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.618</w:t>
            </w:r>
          </w:p>
        </w:tc>
        <w:tc>
          <w:tcPr>
            <w:tcW w:type="dxa" w:w="100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.567</w:t>
            </w:r>
          </w:p>
        </w:tc>
        <w:tc>
          <w:tcPr>
            <w:tcW w:type="dxa" w:w="136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.567–.597</w:t>
            </w:r>
          </w:p>
        </w:tc>
      </w:tr>
      <w:tr>
        <w:trPr>
          <w:cantSplit/>
        </w:trPr>
        <w:tc>
          <w:tcPr>
            <w:tcW w:type="dxa" w:w="64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T1</w:t>
            </w:r>
          </w:p>
        </w:tc>
        <w:tc>
          <w:tcPr>
            <w:tcW w:type="dxa" w:w="1800"/>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failure</w:t>
            </w:r>
          </w:p>
        </w:tc>
        <w:tc>
          <w:tcPr>
            <w:tcW w:type="dxa" w:w="792"/>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474</w:t>
            </w:r>
          </w:p>
        </w:tc>
        <w:tc>
          <w:tcPr>
            <w:tcW w:type="dxa" w:w="792"/>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430</w:t>
            </w:r>
          </w:p>
        </w:tc>
        <w:tc>
          <w:tcPr>
            <w:tcW w:type="dxa" w:w="100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.781</w:t>
            </w:r>
          </w:p>
        </w:tc>
        <w:tc>
          <w:tcPr>
            <w:tcW w:type="dxa" w:w="100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.709</w:t>
            </w:r>
          </w:p>
        </w:tc>
        <w:tc>
          <w:tcPr>
            <w:tcW w:type="dxa" w:w="100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.743</w:t>
            </w:r>
          </w:p>
        </w:tc>
        <w:tc>
          <w:tcPr>
            <w:tcW w:type="dxa" w:w="136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.682–.743</w:t>
            </w:r>
          </w:p>
        </w:tc>
      </w:tr>
      <w:tr>
        <w:trPr>
          <w:cantSplit/>
        </w:trPr>
        <w:tc>
          <w:tcPr>
            <w:tcW w:type="dxa" w:w="64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T2</w:t>
            </w:r>
          </w:p>
        </w:tc>
        <w:tc>
          <w:tcPr>
            <w:tcW w:type="dxa" w:w="1800"/>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semantic_only</w:t>
            </w:r>
          </w:p>
        </w:tc>
        <w:tc>
          <w:tcPr>
            <w:tcW w:type="dxa" w:w="792"/>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296</w:t>
            </w:r>
          </w:p>
        </w:tc>
        <w:tc>
          <w:tcPr>
            <w:tcW w:type="dxa" w:w="792"/>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277</w:t>
            </w:r>
          </w:p>
        </w:tc>
        <w:tc>
          <w:tcPr>
            <w:tcW w:type="dxa" w:w="100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.852</w:t>
            </w:r>
          </w:p>
        </w:tc>
        <w:tc>
          <w:tcPr>
            <w:tcW w:type="dxa" w:w="100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.797</w:t>
            </w:r>
          </w:p>
        </w:tc>
        <w:tc>
          <w:tcPr>
            <w:tcW w:type="dxa" w:w="100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.824</w:t>
            </w:r>
          </w:p>
        </w:tc>
        <w:tc>
          <w:tcPr>
            <w:tcW w:type="dxa" w:w="136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.796–.824</w:t>
            </w:r>
          </w:p>
        </w:tc>
      </w:tr>
      <w:tr>
        <w:trPr>
          <w:cantSplit/>
        </w:trPr>
        <w:tc>
          <w:tcPr>
            <w:tcW w:type="dxa" w:w="64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T2</w:t>
            </w:r>
          </w:p>
        </w:tc>
        <w:tc>
          <w:tcPr>
            <w:tcW w:type="dxa" w:w="1800"/>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grounding-involved</w:t>
            </w:r>
          </w:p>
        </w:tc>
        <w:tc>
          <w:tcPr>
            <w:tcW w:type="dxa" w:w="792"/>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178</w:t>
            </w:r>
          </w:p>
        </w:tc>
        <w:tc>
          <w:tcPr>
            <w:tcW w:type="dxa" w:w="792"/>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197</w:t>
            </w:r>
          </w:p>
        </w:tc>
        <w:tc>
          <w:tcPr>
            <w:tcW w:type="dxa" w:w="100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.695</w:t>
            </w:r>
          </w:p>
        </w:tc>
        <w:tc>
          <w:tcPr>
            <w:tcW w:type="dxa" w:w="100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.770</w:t>
            </w:r>
          </w:p>
        </w:tc>
        <w:tc>
          <w:tcPr>
            <w:tcW w:type="dxa" w:w="100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.731</w:t>
            </w:r>
          </w:p>
        </w:tc>
        <w:tc>
          <w:tcPr>
            <w:tcW w:type="dxa" w:w="136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.708–.731</w:t>
            </w:r>
          </w:p>
        </w:tc>
      </w:tr>
      <w:tr>
        <w:trPr>
          <w:cantSplit/>
        </w:trPr>
        <w:tc>
          <w:tcPr>
            <w:tcW w:type="dxa" w:w="64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T3</w:t>
            </w:r>
          </w:p>
        </w:tc>
        <w:tc>
          <w:tcPr>
            <w:tcW w:type="dxa" w:w="1800"/>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Core SCF</w:t>
            </w:r>
          </w:p>
        </w:tc>
        <w:tc>
          <w:tcPr>
            <w:tcW w:type="dxa" w:w="792"/>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333</w:t>
            </w:r>
          </w:p>
        </w:tc>
        <w:tc>
          <w:tcPr>
            <w:tcW w:type="dxa" w:w="792"/>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310</w:t>
            </w:r>
          </w:p>
        </w:tc>
        <w:tc>
          <w:tcPr>
            <w:tcW w:type="dxa" w:w="100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.906</w:t>
            </w:r>
          </w:p>
        </w:tc>
        <w:tc>
          <w:tcPr>
            <w:tcW w:type="dxa" w:w="100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.844</w:t>
            </w:r>
          </w:p>
        </w:tc>
        <w:tc>
          <w:tcPr>
            <w:tcW w:type="dxa" w:w="100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.874</w:t>
            </w:r>
          </w:p>
        </w:tc>
        <w:tc>
          <w:tcPr>
            <w:tcW w:type="dxa" w:w="136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.874–.899</w:t>
            </w:r>
          </w:p>
        </w:tc>
      </w:tr>
      <w:tr>
        <w:trPr>
          <w:cantSplit/>
        </w:trPr>
        <w:tc>
          <w:tcPr>
            <w:tcW w:type="dxa" w:w="64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T3</w:t>
            </w:r>
          </w:p>
        </w:tc>
        <w:tc>
          <w:tcPr>
            <w:tcW w:type="dxa" w:w="1800"/>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OVR</w:t>
            </w:r>
          </w:p>
        </w:tc>
        <w:tc>
          <w:tcPr>
            <w:tcW w:type="dxa" w:w="792"/>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127</w:t>
            </w:r>
          </w:p>
        </w:tc>
        <w:tc>
          <w:tcPr>
            <w:tcW w:type="dxa" w:w="792"/>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150</w:t>
            </w:r>
          </w:p>
        </w:tc>
        <w:tc>
          <w:tcPr>
            <w:tcW w:type="dxa" w:w="100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.653</w:t>
            </w:r>
          </w:p>
        </w:tc>
        <w:tc>
          <w:tcPr>
            <w:tcW w:type="dxa" w:w="100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.772</w:t>
            </w:r>
          </w:p>
        </w:tc>
        <w:tc>
          <w:tcPr>
            <w:tcW w:type="dxa" w:w="100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.708</w:t>
            </w:r>
          </w:p>
        </w:tc>
        <w:tc>
          <w:tcPr>
            <w:tcW w:type="dxa" w:w="136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.708–.750</w:t>
            </w:r>
          </w:p>
        </w:tc>
      </w:tr>
      <w:tr>
        <w:trPr>
          <w:cantSplit/>
        </w:trPr>
        <w:tc>
          <w:tcPr>
            <w:tcW w:type="dxa" w:w="64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T4</w:t>
            </w:r>
          </w:p>
        </w:tc>
        <w:tc>
          <w:tcPr>
            <w:tcW w:type="dxa" w:w="1800"/>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Severity 1</w:t>
            </w:r>
          </w:p>
        </w:tc>
        <w:tc>
          <w:tcPr>
            <w:tcW w:type="dxa" w:w="792"/>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66</w:t>
            </w:r>
          </w:p>
        </w:tc>
        <w:tc>
          <w:tcPr>
            <w:tcW w:type="dxa" w:w="792"/>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79</w:t>
            </w:r>
          </w:p>
        </w:tc>
        <w:tc>
          <w:tcPr>
            <w:tcW w:type="dxa" w:w="100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.430</w:t>
            </w:r>
          </w:p>
        </w:tc>
        <w:tc>
          <w:tcPr>
            <w:tcW w:type="dxa" w:w="100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.515</w:t>
            </w:r>
          </w:p>
        </w:tc>
        <w:tc>
          <w:tcPr>
            <w:tcW w:type="dxa" w:w="100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.469</w:t>
            </w:r>
          </w:p>
        </w:tc>
        <w:tc>
          <w:tcPr>
            <w:tcW w:type="dxa" w:w="136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.459–.559</w:t>
            </w:r>
          </w:p>
        </w:tc>
      </w:tr>
      <w:tr>
        <w:trPr>
          <w:cantSplit/>
        </w:trPr>
        <w:tc>
          <w:tcPr>
            <w:tcW w:type="dxa" w:w="64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T4</w:t>
            </w:r>
          </w:p>
        </w:tc>
        <w:tc>
          <w:tcPr>
            <w:tcW w:type="dxa" w:w="1800"/>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Severity 2</w:t>
            </w:r>
          </w:p>
        </w:tc>
        <w:tc>
          <w:tcPr>
            <w:tcW w:type="dxa" w:w="792"/>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196</w:t>
            </w:r>
          </w:p>
        </w:tc>
        <w:tc>
          <w:tcPr>
            <w:tcW w:type="dxa" w:w="792"/>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238</w:t>
            </w:r>
          </w:p>
        </w:tc>
        <w:tc>
          <w:tcPr>
            <w:tcW w:type="dxa" w:w="100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.618</w:t>
            </w:r>
          </w:p>
        </w:tc>
        <w:tc>
          <w:tcPr>
            <w:tcW w:type="dxa" w:w="100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.750</w:t>
            </w:r>
          </w:p>
        </w:tc>
        <w:tc>
          <w:tcPr>
            <w:tcW w:type="dxa" w:w="100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.677</w:t>
            </w:r>
          </w:p>
        </w:tc>
        <w:tc>
          <w:tcPr>
            <w:tcW w:type="dxa" w:w="136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.677–.726</w:t>
            </w:r>
          </w:p>
        </w:tc>
      </w:tr>
      <w:tr>
        <w:trPr>
          <w:cantSplit/>
        </w:trPr>
        <w:tc>
          <w:tcPr>
            <w:tcW w:type="dxa" w:w="64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T4</w:t>
            </w:r>
          </w:p>
        </w:tc>
        <w:tc>
          <w:tcPr>
            <w:tcW w:type="dxa" w:w="1800"/>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Severity 3</w:t>
            </w:r>
          </w:p>
        </w:tc>
        <w:tc>
          <w:tcPr>
            <w:tcW w:type="dxa" w:w="792"/>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212</w:t>
            </w:r>
          </w:p>
        </w:tc>
        <w:tc>
          <w:tcPr>
            <w:tcW w:type="dxa" w:w="792"/>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157</w:t>
            </w:r>
          </w:p>
        </w:tc>
        <w:tc>
          <w:tcPr>
            <w:tcW w:type="dxa" w:w="100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.898</w:t>
            </w:r>
          </w:p>
        </w:tc>
        <w:tc>
          <w:tcPr>
            <w:tcW w:type="dxa" w:w="100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.665</w:t>
            </w:r>
          </w:p>
        </w:tc>
        <w:tc>
          <w:tcPr>
            <w:tcW w:type="dxa" w:w="100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.764</w:t>
            </w:r>
          </w:p>
        </w:tc>
        <w:tc>
          <w:tcPr>
            <w:tcW w:type="dxa" w:w="1368"/>
            <w:vAlign w:val="center"/>
            <w:tcMar>
              <w:top w:w="65" w:type="dxa"/>
              <w:start w:w="68" w:type="dxa"/>
              <w:bottom w:w="65" w:type="dxa"/>
              <w:end w:w="68" w:type="dxa"/>
            </w:tcMar>
          </w:tcPr>
          <w:p>
            <w:pPr>
              <w:spacing w:after="0" w:before="0" w:line="240" w:lineRule="auto"/>
            </w:pPr>
            <w:r>
              <w:rPr>
                <w:rFonts w:ascii="Times New Roman" w:hAnsi="Times New Roman" w:eastAsia="Times New Roman"/>
                <w:sz w:val="14"/>
              </w:rPr>
              <w:t>.764–.788</w:t>
            </w:r>
          </w:p>
        </w:tc>
      </w:tr>
    </w:tbl>
    <w:p>
      <w:pPr>
        <w:widowControl/>
      </w:pPr>
      <w:r>
        <w:t>For T4, the primary-seed confusion matrix (rows=gold, columns=prediction; labels 1/2/3) is [[34,28,4],[37,147,12],[8,63,141]]. Only 12/474 cases are non-adjacent 1 ↔ 3 errors, so within-one accuracy is 97.5%. On the same conditional GOLD T4 population, predicting severity 3 for every eligible case would attain 408/474 = 86.1% within-one accuracy because the 196 severity-2 and 212 severity-3 cases are within one level of 3; the latter is a descriptive arithmetic baseline rather than a fitted model. Across the three tested seeds, severity-1 class performance varied more than severity-3 class performance; this is a descriptive model-specific pattern, not an estimate of intrinsic label-boundary uncertainty.</w:t>
      </w:r>
    </w:p>
    <w:p>
      <w:pPr>
        <w:pStyle w:val="16"/>
        <w:keepNext/>
        <w:keepLines/>
        <w:pageBreakBefore/>
      </w:pPr>
      <w:r>
        <w:t>Table S72. Deterministic qualitative M3 error audit: highest-confidence misclassified primary-seed Condition-C case within each target × pre-adjudication human-difficulty stratum.</w:t>
      </w:r>
    </w:p>
    <w:tbl>
      <w:tblPr>
        <w:tblStyle w:val="35"/>
        <w:tblW w:type="auto" w:w="0"/>
        <w:jc w:val="center"/>
        <w:tblLayout w:type="autofit"/>
        <w:tblLook w:firstColumn="1" w:firstRow="1" w:lastColumn="0" w:lastRow="0" w:noHBand="0" w:noVBand="1" w:val="04A0"/>
        <w:tblBorders>
          <w:top w:val="single" w:sz="4" w:color="C7D4E2"/>
          <w:bottom w:val="single" w:sz="4" w:color="C7D4E2"/>
          <w:left w:val="single" w:sz="4" w:color="C7D4E2"/>
          <w:right w:val="single" w:sz="4" w:color="C7D4E2"/>
          <w:insideH w:val="single" w:sz="4" w:color="C7D4E2"/>
          <w:insideV w:val="single" w:sz="3" w:color="C7D4E2"/>
        </w:tblBorders>
      </w:tblPr>
      <w:tblGrid>
        <w:gridCol w:w="1966"/>
        <w:gridCol w:w="1966"/>
        <w:gridCol w:w="1966"/>
        <w:gridCol w:w="1966"/>
        <w:gridCol w:w="1966"/>
      </w:tblGrid>
      <w:tr>
        <w:trPr>
          <w:tblHeader w:val="true"/>
          <w:cantSplit/>
          <w:tblHeader w:val="true"/>
        </w:trPr>
        <w:tc>
          <w:tcPr>
            <w:tcW w:type="dxa" w:w="1080"/>
            <w:vAlign w:val="center"/>
            <w:tcMar>
              <w:top w:w="65" w:type="dxa"/>
              <w:start w:w="68" w:type="dxa"/>
              <w:bottom w:w="65" w:type="dxa"/>
              <w:end w:w="68" w:type="dxa"/>
            </w:tcMar>
            <w:shd w:val="clear" w:color="auto" w:fill="E8F0F8"/>
          </w:tcPr>
          <w:p>
            <w:pPr>
              <w:spacing w:after="0" w:before="0" w:line="240" w:lineRule="auto"/>
            </w:pPr>
            <w:r>
              <w:rPr>
                <w:rFonts w:ascii="Times New Roman" w:hAnsi="Times New Roman" w:eastAsia="Times New Roman"/>
                <w:b/>
                <w:color w:val="1E364D"/>
                <w:sz w:val="15"/>
              </w:rPr>
              <w:t>Target / stratum</w:t>
            </w:r>
          </w:p>
        </w:tc>
        <w:tc>
          <w:tcPr>
            <w:tcW w:type="dxa" w:w="1656"/>
            <w:vAlign w:val="center"/>
            <w:tcMar>
              <w:top w:w="65" w:type="dxa"/>
              <w:start w:w="68" w:type="dxa"/>
              <w:bottom w:w="65" w:type="dxa"/>
              <w:end w:w="68" w:type="dxa"/>
            </w:tcMar>
            <w:shd w:val="clear" w:color="auto" w:fill="E8F0F8"/>
          </w:tcPr>
          <w:p>
            <w:pPr>
              <w:spacing w:after="0" w:before="0" w:line="240" w:lineRule="auto"/>
            </w:pPr>
            <w:r>
              <w:rPr>
                <w:rFonts w:ascii="Times New Roman" w:hAnsi="Times New Roman" w:eastAsia="Times New Roman"/>
                <w:b/>
                <w:color w:val="1E364D"/>
                <w:sz w:val="15"/>
              </w:rPr>
              <w:t>Case / task</w:t>
            </w:r>
          </w:p>
        </w:tc>
        <w:tc>
          <w:tcPr>
            <w:tcW w:type="dxa" w:w="1800"/>
            <w:vAlign w:val="center"/>
            <w:tcMar>
              <w:top w:w="65" w:type="dxa"/>
              <w:start w:w="68" w:type="dxa"/>
              <w:bottom w:w="65" w:type="dxa"/>
              <w:end w:w="68" w:type="dxa"/>
            </w:tcMar>
            <w:shd w:val="clear" w:color="auto" w:fill="E8F0F8"/>
          </w:tcPr>
          <w:p>
            <w:pPr>
              <w:spacing w:after="0" w:before="0" w:line="240" w:lineRule="auto"/>
            </w:pPr>
            <w:r>
              <w:rPr>
                <w:rFonts w:ascii="Times New Roman" w:hAnsi="Times New Roman" w:eastAsia="Times New Roman"/>
                <w:b/>
                <w:color w:val="1E364D"/>
                <w:sz w:val="15"/>
              </w:rPr>
              <w:t>Gold → M3</w:t>
            </w:r>
          </w:p>
        </w:tc>
        <w:tc>
          <w:tcPr>
            <w:tcW w:type="dxa" w:w="1152"/>
            <w:vAlign w:val="center"/>
            <w:tcMar>
              <w:top w:w="65" w:type="dxa"/>
              <w:start w:w="68" w:type="dxa"/>
              <w:bottom w:w="65" w:type="dxa"/>
              <w:end w:w="68" w:type="dxa"/>
            </w:tcMar>
            <w:shd w:val="clear" w:color="auto" w:fill="E8F0F8"/>
          </w:tcPr>
          <w:p>
            <w:pPr>
              <w:spacing w:after="0" w:before="0" w:line="240" w:lineRule="auto"/>
            </w:pPr>
            <w:r>
              <w:rPr>
                <w:rFonts w:ascii="Times New Roman" w:hAnsi="Times New Roman" w:eastAsia="Times New Roman"/>
                <w:b/>
                <w:color w:val="1E364D"/>
                <w:sz w:val="15"/>
              </w:rPr>
              <w:t>Pred. confidence</w:t>
            </w:r>
          </w:p>
        </w:tc>
        <w:tc>
          <w:tcPr>
            <w:tcW w:type="dxa" w:w="3888"/>
            <w:vAlign w:val="center"/>
            <w:tcMar>
              <w:top w:w="65" w:type="dxa"/>
              <w:start w:w="68" w:type="dxa"/>
              <w:bottom w:w="65" w:type="dxa"/>
              <w:end w:w="68" w:type="dxa"/>
            </w:tcMar>
            <w:shd w:val="clear" w:color="auto" w:fill="E8F0F8"/>
          </w:tcPr>
          <w:p>
            <w:pPr>
              <w:spacing w:after="0" w:before="0" w:line="240" w:lineRule="auto"/>
            </w:pPr>
            <w:r>
              <w:rPr>
                <w:rFonts w:ascii="Times New Roman" w:hAnsi="Times New Roman" w:eastAsia="Times New Roman"/>
                <w:b/>
                <w:color w:val="1E364D"/>
                <w:sz w:val="15"/>
              </w:rPr>
              <w:t>Diagnostic illustration</w:t>
            </w:r>
          </w:p>
        </w:tc>
      </w:tr>
      <w:tr>
        <w:trPr>
          <w:cantSplit/>
        </w:trPr>
        <w:tc>
          <w:tcPr>
            <w:tcW w:type="dxa" w:w="1080"/>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T1 / easy</w:t>
            </w:r>
          </w:p>
        </w:tc>
        <w:tc>
          <w:tcPr>
            <w:tcW w:type="dxa" w:w="1656"/>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CASE_0654 / tracking</w:t>
            </w:r>
          </w:p>
        </w:tc>
        <w:tc>
          <w:tcPr>
            <w:tcW w:type="dxa" w:w="1800"/>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no_failure → failure</w:t>
            </w:r>
          </w:p>
        </w:tc>
        <w:tc>
          <w:tcPr>
            <w:tcW w:type="dxa" w:w="1152"/>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.997</w:t>
            </w:r>
          </w:p>
        </w:tc>
        <w:tc>
          <w:tcPr>
            <w:tcW w:type="dxa" w:w="3888"/>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Correct reversed-order comparison is overcalled as a failure.</w:t>
            </w:r>
          </w:p>
        </w:tc>
      </w:tr>
      <w:tr>
        <w:trPr>
          <w:cantSplit/>
        </w:trPr>
        <w:tc>
          <w:tcPr>
            <w:tcW w:type="dxa" w:w="1080"/>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T1 / hard</w:t>
            </w:r>
          </w:p>
        </w:tc>
        <w:tc>
          <w:tcPr>
            <w:tcW w:type="dxa" w:w="1656"/>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CASE_0531 / source-grounded generation</w:t>
            </w:r>
          </w:p>
        </w:tc>
        <w:tc>
          <w:tcPr>
            <w:tcW w:type="dxa" w:w="1800"/>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no_failure → failure</w:t>
            </w:r>
          </w:p>
        </w:tc>
        <w:tc>
          <w:tcPr>
            <w:tcW w:type="dxa" w:w="1152"/>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.999</w:t>
            </w:r>
          </w:p>
        </w:tc>
        <w:tc>
          <w:tcPr>
            <w:tcW w:type="dxa" w:w="3888"/>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Source-faithful eligibility/return answer with verbose explanatory material is overcalled.</w:t>
            </w:r>
          </w:p>
        </w:tc>
      </w:tr>
      <w:tr>
        <w:trPr>
          <w:cantSplit/>
        </w:trPr>
        <w:tc>
          <w:tcPr>
            <w:tcW w:type="dxa" w:w="1080"/>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T2 / easy</w:t>
            </w:r>
          </w:p>
        </w:tc>
        <w:tc>
          <w:tcPr>
            <w:tcW w:type="dxa" w:w="1656"/>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CASE_0154 / QA</w:t>
            </w:r>
          </w:p>
        </w:tc>
        <w:tc>
          <w:tcPr>
            <w:tcW w:type="dxa" w:w="1800"/>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grounding-involved → semantic_only</w:t>
            </w:r>
          </w:p>
        </w:tc>
        <w:tc>
          <w:tcPr>
            <w:tcW w:type="dxa" w:w="1152"/>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1.000</w:t>
            </w:r>
          </w:p>
        </w:tc>
        <w:tc>
          <w:tcPr>
            <w:tcW w:type="dxa" w:w="3888"/>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Incorrect all-days answer plus repeated fabricated blocks: grounding involvement is missed.</w:t>
            </w:r>
          </w:p>
        </w:tc>
      </w:tr>
      <w:tr>
        <w:trPr>
          <w:cantSplit/>
        </w:trPr>
        <w:tc>
          <w:tcPr>
            <w:tcW w:type="dxa" w:w="1080"/>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T2 / hard</w:t>
            </w:r>
          </w:p>
        </w:tc>
        <w:tc>
          <w:tcPr>
            <w:tcW w:type="dxa" w:w="1656"/>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CASE_0686 / tracking</w:t>
            </w:r>
          </w:p>
        </w:tc>
        <w:tc>
          <w:tcPr>
            <w:tcW w:type="dxa" w:w="1800"/>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grounding-involved → semantic_only</w:t>
            </w:r>
          </w:p>
        </w:tc>
        <w:tc>
          <w:tcPr>
            <w:tcW w:type="dxa" w:w="1152"/>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1.000</w:t>
            </w:r>
          </w:p>
        </w:tc>
        <w:tc>
          <w:tcPr>
            <w:tcW w:type="dxa" w:w="3888"/>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Repetitive global collapse also contradicts Sample B treatment; grounding involvement is missed.</w:t>
            </w:r>
          </w:p>
        </w:tc>
      </w:tr>
      <w:tr>
        <w:trPr>
          <w:cantSplit/>
        </w:trPr>
        <w:tc>
          <w:tcPr>
            <w:tcW w:type="dxa" w:w="1080"/>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T3 / easy</w:t>
            </w:r>
          </w:p>
        </w:tc>
        <w:tc>
          <w:tcPr>
            <w:tcW w:type="dxa" w:w="1656"/>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CASE_0706 / tracking</w:t>
            </w:r>
          </w:p>
        </w:tc>
        <w:tc>
          <w:tcPr>
            <w:tcW w:type="dxa" w:w="1800"/>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OVR → Core SCF</w:t>
            </w:r>
          </w:p>
        </w:tc>
        <w:tc>
          <w:tcPr>
            <w:tcW w:type="dxa" w:w="1152"/>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.991</w:t>
            </w:r>
          </w:p>
        </w:tc>
        <w:tc>
          <w:tcPr>
            <w:tcW w:type="dxa" w:w="3888"/>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Wrong ordering plus unrelated SQL continuation is assigned to the core family rather than OVR.</w:t>
            </w:r>
          </w:p>
        </w:tc>
      </w:tr>
      <w:tr>
        <w:trPr>
          <w:cantSplit/>
        </w:trPr>
        <w:tc>
          <w:tcPr>
            <w:tcW w:type="dxa" w:w="1080"/>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T3 / hard</w:t>
            </w:r>
          </w:p>
        </w:tc>
        <w:tc>
          <w:tcPr>
            <w:tcW w:type="dxa" w:w="1656"/>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CASE_0297 / explanation</w:t>
            </w:r>
          </w:p>
        </w:tc>
        <w:tc>
          <w:tcPr>
            <w:tcW w:type="dxa" w:w="1800"/>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OVR → Core SCF</w:t>
            </w:r>
          </w:p>
        </w:tc>
        <w:tc>
          <w:tcPr>
            <w:tcW w:type="dxa" w:w="1152"/>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.998</w:t>
            </w:r>
          </w:p>
        </w:tc>
        <w:tc>
          <w:tcPr>
            <w:tcW w:type="dxa" w:w="3888"/>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Explanation contradicts its own preserved-topic premise; family boundary remains difficult.</w:t>
            </w:r>
          </w:p>
        </w:tc>
      </w:tr>
      <w:tr>
        <w:trPr>
          <w:cantSplit/>
        </w:trPr>
        <w:tc>
          <w:tcPr>
            <w:tcW w:type="dxa" w:w="1080"/>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T4 / easy</w:t>
            </w:r>
          </w:p>
        </w:tc>
        <w:tc>
          <w:tcPr>
            <w:tcW w:type="dxa" w:w="1656"/>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CASE_0713 / tracking</w:t>
            </w:r>
          </w:p>
        </w:tc>
        <w:tc>
          <w:tcPr>
            <w:tcW w:type="dxa" w:w="1800"/>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severity 2 → 3</w:t>
            </w:r>
          </w:p>
        </w:tc>
        <w:tc>
          <w:tcPr>
            <w:tcW w:type="dxa" w:w="1152"/>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.999</w:t>
            </w:r>
          </w:p>
        </w:tc>
        <w:tc>
          <w:tcPr>
            <w:tcW w:type="dxa" w:w="3888"/>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Core task remains unanswered but the gold functional-impact judgment is moderate, not severe.</w:t>
            </w:r>
          </w:p>
        </w:tc>
      </w:tr>
      <w:tr>
        <w:trPr>
          <w:cantSplit/>
        </w:trPr>
        <w:tc>
          <w:tcPr>
            <w:tcW w:type="dxa" w:w="1080"/>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T4 / hard</w:t>
            </w:r>
          </w:p>
        </w:tc>
        <w:tc>
          <w:tcPr>
            <w:tcW w:type="dxa" w:w="1656"/>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CASE_0075 / summarisation</w:t>
            </w:r>
          </w:p>
        </w:tc>
        <w:tc>
          <w:tcPr>
            <w:tcW w:type="dxa" w:w="1800"/>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severity 2 → 1</w:t>
            </w:r>
          </w:p>
        </w:tc>
        <w:tc>
          <w:tcPr>
            <w:tcW w:type="dxa" w:w="1152"/>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.990</w:t>
            </w:r>
          </w:p>
        </w:tc>
        <w:tc>
          <w:tcPr>
            <w:tcW w:type="dxa" w:w="3888"/>
            <w:vAlign w:val="center"/>
            <w:tcMar>
              <w:top w:w="65" w:type="dxa"/>
              <w:start w:w="68" w:type="dxa"/>
              <w:bottom w:w="65" w:type="dxa"/>
              <w:end w:w="68" w:type="dxa"/>
            </w:tcMar>
          </w:tcPr>
          <w:p>
            <w:pPr>
              <w:spacing w:after="0" w:before="0" w:line="240" w:lineRule="auto"/>
            </w:pPr>
            <w:r>
              <w:rPr>
                <w:rFonts w:ascii="Times New Roman" w:hAnsi="Times New Roman" w:eastAsia="Times New Roman"/>
                <w:sz w:val="15"/>
              </w:rPr>
              <w:t>One required summary component is omitted; gold treats the omission as moderate rather than minor.</w:t>
            </w:r>
          </w:p>
        </w:tc>
      </w:tr>
    </w:tbl>
    <w:p>
      <w:pPr>
        <w:widowControl/>
      </w:pPr>
      <w:r>
        <w:rPr>
          <w:rFonts w:ascii="Times New Roman" w:hAnsi="Times New Roman" w:eastAsia="Times New Roman"/>
        </w:rPr>
        <w:t>Selection rule. Within each target, errors were stratified by the frozen target-specific Human_Easy indicator. The case with the largest maximum M3 predicted probability was selected within each easy/hard stratum; Case_ID is the deterministic tie-breaker. This rule was applied after the reference metrics and is intended only to prevent narrative example selection. The eight cases are not a frequency sample and are not used to infer the prevalence of any error mechanism.</w:t>
      </w:r>
    </w:p>
    <w:p>
      <w:pPr/>
      <w:r>
        <w:t>Qualitative selection and anchor scope (CS10/CS13/CS15). Table S71 is drawn from the existing de-identified archived M3 errors selected deterministically by target and human-difficulty stratum, not by discourse-category representativeness. Its case-level evidential notes permit inspection of individual outputs but do not include an independently expert-labelled clause segmentation, rhetorical-structure graph or gold coreference chain. When a selected output repeats templates, echoes a source or is nonterminal, the possibility of technical degeneration or truncation must be retained as a competing explanation of its apparent semantic error. No additional unseen output is fabricated for this clarification.</w:t>
      </w:r>
    </w:p>
    <w:p>
      <w:pPr>
        <w:pStyle w:val="3"/>
        <w:keepNext/>
        <w:keepLines/>
      </w:pPr>
      <w:r>
        <w:rPr>
          <w:color w:val="000000"/>
        </w:rPr>
        <w:t>S9.12 Computational reporting boundary and reproducibility assets</w:t>
      </w:r>
    </w:p>
    <w:p>
      <w:pPr>
        <w:widowControl/>
      </w:pPr>
      <w:r>
        <w:t>The computational results support within-corpus recoverability and threat-specific internal robustness only. Three-seed reruns address limited stochastic variability; LOTO addresses transfer among six observed tasks; task-stratified bootstrapping reweights those task strata; prompt×generator blocking probes sensitivity to removing both prompt and generator overlap; and size-matched controls address total training-row count without equating label or generator composition. FP16 judge outputs provide additional implementations of a fixed-label assessment protocol, not a controlled evaluation of model family, architectural design, or numerical precision. Per-class recall and category-use distributions are essential complements to pooled macro-F1.</w:t>
      </w:r>
      <w:r/>
    </w:p>
    <w:p>
      <w:pPr/>
      <w:r>
        <w:t>Specific inferential constraints (CS11–CS14). The model comparison concerns one frozen distribution of six tasks and generators, with source contexts offered only where the original task supplied them. C reduces to B for two source-free task types; apparent benefit from context therefore cannot be identified independently of task. The primary mechanism is a single response-level adjudicated code, not a localisation target. The post-study S13 illustrations were not administered to A1–A3 and cannot strengthen the original inter-rater agreement or establish objective category validity.</w:t>
      </w:r>
    </w:p>
    <w:p>
      <w:pPr>
        <w:widowControl/>
      </w:pPr>
      <w:r>
        <w:t>The primary M3 seed is 20260908 and the reportable implementation is the versioned Colab v3 selection→fresh-refit path. An older standalone pre-refit script is explicitly non-executed and contributes no result. M3 source effects are descriptive because B/C are separately trained; the qualitative error audit is illustrative rather than prevalence estimation; and archived M4 conclusions apply to the 4-bit NF4 Qwen3-8B forced-choice configuration; Section S9.13 separately reports the new unquantised FP16 Qwen and Mistral Condition-C runs. Excluding the 29 targeted re-review cases changes macro-F1 by at most .012 for M3 and .009 for M4 without retraining or relabelling, leaving the reference pattern unchanged.</w:t>
      </w:r>
    </w:p>
    <w:p>
      <w:pPr>
        <w:spacing w:after="100"/>
      </w:pPr>
      <w:r>
        <w:t>Post-hoc family-wise caution (S03). Exactly 12 of the 20 nominal paired Δmacro-F1 percentile intervals exclude zero. Because these 20 evaluations were performed after inspecting earlier results and share cases, labels and judge calls, interval exclusion is descriptive rather than evidence of 12 simultaneous or family-wise significant effects. No p-value family correction was applied to these intervals; a separate 60-test Holm family concerns only the logistic GEE association coefficients.</w:t>
      </w:r>
      <w:r>
        <w:t xml:space="preserve"> All 20 Δmacro-F1 intervals are individual nominal descriptive 95% intervals; 12 exclude zero but none is adjusted across the 20 overlapping post-hoc contrasts.</w:t>
      </w:r>
    </w:p>
    <w:p>
      <w:pPr>
        <w:pStyle w:val="3"/>
        <w:keepNext/>
        <w:keepLines/>
      </w:pPr>
      <w:r>
        <w:t>S9.12.1 Completed E1/E2 sensitivity audit: design and paired analysis</w:t>
      </w:r>
    </w:p>
    <w:p>
      <w:r>
        <w:t>Protocol provenance and completed T1 forensic reconstruction (15 October 2026). E1/rot0 is the case-matched FP16 control for E1 answer-code and E2 option-order perturbations, not the earlier Table 18 reference invocation. Archived Case_ID-matched T2–T4 inputs and decoded predictions agree, whereas all 720 T1 input hashes differed per judge, with four Qwen and nine Mistral decoded decisions changed. A subsequent historical reconstruction achieved 2,880/2,880 exact archived input-SHA-256 matches and full token-count matches (two protocols × two judges × 720 cases). The original case payload is equal for all 720 cases; the only identified pre-template user-prompt difference is a newline between the last two T1 rubric instructions in E1/rot0. This suffices to reconstruct every recorded T1 cross-protocol hash discrepancy but does not prove a causal account of changes in decoded predictions. NF4 M4 and later FP16 judges remain separately specified evaluation protocols.</w:t>
      </w:r>
    </w:p>
    <w:p>
      <w:pPr/>
      <w:r>
        <w:t>Independent input-provenance audit closure (15 October 2026). The original hash mismatch itself did not identify a textual edit. Instead, a direct comparison of the recovered source-defined prompts located a single newline: FP16 Reference ends its T1 rubric with “Do not classify the subtype. Choose only A or B.”; E1/rot0 uses the same sentences on separate lines. Revision-pinned tokenizer/chat-template reconstructions of both protocols matched the complete archived 720-case SHA-256 and token-count records for Qwen and Mistral (2,880/2,880 hashes and 2,880/2,880 token counts), resolving the source-defined prompt difference without reversing hashes. The earlier 720/720 T1 mismatches per judge are thus no longer an unexplained input-provenance discrepancy. The reference is still NOT the paired E1/E2 baseline; matched reconstruction does not amount to fresh weight-loaded inference, and the association between formatting and prediction changes is not causally identified.</w:t>
      </w:r>
    </w:p>
    <w:p>
      <w:pPr/>
      <w:r>
        <w:t>T1 forensic final decision and limits (15 October 2026). Qwen historical FP16 Reference macro-F1 = 0.7679227038 and E1/rot0 = 0.7707529147, with 4/720 changed decoded labels. Mistral reference = 0.4440087005 and E1/rot0 = 0.4276082638, with 9/720 changed labels. Each judge has 720/720 cross-protocol differing input hashes. Qwen has 0/720 cross-protocol token-count differences; Mistral E1 inputs contain two additional tokens for each of 720 cases. Exact reconstruction of the archived FP16 and E1 rendered prompt hashes and token counts succeeded for every case in each protocol and judge (2,880 input-hash and 2,880 token-count matches). The single newline in the T1 E1 rubric is sufficient to account for the hash divergences. The unchanged case payload was confirmed for all 720 cases. No controlled inference experiment isolating this edit as the cause of changed model predictions is claimed; the separately standardised T1 run is not a historical replay.</w:t>
      </w:r>
    </w:p>
    <w:p>
      <w:pPr/>
      <w:r>
        <w:t>Supplementary interpretive safeguard. The reconstructed inputs form 720 cases × 2 judge implementations × 2 historically distinct protocols, not 2,880 independent trials. FP16–E1 input-hash disagreement (720/720 in each judge) and within-case decision disagreement (4/720 Qwen, 9/720 Mistral) must not be conflated. The observed agreement is 716/720 (99.44%) and 711/720 (98.75%), respectively; these are descriptive proportions without a causal sampling interpretation. Identical input-token counts in Qwen do not imply identical token sequences; Mistral +2 +2 input tokens per case do not quantify semantic difference. A cryptographic hash mismatch is a byte-identity indicator, not a distance measure. Historical execution details were not experimentally blocked to isolate a newline effect on model predictions.</w:t>
      </w:r>
    </w:p>
    <w:p>
      <w:pPr>
        <w:widowControl/>
      </w:pPr>
      <w:r>
        <w:t>The E1 and E2 follow-up analyses were proposed in response to critical scientific review of a draft manuscript and then implemented by the study team as post-hoc robustness audits. A dated planning comment in the historical execution notebook referred to variants as “pre-registered” and said a GPU session was not yet executed at notebook creation; these are pre-run planning notes, not evidence of preregistration or permanent nonexecution. Original source is retained and a separate versioned reproducibility-patch notebook pins the executed model revision. All case-level decisions, changes, confidence intervals and comparison tables were obtained by executing the recorded analysis scripts against archived predictions; no numerical result was obtained from a conversational AI answer. The standalone server audit contains 28 CSV prediction runs: E1 code_rot0/code_rot1 for T1–T3 and code_rot0/code_rot1/code_rot2 for T4; E2 order_rot1 for T1–T3 and order_rot1/order_rot2 for T4, separately for Mistral-7B-Instruct-v0.3 and Qwen3-8B FP16. The same eligible Condition-C cases and frozen FINAL GOLD labels were retained within target; E1 changed code-to-class assignment and E2 changed displayed option order while preserving code-to-class binding. E1 code_rot0 is the paired reference used for both experiments. These analyses are post-hoc protocol-sensitivity audits, not model/architecture comparisons.</w:t>
      </w:r>
    </w:p>
    <w:p>
      <w:pPr/>
      <w:r>
        <w:t>Constrained scoring validation and missing evidence. The execution specification asserts tokenizer-specific one-token encodings of allowed codes (with add_special_tokens=False) and reads the last-position logits after the chat template. Archived per-case score dictionaries, input_token_count, input_truncated, predicted code and input_sha256 permit checking coverage and agreement of the saved code with the stored score maximum. They do NOT alone independently certify correct causal placement of the answer token, every model-specific special-token boundary, or identical serialized prompt bytes under reruns. Such assertions require a tokenizer revision-pinned prompt-token trace on representative T1–T4 cases for both judges, plus recorded chat-template outputs. No such independent re-execution is claimed in this manuscript.</w:t>
      </w:r>
    </w:p>
    <w:p>
      <w:pPr>
        <w:widowControl/>
      </w:pPr>
      <w:r>
        <w:t>Paired validation required exactly matching unique Case_ID records, Prompt_ID membership, and gold labels between variants, with every status equal to ok. For every comparison, the endpoint is proportion of changed decoded class labels. Secondary endpoints are target-specific macro-F1 delta and T4 quadratic-weighted kappa. Updated 95% percentile intervals for both change proportions and macro-F1 differences use 3,000 paired Prompt_ID-cluster bootstrap resamples, seed 20261009, from fixed archived predictions. The multiple perturbation comparisons were selected post hoc; intervals are descriptive conditional on the archived predictions and do not provide family-wise confirmatory inference.</w:t>
      </w:r>
    </w:p>
    <w:p>
      <w:pPr/>
      <w:r>
        <w:t>E1 versus E2 interpretation guardrail. E1 rotates the assignment between semantic categories and answer-code symbols while retaining canonical class display order; E2 retains canonical class-code mapping and rotates the order of the visible option lines. This is a deterministic, restricted intervention family: T1–T3 have two class positions and one nonidentity rotation, while T4 tests two nonidentity cyclic rotations rather than all five nonidentity permutations. Changes in decoded class labels are not synonymous with errors or degraded F1: report changed / correct-to-incorrect / incorrect-to-correct / incorrect-to-other-incorrect directions and paired Δmacro-F1 whenever source records permit. The 20 CI summaries do not control family-wise error, and the 60 exploratory Holm-adjusted GEE coefficients form a separate analysis family, not a correction of the E1/E2 intervals.</w:t>
      </w:r>
    </w:p>
    <w:p>
      <w:pPr>
        <w:pStyle w:val="16"/>
        <w:keepNext/>
        <w:keepLines/>
      </w:pPr>
      <w:r>
        <w:t>Table S73. Paired case-level sensitivity and macro-F1 changes across recorded rotations (3,000 paired Prompt_ID-cluster bootstrap resamples).</w:t>
      </w:r>
    </w:p>
    <w:tbl>
      <w:tblPr>
        <w:tblStyle w:val="35"/>
        <w:tblW w:type="auto" w:w="0"/>
        <w:jc w:val="center"/>
        <w:tblLayout w:type="autofit"/>
        <w:tblLook w:firstColumn="1" w:firstRow="1" w:lastColumn="0" w:lastRow="0" w:noHBand="0" w:noVBand="1" w:val="04A0"/>
        <w:tblBorders>
          <w:top w:val="single" w:sz="4" w:color="C7D4E2"/>
          <w:bottom w:val="single" w:sz="4" w:color="C7D4E2"/>
          <w:left w:val="single" w:sz="4" w:color="C7D4E2"/>
          <w:right w:val="single" w:sz="4" w:color="C7D4E2"/>
          <w:insideH w:val="single" w:sz="4" w:color="C7D4E2"/>
          <w:insideV w:val="single" w:sz="3" w:color="C7D4E2"/>
        </w:tblBorders>
      </w:tblPr>
      <w:tblGrid>
        <w:gridCol w:w="1229"/>
        <w:gridCol w:w="1229"/>
        <w:gridCol w:w="1229"/>
        <w:gridCol w:w="1229"/>
        <w:gridCol w:w="1229"/>
        <w:gridCol w:w="1229"/>
        <w:gridCol w:w="1229"/>
        <w:gridCol w:w="1229"/>
      </w:tblGrid>
      <w:tr>
        <w:trPr>
          <w:cantSplit/>
          <w:tblHeader w:val="true"/>
          <w:tblHeader w:val="true"/>
        </w:trPr>
        <w:tc>
          <w:tcPr>
            <w:tcW w:type="dxa" w:w="1229"/>
            <w:vAlign w:val="center"/>
            <w:tcMar>
              <w:top w:w="65" w:type="dxa"/>
              <w:start w:w="68" w:type="dxa"/>
              <w:bottom w:w="65" w:type="dxa"/>
              <w:end w:w="68" w:type="dxa"/>
            </w:tcMar>
            <w:shd w:val="clear" w:color="auto" w:fill="E8F0F8"/>
          </w:tcPr>
          <w:p>
            <w:pPr>
              <w:spacing w:before="0" w:after="0"/>
            </w:pPr>
            <w:r>
              <w:rPr>
                <w:rFonts w:ascii="Times New Roman" w:hAnsi="Times New Roman"/>
                <w:b/>
                <w:color w:val="1E364D"/>
                <w:sz w:val="14"/>
              </w:rPr>
              <w:t>Judge</w:t>
            </w:r>
          </w:p>
        </w:tc>
        <w:tc>
          <w:tcPr>
            <w:tcW w:type="dxa" w:w="1229"/>
            <w:vAlign w:val="center"/>
            <w:tcMar>
              <w:top w:w="65" w:type="dxa"/>
              <w:start w:w="68" w:type="dxa"/>
              <w:bottom w:w="65" w:type="dxa"/>
              <w:end w:w="68" w:type="dxa"/>
            </w:tcMar>
            <w:shd w:val="clear" w:color="auto" w:fill="E8F0F8"/>
          </w:tcPr>
          <w:p>
            <w:pPr>
              <w:spacing w:before="0" w:after="0"/>
            </w:pPr>
            <w:r>
              <w:rPr>
                <w:rFonts w:ascii="Times New Roman" w:hAnsi="Times New Roman"/>
                <w:b/>
                <w:color w:val="1E364D"/>
                <w:sz w:val="14"/>
              </w:rPr>
              <w:t>Target</w:t>
            </w:r>
          </w:p>
        </w:tc>
        <w:tc>
          <w:tcPr>
            <w:tcW w:type="dxa" w:w="1229"/>
            <w:vAlign w:val="center"/>
            <w:tcMar>
              <w:top w:w="65" w:type="dxa"/>
              <w:start w:w="68" w:type="dxa"/>
              <w:bottom w:w="65" w:type="dxa"/>
              <w:end w:w="68" w:type="dxa"/>
            </w:tcMar>
            <w:shd w:val="clear" w:color="auto" w:fill="E8F0F8"/>
          </w:tcPr>
          <w:p>
            <w:pPr>
              <w:spacing w:before="0" w:after="0"/>
            </w:pPr>
            <w:r>
              <w:rPr>
                <w:rFonts w:ascii="Times New Roman" w:hAnsi="Times New Roman"/>
                <w:b/>
                <w:color w:val="1E364D"/>
                <w:sz w:val="14"/>
              </w:rPr>
              <w:t>Audit</w:t>
            </w:r>
          </w:p>
        </w:tc>
        <w:tc>
          <w:tcPr>
            <w:tcW w:type="dxa" w:w="1229"/>
            <w:vAlign w:val="center"/>
            <w:tcMar>
              <w:top w:w="65" w:type="dxa"/>
              <w:start w:w="68" w:type="dxa"/>
              <w:bottom w:w="65" w:type="dxa"/>
              <w:end w:w="68" w:type="dxa"/>
            </w:tcMar>
            <w:shd w:val="clear" w:color="auto" w:fill="E8F0F8"/>
          </w:tcPr>
          <w:p>
            <w:pPr>
              <w:spacing w:before="0" w:after="0"/>
            </w:pPr>
            <w:r>
              <w:rPr>
                <w:rFonts w:ascii="Times New Roman" w:hAnsi="Times New Roman"/>
                <w:b/>
                <w:color w:val="1E364D"/>
                <w:sz w:val="14"/>
              </w:rPr>
              <w:t>Variant</w:t>
            </w:r>
          </w:p>
        </w:tc>
        <w:tc>
          <w:tcPr>
            <w:tcW w:type="dxa" w:w="1229"/>
            <w:vAlign w:val="center"/>
            <w:tcMar>
              <w:top w:w="65" w:type="dxa"/>
              <w:start w:w="68" w:type="dxa"/>
              <w:bottom w:w="65" w:type="dxa"/>
              <w:end w:w="68" w:type="dxa"/>
            </w:tcMar>
            <w:shd w:val="clear" w:color="auto" w:fill="E8F0F8"/>
          </w:tcPr>
          <w:p>
            <w:pPr>
              <w:spacing w:before="0" w:after="0"/>
            </w:pPr>
            <w:r>
              <w:rPr>
                <w:rFonts w:ascii="Times New Roman" w:hAnsi="Times New Roman"/>
                <w:b/>
                <w:color w:val="1E364D"/>
                <w:sz w:val="14"/>
              </w:rPr>
              <w:t>Changed n/N</w:t>
            </w:r>
          </w:p>
        </w:tc>
        <w:tc>
          <w:tcPr>
            <w:tcW w:type="dxa" w:w="1229"/>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4"/>
              </w:rPr>
              <w:t>Changed % [95% CI; 3k]</w:t>
            </w:r>
          </w:p>
        </w:tc>
        <w:tc>
          <w:tcPr>
            <w:tcW w:type="dxa" w:w="1229"/>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4"/>
              </w:rPr>
              <w:t>Δ macro-F1 [95% CI; 3k]</w:t>
            </w:r>
          </w:p>
        </w:tc>
        <w:tc>
          <w:tcPr>
            <w:tcW w:type="dxa" w:w="1229"/>
            <w:vAlign w:val="center"/>
            <w:tcMar>
              <w:top w:w="65" w:type="dxa"/>
              <w:start w:w="68" w:type="dxa"/>
              <w:bottom w:w="65" w:type="dxa"/>
              <w:end w:w="68" w:type="dxa"/>
            </w:tcMar>
            <w:shd w:val="clear" w:color="auto" w:fill="E8F0F8"/>
          </w:tcPr>
          <w:p>
            <w:pPr>
              <w:spacing w:before="0" w:after="0"/>
            </w:pPr>
            <w:r>
              <w:rPr>
                <w:rFonts w:ascii="Times New Roman" w:hAnsi="Times New Roman"/>
                <w:b/>
                <w:color w:val="1E364D"/>
                <w:sz w:val="14"/>
              </w:rPr>
              <w:t>T4 QWK base→variant</w:t>
            </w:r>
          </w:p>
        </w:tc>
      </w:tr>
      <w:tr>
        <w:trPr>
          <w:cantSplit/>
        </w:trPr>
        <w:tc>
          <w:tcPr>
            <w:tcW w:type="dxa" w:w="1229"/>
            <w:vAlign w:val="center"/>
            <w:tcMar>
              <w:top w:w="65" w:type="dxa"/>
              <w:start w:w="68" w:type="dxa"/>
              <w:bottom w:w="65" w:type="dxa"/>
              <w:end w:w="68" w:type="dxa"/>
            </w:tcMar>
          </w:tcPr>
          <w:p>
            <w:pPr>
              <w:spacing w:before="0" w:after="0"/>
            </w:pPr>
            <w:r>
              <w:rPr>
                <w:rFonts w:ascii="Times New Roman" w:hAnsi="Times New Roman"/>
                <w:sz w:val="14"/>
              </w:rPr>
              <w:t>mistral</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T1</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E1/CODE</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code_rot1</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469/720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65.1 [60.8, 69.3]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+0.196 [+0.139, +0.253]</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w:t>
            </w:r>
          </w:p>
        </w:tc>
      </w:tr>
      <w:tr>
        <w:trPr>
          <w:cantSplit/>
        </w:trPr>
        <w:tc>
          <w:tcPr>
            <w:tcW w:type="dxa" w:w="1229"/>
            <w:vAlign w:val="center"/>
            <w:tcMar>
              <w:top w:w="65" w:type="dxa"/>
              <w:start w:w="68" w:type="dxa"/>
              <w:bottom w:w="65" w:type="dxa"/>
              <w:end w:w="68" w:type="dxa"/>
            </w:tcMar>
          </w:tcPr>
          <w:p>
            <w:pPr>
              <w:spacing w:before="0" w:after="0"/>
            </w:pPr>
            <w:r>
              <w:rPr>
                <w:rFonts w:ascii="Times New Roman" w:hAnsi="Times New Roman"/>
                <w:sz w:val="14"/>
              </w:rPr>
              <w:t>mistral</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T1</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E2/ORDER</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order_rot1</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48/720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6.7 [5.0, 8.2]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+0.075 [+0.056, +0.095]</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w:t>
            </w:r>
          </w:p>
        </w:tc>
      </w:tr>
      <w:tr>
        <w:trPr>
          <w:cantSplit/>
        </w:trPr>
        <w:tc>
          <w:tcPr>
            <w:tcW w:type="dxa" w:w="1229"/>
            <w:vAlign w:val="center"/>
            <w:tcMar>
              <w:top w:w="65" w:type="dxa"/>
              <w:start w:w="68" w:type="dxa"/>
              <w:bottom w:w="65" w:type="dxa"/>
              <w:end w:w="68" w:type="dxa"/>
            </w:tcMar>
          </w:tcPr>
          <w:p>
            <w:pPr>
              <w:spacing w:before="0" w:after="0"/>
            </w:pPr>
            <w:r>
              <w:rPr>
                <w:rFonts w:ascii="Times New Roman" w:hAnsi="Times New Roman"/>
                <w:sz w:val="14"/>
              </w:rPr>
              <w:t>mistral</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T2</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E1/CODE</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code_rot1</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65/474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13.7 [10.5, 16.9]</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+0.172 [+0.127, +0.216]</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w:t>
            </w:r>
          </w:p>
        </w:tc>
      </w:tr>
      <w:tr>
        <w:trPr>
          <w:cantSplit/>
        </w:trPr>
        <w:tc>
          <w:tcPr>
            <w:tcW w:type="dxa" w:w="1229"/>
            <w:vAlign w:val="center"/>
            <w:tcMar>
              <w:top w:w="65" w:type="dxa"/>
              <w:start w:w="68" w:type="dxa"/>
              <w:bottom w:w="65" w:type="dxa"/>
              <w:end w:w="68" w:type="dxa"/>
            </w:tcMar>
          </w:tcPr>
          <w:p>
            <w:pPr>
              <w:spacing w:before="0" w:after="0"/>
            </w:pPr>
            <w:r>
              <w:rPr>
                <w:rFonts w:ascii="Times New Roman" w:hAnsi="Times New Roman"/>
                <w:sz w:val="14"/>
              </w:rPr>
              <w:t>mistral</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T2</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E2/ORDER</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order_rot1</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37/474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7.8 [5.6, 10.2]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+0.096 [+0.059, +0.134]</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w:t>
            </w:r>
          </w:p>
        </w:tc>
      </w:tr>
      <w:tr>
        <w:trPr>
          <w:cantSplit/>
        </w:trPr>
        <w:tc>
          <w:tcPr>
            <w:tcW w:type="dxa" w:w="1229"/>
            <w:vAlign w:val="center"/>
            <w:tcMar>
              <w:top w:w="65" w:type="dxa"/>
              <w:start w:w="68" w:type="dxa"/>
              <w:bottom w:w="65" w:type="dxa"/>
              <w:end w:w="68" w:type="dxa"/>
            </w:tcMar>
          </w:tcPr>
          <w:p>
            <w:pPr>
              <w:spacing w:before="0" w:after="0"/>
            </w:pPr>
            <w:r>
              <w:rPr>
                <w:rFonts w:ascii="Times New Roman" w:hAnsi="Times New Roman"/>
                <w:sz w:val="14"/>
              </w:rPr>
              <w:t>mistral</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T3</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E1/CODE</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code_rot1</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391/460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85.0 [80.2, 89.4]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-0.255 [-0.323, -0.191]</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w:t>
            </w:r>
          </w:p>
        </w:tc>
      </w:tr>
      <w:tr>
        <w:trPr>
          <w:cantSplit/>
        </w:trPr>
        <w:tc>
          <w:tcPr>
            <w:tcW w:type="dxa" w:w="1229"/>
            <w:vAlign w:val="center"/>
            <w:tcMar>
              <w:top w:w="65" w:type="dxa"/>
              <w:start w:w="68" w:type="dxa"/>
              <w:bottom w:w="65" w:type="dxa"/>
              <w:end w:w="68" w:type="dxa"/>
            </w:tcMar>
          </w:tcPr>
          <w:p>
            <w:pPr>
              <w:spacing w:before="0" w:after="0"/>
            </w:pPr>
            <w:r>
              <w:rPr>
                <w:rFonts w:ascii="Times New Roman" w:hAnsi="Times New Roman"/>
                <w:sz w:val="14"/>
              </w:rPr>
              <w:t>mistral</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T3</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E2/ORDER</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order_rot1</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61/460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13.3 [9.2, 17.5]</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-0.038 [-0.088, +0.007]</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w:t>
            </w:r>
          </w:p>
        </w:tc>
      </w:tr>
      <w:tr>
        <w:trPr>
          <w:cantSplit/>
        </w:trPr>
        <w:tc>
          <w:tcPr>
            <w:tcW w:type="dxa" w:w="1229"/>
            <w:vAlign w:val="center"/>
            <w:tcMar>
              <w:top w:w="65" w:type="dxa"/>
              <w:start w:w="68" w:type="dxa"/>
              <w:bottom w:w="65" w:type="dxa"/>
              <w:end w:w="68" w:type="dxa"/>
            </w:tcMar>
          </w:tcPr>
          <w:p>
            <w:pPr>
              <w:spacing w:before="0" w:after="0"/>
            </w:pPr>
            <w:r>
              <w:rPr>
                <w:rFonts w:ascii="Times New Roman" w:hAnsi="Times New Roman"/>
                <w:sz w:val="14"/>
              </w:rPr>
              <w:t>mistral</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T4</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E1/CODE</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code_rot1</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149/474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31.4 [27.1, 36.1]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-0.119 [-0.166, -0.074]</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0.206 → 0.164</w:t>
            </w:r>
          </w:p>
        </w:tc>
      </w:tr>
      <w:tr>
        <w:trPr>
          <w:cantSplit/>
        </w:trPr>
        <w:tc>
          <w:tcPr>
            <w:tcW w:type="dxa" w:w="1229"/>
            <w:vAlign w:val="center"/>
            <w:tcMar>
              <w:top w:w="65" w:type="dxa"/>
              <w:start w:w="68" w:type="dxa"/>
              <w:bottom w:w="65" w:type="dxa"/>
              <w:end w:w="68" w:type="dxa"/>
            </w:tcMar>
          </w:tcPr>
          <w:p>
            <w:pPr>
              <w:spacing w:before="0" w:after="0"/>
            </w:pPr>
            <w:r>
              <w:rPr>
                <w:rFonts w:ascii="Times New Roman" w:hAnsi="Times New Roman"/>
                <w:sz w:val="14"/>
              </w:rPr>
              <w:t>mistral</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T4</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E1/CODE</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code_rot2</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131/474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27.6 [23.6, 31.9]</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-0.109 [-0.152, -0.069]</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0.206 → 0.189</w:t>
            </w:r>
          </w:p>
        </w:tc>
      </w:tr>
      <w:tr>
        <w:trPr>
          <w:cantSplit/>
        </w:trPr>
        <w:tc>
          <w:tcPr>
            <w:tcW w:type="dxa" w:w="1229"/>
            <w:vAlign w:val="center"/>
            <w:tcMar>
              <w:top w:w="65" w:type="dxa"/>
              <w:start w:w="68" w:type="dxa"/>
              <w:bottom w:w="65" w:type="dxa"/>
              <w:end w:w="68" w:type="dxa"/>
            </w:tcMar>
          </w:tcPr>
          <w:p>
            <w:pPr>
              <w:spacing w:before="0" w:after="0"/>
            </w:pPr>
            <w:r>
              <w:rPr>
                <w:rFonts w:ascii="Times New Roman" w:hAnsi="Times New Roman"/>
                <w:sz w:val="14"/>
              </w:rPr>
              <w:t>mistral</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T4</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E2/ORDER</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order_rot1</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240/474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50.6 [45.9, 55.6]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-0.063 [-0.114, -0.012]</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0.206 → 0.185</w:t>
            </w:r>
          </w:p>
        </w:tc>
      </w:tr>
      <w:tr>
        <w:trPr>
          <w:cantSplit/>
        </w:trPr>
        <w:tc>
          <w:tcPr>
            <w:tcW w:type="dxa" w:w="1229"/>
            <w:vAlign w:val="center"/>
            <w:tcMar>
              <w:top w:w="65" w:type="dxa"/>
              <w:start w:w="68" w:type="dxa"/>
              <w:bottom w:w="65" w:type="dxa"/>
              <w:end w:w="68" w:type="dxa"/>
            </w:tcMar>
          </w:tcPr>
          <w:p>
            <w:pPr>
              <w:spacing w:before="0" w:after="0"/>
            </w:pPr>
            <w:r>
              <w:rPr>
                <w:rFonts w:ascii="Times New Roman" w:hAnsi="Times New Roman"/>
                <w:sz w:val="14"/>
              </w:rPr>
              <w:t>mistral</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T4</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E2/ORDER</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order_rot2</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106/474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22.4 [18.7, 26.3]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+0.008 [-0.029, +0.048]</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0.206 → 0.189</w:t>
            </w:r>
          </w:p>
        </w:tc>
      </w:tr>
      <w:tr>
        <w:trPr>
          <w:cantSplit/>
        </w:trPr>
        <w:tc>
          <w:tcPr>
            <w:tcW w:type="dxa" w:w="1229"/>
            <w:vAlign w:val="center"/>
            <w:tcMar>
              <w:top w:w="65" w:type="dxa"/>
              <w:start w:w="68" w:type="dxa"/>
              <w:bottom w:w="65" w:type="dxa"/>
              <w:end w:w="68" w:type="dxa"/>
            </w:tcMar>
          </w:tcPr>
          <w:p>
            <w:pPr>
              <w:spacing w:before="0" w:after="0"/>
            </w:pPr>
            <w:r>
              <w:rPr>
                <w:rFonts w:ascii="Times New Roman" w:hAnsi="Times New Roman"/>
                <w:sz w:val="14"/>
              </w:rPr>
              <w:t>qwen</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T1</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E1/CODE</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code_rot1</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47/720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6.5 [4.9, 8.3]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-0.049 [-0.066, -0.031]</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w:t>
            </w:r>
          </w:p>
        </w:tc>
      </w:tr>
      <w:tr>
        <w:trPr>
          <w:cantSplit/>
        </w:trPr>
        <w:tc>
          <w:tcPr>
            <w:tcW w:type="dxa" w:w="1229"/>
            <w:vAlign w:val="center"/>
            <w:tcMar>
              <w:top w:w="65" w:type="dxa"/>
              <w:start w:w="68" w:type="dxa"/>
              <w:bottom w:w="65" w:type="dxa"/>
              <w:end w:w="68" w:type="dxa"/>
            </w:tcMar>
          </w:tcPr>
          <w:p>
            <w:pPr>
              <w:spacing w:before="0" w:after="0"/>
            </w:pPr>
            <w:r>
              <w:rPr>
                <w:rFonts w:ascii="Times New Roman" w:hAnsi="Times New Roman"/>
                <w:sz w:val="14"/>
              </w:rPr>
              <w:t>qwen</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T1</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E2/ORDER</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order_rot1</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15/720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2.1 [1.1, 3.2]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+0.014 [+0.004, +0.025]</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w:t>
            </w:r>
          </w:p>
        </w:tc>
      </w:tr>
      <w:tr>
        <w:trPr>
          <w:cantSplit/>
        </w:trPr>
        <w:tc>
          <w:tcPr>
            <w:tcW w:type="dxa" w:w="1229"/>
            <w:vAlign w:val="center"/>
            <w:tcMar>
              <w:top w:w="65" w:type="dxa"/>
              <w:start w:w="68" w:type="dxa"/>
              <w:bottom w:w="65" w:type="dxa"/>
              <w:end w:w="68" w:type="dxa"/>
            </w:tcMar>
          </w:tcPr>
          <w:p>
            <w:pPr>
              <w:spacing w:before="0" w:after="0"/>
            </w:pPr>
            <w:r>
              <w:rPr>
                <w:rFonts w:ascii="Times New Roman" w:hAnsi="Times New Roman"/>
                <w:sz w:val="14"/>
              </w:rPr>
              <w:t>qwen</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T2</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E1/CODE</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code_rot1</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131/474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27.6 [23.9, 31.6]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-0.029 [-0.077, +0.022]</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w:t>
            </w:r>
          </w:p>
        </w:tc>
      </w:tr>
      <w:tr>
        <w:trPr>
          <w:cantSplit/>
        </w:trPr>
        <w:tc>
          <w:tcPr>
            <w:tcW w:type="dxa" w:w="1229"/>
            <w:vAlign w:val="center"/>
            <w:tcMar>
              <w:top w:w="65" w:type="dxa"/>
              <w:start w:w="68" w:type="dxa"/>
              <w:bottom w:w="65" w:type="dxa"/>
              <w:end w:w="68" w:type="dxa"/>
            </w:tcMar>
          </w:tcPr>
          <w:p>
            <w:pPr>
              <w:spacing w:before="0" w:after="0"/>
            </w:pPr>
            <w:r>
              <w:rPr>
                <w:rFonts w:ascii="Times New Roman" w:hAnsi="Times New Roman"/>
                <w:sz w:val="14"/>
              </w:rPr>
              <w:t>qwen</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T2</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E2/ORDER</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order_rot1</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73/474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15.4 [12.5, 18.4]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+0.009 [-0.027, +0.045]</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w:t>
            </w:r>
          </w:p>
        </w:tc>
      </w:tr>
      <w:tr>
        <w:trPr>
          <w:cantSplit/>
        </w:trPr>
        <w:tc>
          <w:tcPr>
            <w:tcW w:type="dxa" w:w="1229"/>
            <w:vAlign w:val="center"/>
            <w:tcMar>
              <w:top w:w="65" w:type="dxa"/>
              <w:start w:w="68" w:type="dxa"/>
              <w:bottom w:w="65" w:type="dxa"/>
              <w:end w:w="68" w:type="dxa"/>
            </w:tcMar>
          </w:tcPr>
          <w:p>
            <w:pPr>
              <w:spacing w:before="0" w:after="0"/>
            </w:pPr>
            <w:r>
              <w:rPr>
                <w:rFonts w:ascii="Times New Roman" w:hAnsi="Times New Roman"/>
                <w:sz w:val="14"/>
              </w:rPr>
              <w:t>qwen</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T3</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E1/CODE</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code_rot1</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160/460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34.8 [29.8, 39.7]</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-0.050 [-0.122, +0.021]</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w:t>
            </w:r>
          </w:p>
        </w:tc>
      </w:tr>
      <w:tr>
        <w:trPr>
          <w:cantSplit/>
        </w:trPr>
        <w:tc>
          <w:tcPr>
            <w:tcW w:type="dxa" w:w="1229"/>
            <w:vAlign w:val="center"/>
            <w:tcMar>
              <w:top w:w="65" w:type="dxa"/>
              <w:start w:w="68" w:type="dxa"/>
              <w:bottom w:w="65" w:type="dxa"/>
              <w:end w:w="68" w:type="dxa"/>
            </w:tcMar>
          </w:tcPr>
          <w:p>
            <w:pPr>
              <w:spacing w:before="0" w:after="0"/>
            </w:pPr>
            <w:r>
              <w:rPr>
                <w:rFonts w:ascii="Times New Roman" w:hAnsi="Times New Roman"/>
                <w:sz w:val="14"/>
              </w:rPr>
              <w:t>qwen</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T3</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E2/ORDER</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order_rot1</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242/460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52.6 [47.8, 57.3]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-0.169 [-0.229, -0.112]</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w:t>
            </w:r>
          </w:p>
        </w:tc>
      </w:tr>
      <w:tr>
        <w:trPr>
          <w:cantSplit/>
        </w:trPr>
        <w:tc>
          <w:tcPr>
            <w:tcW w:type="dxa" w:w="1229"/>
            <w:vAlign w:val="center"/>
            <w:tcMar>
              <w:top w:w="65" w:type="dxa"/>
              <w:start w:w="68" w:type="dxa"/>
              <w:bottom w:w="65" w:type="dxa"/>
              <w:end w:w="68" w:type="dxa"/>
            </w:tcMar>
          </w:tcPr>
          <w:p>
            <w:pPr>
              <w:spacing w:before="0" w:after="0"/>
            </w:pPr>
            <w:r>
              <w:rPr>
                <w:rFonts w:ascii="Times New Roman" w:hAnsi="Times New Roman"/>
                <w:sz w:val="14"/>
              </w:rPr>
              <w:t>qwen</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T4</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E1/CODE</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code_rot1</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300/474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63.3 [58.1, 68.3]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+0.019 [-0.032, +0.073]</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0.463 → 0.243</w:t>
            </w:r>
          </w:p>
        </w:tc>
      </w:tr>
      <w:tr>
        <w:trPr>
          <w:cantSplit/>
        </w:trPr>
        <w:tc>
          <w:tcPr>
            <w:tcW w:type="dxa" w:w="1229"/>
            <w:vAlign w:val="center"/>
            <w:tcMar>
              <w:top w:w="65" w:type="dxa"/>
              <w:start w:w="68" w:type="dxa"/>
              <w:bottom w:w="65" w:type="dxa"/>
              <w:end w:w="68" w:type="dxa"/>
            </w:tcMar>
          </w:tcPr>
          <w:p>
            <w:pPr>
              <w:spacing w:before="0" w:after="0"/>
            </w:pPr>
            <w:r>
              <w:rPr>
                <w:rFonts w:ascii="Times New Roman" w:hAnsi="Times New Roman"/>
                <w:sz w:val="14"/>
              </w:rPr>
              <w:t>qwen</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T4</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E1/CODE</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code_rot2</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101/474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21.3 [17.6, 25.2]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-0.040 [-0.072, -0.008]</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0.463 → 0.300</w:t>
            </w:r>
          </w:p>
        </w:tc>
      </w:tr>
      <w:tr>
        <w:trPr>
          <w:cantSplit/>
        </w:trPr>
        <w:tc>
          <w:tcPr>
            <w:tcW w:type="dxa" w:w="1229"/>
            <w:vAlign w:val="center"/>
            <w:tcMar>
              <w:top w:w="65" w:type="dxa"/>
              <w:start w:w="68" w:type="dxa"/>
              <w:bottom w:w="65" w:type="dxa"/>
              <w:end w:w="68" w:type="dxa"/>
            </w:tcMar>
          </w:tcPr>
          <w:p>
            <w:pPr>
              <w:spacing w:before="0" w:after="0"/>
            </w:pPr>
            <w:r>
              <w:rPr>
                <w:rFonts w:ascii="Times New Roman" w:hAnsi="Times New Roman"/>
                <w:sz w:val="14"/>
              </w:rPr>
              <w:t>qwen</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T4</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E2/ORDER</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order_rot1</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63/474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13.3 [10.1, 16.9]</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-0.009 [-0.042, +0.024]</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0.463 → 0.407</w:t>
            </w:r>
          </w:p>
        </w:tc>
      </w:tr>
      <w:tr>
        <w:trPr>
          <w:cantSplit/>
        </w:trPr>
        <w:tc>
          <w:tcPr>
            <w:tcW w:type="dxa" w:w="1229"/>
            <w:vAlign w:val="center"/>
            <w:tcMar>
              <w:top w:w="65" w:type="dxa"/>
              <w:start w:w="68" w:type="dxa"/>
              <w:bottom w:w="65" w:type="dxa"/>
              <w:end w:w="68" w:type="dxa"/>
            </w:tcMar>
          </w:tcPr>
          <w:p>
            <w:pPr>
              <w:spacing w:before="0" w:after="0"/>
            </w:pPr>
            <w:r>
              <w:rPr>
                <w:rFonts w:ascii="Times New Roman" w:hAnsi="Times New Roman"/>
                <w:sz w:val="14"/>
              </w:rPr>
              <w:t>qwen</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T4</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E2/ORDER</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order_rot2</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76/474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16.0 [12.8, 19.5]</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-0.013 [-0.045, +0.019]</w:t>
            </w:r>
          </w:p>
        </w:tc>
        <w:tc>
          <w:tcPr>
            <w:tcW w:type="dxa" w:w="1229"/>
            <w:vAlign w:val="center"/>
            <w:tcMar>
              <w:top w:w="65" w:type="dxa"/>
              <w:start w:w="68" w:type="dxa"/>
              <w:bottom w:w="65" w:type="dxa"/>
              <w:end w:w="68" w:type="dxa"/>
            </w:tcMar>
          </w:tcPr>
          <w:p>
            <w:pPr>
              <w:spacing w:before="0" w:after="0"/>
            </w:pPr>
            <w:r>
              <w:rPr>
                <w:rFonts w:ascii="Times New Roman" w:hAnsi="Times New Roman"/>
                <w:sz w:val="14"/>
              </w:rPr>
              <w:t>0.463 → 0.398</w:t>
            </w:r>
          </w:p>
        </w:tc>
      </w:tr>
    </w:tbl>
    <w:p>
      <w:pPr>
        <w:widowControl/>
      </w:pPr>
      <w:r>
        <w:t>Interpretation. In several target/protocol combinations a code reassignment or option-order change altered a substantial fraction of individual judgments. This documents within-case sensitivity of the decoded predictions to the tested answer-format perturbations under a fixed human reference. It does not demonstrate that any one token prior, tokenizer, model architecture or judge lineage caused the shifts. Pairwise percentages and intervals are conditional on the saved fixed predictions, not on stochastic model reruns. Full per-case source CSV files and the paired-analysis CSV are part of the accompanying reproducibility record.</w:t>
      </w:r>
    </w:p>
    <w:p>
      <w:pPr>
        <w:spacing w:after="100"/>
      </w:pPr>
      <w:r>
        <w:t>Training-composition mechanism warning (S04). Even after matching total fitting-row count, the dual-exclusion pool differs from the matched controls in generator support and potentially class/task/difficulty mixture and inner development population. The five matched subsets reuse the same fold×generator test cases and learning seed. Therefore the reference-minus-dual and dual-minus-matched differences estimate the combined exclusion-and-composition protocol, not a separable generator-signature effect, and the five repetitions cannot be counted as independent test replicates.</w:t>
      </w:r>
    </w:p>
    <w:p>
      <w:pPr>
        <w:pStyle w:val="3"/>
        <w:keepNext/>
        <w:keepLines/>
      </w:pPr>
      <w:r>
        <w:t>S9.13 Completed post-hoc training-size controls and judge-protocol reliability audit</w:t>
      </w:r>
    </w:p>
    <w:p>
      <w:pPr>
        <w:widowControl/>
      </w:pPr>
      <w:r>
        <w:t>M4 used Qwen/Qwen3-8B revision e8bbd8252970581ea5b08b6a5b3e668adaf3161a with 4-bit NF4 inference; M01 generated outputs using Qwen/Qwen3-0.6B. The same-family audit joins each archived Condition-C M4 prediction by Case_ID to the fixed generation registry, reports all six strata, and excludes M01 without changing gold-defined target eligibility. Task-stratified Prompt_ID-cluster bootstrap intervals use 2,000 resamples (seed 20260928). This is a post-hoc descriptive sensitivity and does not causally identify self-preference.</w:t>
      </w:r>
    </w:p>
    <w:p>
      <w:pPr>
        <w:widowControl/>
      </w:pPr>
      <w:r>
        <w:t>The eligible counts and gold/prediction class distributions are also released as machine-readable CSVs. In T2–T4, the M01 eligible subsets are 39, 37, and 39 cases; raw stratum comparisons mix composition and evaluator effects. Removing M01 shifts full-corpus macro-F1 by −.014, +.008, −.006, and −.019 for T1–T4, respectively. These shifts are not a direct measure of same-family bias.</w:t>
      </w:r>
    </w:p>
    <w:p>
      <w:pPr>
        <w:spacing w:after="100"/>
      </w:pPr>
      <w:r>
        <w:t>Uncertainty and independence map for Tables S75–S76. Dual-blocked and size-matched reports contain target-specific descriptive intervals over observed Prompt_ID groups (2,000 task-stratified resamples; seed 20260928). The five subset means and sample SDs describe dependent training-subset perturbations, not five new data-generating samples, a five-run standard error, or a confirmatory multiplicity-controlled test. The matching control equalises training-row counts only; generator/class/development support can change.</w:t>
      </w:r>
      <w:r>
        <w:t xml:space="preserve"> The five subset controls share fixed held-out cases and training seed; the SD is a descriptive subset-composition summary, not an independent-replication error bar.</w:t>
      </w:r>
    </w:p>
    <w:p>
      <w:pPr>
        <w:pStyle w:val="16"/>
      </w:pPr>
      <w:r>
        <w:t>Table S74. Archived Qwen3-8B Condition-C generator-stratum and M01-exclusion diagnostics; archived NF4 protocol, not an FP16-judge table. All intervals descriptive; stratum composition is not matched.</w:t>
      </w:r>
    </w:p>
    <w:p>
      <w:pPr>
        <w:pStyle w:val="16"/>
      </w:pPr>
      <w:r>
        <w:t>Model implementation caveat. “FP16” describes the configured unquantized parameter storage and the recorded runtime—not an assertion that every matrix product, softmax or accumulation took place in precisely the same arithmetic dtype. Qwen and Mistral also use different message packaging, templates and potential tokenizer priors. Their scores should therefore be treated as two protocol-specific measurement instruments, not a controlled head-to-head architecture or model-family experiment.</w:t>
      </w:r>
    </w:p>
    <w:tbl>
      <w:tblPr>
        <w:tblStyle w:val="35"/>
        <w:tblW w:type="auto" w:w="0"/>
        <w:jc w:val="center"/>
        <w:tblLayout w:type="autofit"/>
        <w:tblLook w:firstColumn="1" w:firstRow="1" w:lastColumn="0" w:lastRow="0" w:noHBand="0" w:noVBand="1" w:val="04A0"/>
        <w:tblBorders>
          <w:top w:val="single" w:sz="4" w:color="C7D4E2"/>
          <w:bottom w:val="single" w:sz="4" w:color="C7D4E2"/>
          <w:left w:val="single" w:sz="4" w:color="C7D4E2"/>
          <w:right w:val="single" w:sz="4" w:color="C7D4E2"/>
          <w:insideH w:val="single" w:sz="4" w:color="C7D4E2"/>
          <w:insideV w:val="single" w:sz="3" w:color="C7D4E2"/>
        </w:tblBorders>
      </w:tblPr>
      <w:tblGrid>
        <w:gridCol w:w="2458"/>
        <w:gridCol w:w="2458"/>
        <w:gridCol w:w="2458"/>
        <w:gridCol w:w="2458"/>
      </w:tblGrid>
      <w:tr>
        <w:trPr>
          <w:cantSplit/>
          <w:tblHeader w:val="true"/>
          <w:tblHeader w:val="true"/>
        </w:trPr>
        <w:tc>
          <w:tcPr>
            <w:tcW w:type="dxa" w:w="2458"/>
            <w:vAlign w:val="center"/>
            <w:tcMar>
              <w:top w:w="65" w:type="dxa"/>
              <w:start w:w="68" w:type="dxa"/>
              <w:bottom w:w="65" w:type="dxa"/>
              <w:end w:w="68" w:type="dxa"/>
            </w:tcMar>
            <w:shd w:val="clear" w:color="auto" w:fill="E8F0F8"/>
          </w:tcPr>
          <w:p>
            <w:pPr>
              <w:spacing w:before="0" w:after="0"/>
            </w:pPr>
            <w:r>
              <w:rPr>
                <w:rFonts w:ascii="Times New Roman" w:hAnsi="Times New Roman"/>
                <w:b/>
                <w:color w:val="1E364D"/>
                <w:sz w:val="16"/>
              </w:rPr>
              <w:t>Target</w:t>
            </w:r>
          </w:p>
        </w:tc>
        <w:tc>
          <w:tcPr>
            <w:tcW w:type="dxa" w:w="2458"/>
            <w:vAlign w:val="center"/>
            <w:tcMar>
              <w:top w:w="65" w:type="dxa"/>
              <w:start w:w="68" w:type="dxa"/>
              <w:bottom w:w="65" w:type="dxa"/>
              <w:end w:w="68" w:type="dxa"/>
            </w:tcMar>
            <w:shd w:val="clear" w:color="auto" w:fill="E8F0F8"/>
          </w:tcPr>
          <w:p>
            <w:pPr>
              <w:spacing w:before="0" w:after="0"/>
            </w:pPr>
            <w:r>
              <w:rPr>
                <w:rFonts w:ascii="Times New Roman" w:hAnsi="Times New Roman"/>
                <w:b/>
                <w:color w:val="1E364D"/>
                <w:sz w:val="16"/>
              </w:rPr>
              <w:t>Group</w:t>
            </w:r>
          </w:p>
        </w:tc>
        <w:tc>
          <w:tcPr>
            <w:tcW w:type="dxa" w:w="2458"/>
            <w:vAlign w:val="center"/>
            <w:tcMar>
              <w:top w:w="65" w:type="dxa"/>
              <w:start w:w="68" w:type="dxa"/>
              <w:bottom w:w="65" w:type="dxa"/>
              <w:end w:w="68" w:type="dxa"/>
            </w:tcMar>
            <w:shd w:val="clear" w:color="auto" w:fill="E8F0F8"/>
          </w:tcPr>
          <w:p>
            <w:pPr>
              <w:spacing w:before="0" w:after="0"/>
            </w:pPr>
            <w:r>
              <w:rPr>
                <w:rFonts w:ascii="Times New Roman" w:hAnsi="Times New Roman"/>
                <w:b/>
                <w:color w:val="1E364D"/>
                <w:sz w:val="16"/>
              </w:rPr>
              <w:t>Eligible n</w:t>
            </w:r>
          </w:p>
        </w:tc>
        <w:tc>
          <w:tcPr>
            <w:tcW w:type="dxa" w:w="2458"/>
            <w:vAlign w:val="center"/>
            <w:tcMar>
              <w:top w:w="65" w:type="dxa"/>
              <w:start w:w="68" w:type="dxa"/>
              <w:bottom w:w="65" w:type="dxa"/>
              <w:end w:w="68" w:type="dxa"/>
            </w:tcMar>
            <w:shd w:val="clear" w:color="auto" w:fill="E8F0F8"/>
          </w:tcPr>
          <w:p>
            <w:pPr>
              <w:spacing w:before="0" w:after="0"/>
            </w:pPr>
            <w:r>
              <w:rPr>
                <w:rFonts w:ascii="Times New Roman" w:hAnsi="Times New Roman"/>
                <w:b/>
                <w:color w:val="1E364D"/>
                <w:sz w:val="16"/>
              </w:rPr>
              <w:t>Macro-F1 [95% CI]</w:t>
            </w:r>
          </w:p>
        </w:tc>
      </w:tr>
      <w:tr>
        <w:trPr>
          <w:cantSplit/>
        </w:trPr>
        <w:tc>
          <w:tcPr>
            <w:tcW w:type="dxa" w:w="2458"/>
            <w:vAlign w:val="center"/>
            <w:tcMar>
              <w:top w:w="65" w:type="dxa"/>
              <w:start w:w="68" w:type="dxa"/>
              <w:bottom w:w="65" w:type="dxa"/>
              <w:end w:w="68" w:type="dxa"/>
            </w:tcMar>
          </w:tcPr>
          <w:p>
            <w:pPr>
              <w:spacing w:before="0" w:after="0"/>
            </w:pPr>
            <w:r>
              <w:rPr>
                <w:rFonts w:ascii="Times New Roman" w:hAnsi="Times New Roman"/>
                <w:sz w:val="16"/>
              </w:rPr>
              <w:t>T1</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all</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720</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0.741 [0.709, 0.771]</w:t>
            </w:r>
          </w:p>
        </w:tc>
      </w:tr>
      <w:tr>
        <w:trPr>
          <w:cantSplit/>
        </w:trPr>
        <w:tc>
          <w:tcPr>
            <w:tcW w:type="dxa" w:w="2458"/>
            <w:vAlign w:val="center"/>
            <w:tcMar>
              <w:top w:w="65" w:type="dxa"/>
              <w:start w:w="68" w:type="dxa"/>
              <w:bottom w:w="65" w:type="dxa"/>
              <w:end w:w="68" w:type="dxa"/>
            </w:tcMar>
          </w:tcPr>
          <w:p>
            <w:pPr>
              <w:spacing w:before="0" w:after="0"/>
            </w:pPr>
            <w:r>
              <w:rPr>
                <w:rFonts w:ascii="Times New Roman" w:hAnsi="Times New Roman"/>
                <w:sz w:val="16"/>
              </w:rPr>
              <w:t>T1</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exclude_M01</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600</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0.727 [0.690, 0.761]</w:t>
            </w:r>
          </w:p>
        </w:tc>
      </w:tr>
      <w:tr>
        <w:trPr>
          <w:cantSplit/>
        </w:trPr>
        <w:tc>
          <w:tcPr>
            <w:tcW w:type="dxa" w:w="2458"/>
            <w:vAlign w:val="center"/>
            <w:tcMar>
              <w:top w:w="65" w:type="dxa"/>
              <w:start w:w="68" w:type="dxa"/>
              <w:bottom w:w="65" w:type="dxa"/>
              <w:end w:w="68" w:type="dxa"/>
            </w:tcMar>
          </w:tcPr>
          <w:p>
            <w:pPr>
              <w:spacing w:before="0" w:after="0"/>
            </w:pPr>
            <w:r>
              <w:rPr>
                <w:rFonts w:ascii="Times New Roman" w:hAnsi="Times New Roman"/>
                <w:sz w:val="16"/>
              </w:rPr>
              <w:t>T1</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M01</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120</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0.649 [0.543, 0.744]</w:t>
            </w:r>
          </w:p>
        </w:tc>
      </w:tr>
      <w:tr>
        <w:trPr>
          <w:cantSplit/>
        </w:trPr>
        <w:tc>
          <w:tcPr>
            <w:tcW w:type="dxa" w:w="2458"/>
            <w:vAlign w:val="center"/>
            <w:tcMar>
              <w:top w:w="65" w:type="dxa"/>
              <w:start w:w="68" w:type="dxa"/>
              <w:bottom w:w="65" w:type="dxa"/>
              <w:end w:w="68" w:type="dxa"/>
            </w:tcMar>
          </w:tcPr>
          <w:p>
            <w:pPr>
              <w:spacing w:before="0" w:after="0"/>
            </w:pPr>
            <w:r>
              <w:rPr>
                <w:rFonts w:ascii="Times New Roman" w:hAnsi="Times New Roman"/>
                <w:sz w:val="16"/>
              </w:rPr>
              <w:t>T1</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M02</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120</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0.692 [0.603, 0.770]</w:t>
            </w:r>
          </w:p>
        </w:tc>
      </w:tr>
      <w:tr>
        <w:trPr>
          <w:cantSplit/>
        </w:trPr>
        <w:tc>
          <w:tcPr>
            <w:tcW w:type="dxa" w:w="2458"/>
            <w:vAlign w:val="center"/>
            <w:tcMar>
              <w:top w:w="65" w:type="dxa"/>
              <w:start w:w="68" w:type="dxa"/>
              <w:bottom w:w="65" w:type="dxa"/>
              <w:end w:w="68" w:type="dxa"/>
            </w:tcMar>
          </w:tcPr>
          <w:p>
            <w:pPr>
              <w:spacing w:before="0" w:after="0"/>
            </w:pPr>
            <w:r>
              <w:rPr>
                <w:rFonts w:ascii="Times New Roman" w:hAnsi="Times New Roman"/>
                <w:sz w:val="16"/>
              </w:rPr>
              <w:t>T1</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M03</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120</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0.696 [0.608, 0.777]</w:t>
            </w:r>
          </w:p>
        </w:tc>
      </w:tr>
      <w:tr>
        <w:trPr>
          <w:cantSplit/>
        </w:trPr>
        <w:tc>
          <w:tcPr>
            <w:tcW w:type="dxa" w:w="2458"/>
            <w:vAlign w:val="center"/>
            <w:tcMar>
              <w:top w:w="65" w:type="dxa"/>
              <w:start w:w="68" w:type="dxa"/>
              <w:bottom w:w="65" w:type="dxa"/>
              <w:end w:w="68" w:type="dxa"/>
            </w:tcMar>
          </w:tcPr>
          <w:p>
            <w:pPr>
              <w:spacing w:before="0" w:after="0"/>
            </w:pPr>
            <w:r>
              <w:rPr>
                <w:rFonts w:ascii="Times New Roman" w:hAnsi="Times New Roman"/>
                <w:sz w:val="16"/>
              </w:rPr>
              <w:t>T1</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M04</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120</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0.417 [0.391, 0.442]</w:t>
            </w:r>
          </w:p>
        </w:tc>
      </w:tr>
      <w:tr>
        <w:trPr>
          <w:cantSplit/>
        </w:trPr>
        <w:tc>
          <w:tcPr>
            <w:tcW w:type="dxa" w:w="2458"/>
            <w:vAlign w:val="center"/>
            <w:tcMar>
              <w:top w:w="65" w:type="dxa"/>
              <w:start w:w="68" w:type="dxa"/>
              <w:bottom w:w="65" w:type="dxa"/>
              <w:end w:w="68" w:type="dxa"/>
            </w:tcMar>
          </w:tcPr>
          <w:p>
            <w:pPr>
              <w:spacing w:before="0" w:after="0"/>
            </w:pPr>
            <w:r>
              <w:rPr>
                <w:rFonts w:ascii="Times New Roman" w:hAnsi="Times New Roman"/>
                <w:sz w:val="16"/>
              </w:rPr>
              <w:t>T1</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M05</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120</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0.618 [0.474, 0.750]</w:t>
            </w:r>
          </w:p>
        </w:tc>
      </w:tr>
      <w:tr>
        <w:trPr>
          <w:cantSplit/>
        </w:trPr>
        <w:tc>
          <w:tcPr>
            <w:tcW w:type="dxa" w:w="2458"/>
            <w:vAlign w:val="center"/>
            <w:tcMar>
              <w:top w:w="65" w:type="dxa"/>
              <w:start w:w="68" w:type="dxa"/>
              <w:bottom w:w="65" w:type="dxa"/>
              <w:end w:w="68" w:type="dxa"/>
            </w:tcMar>
          </w:tcPr>
          <w:p>
            <w:pPr>
              <w:spacing w:before="0" w:after="0"/>
            </w:pPr>
            <w:r>
              <w:rPr>
                <w:rFonts w:ascii="Times New Roman" w:hAnsi="Times New Roman"/>
                <w:sz w:val="16"/>
              </w:rPr>
              <w:t>T1</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M06</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120</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0.505 [0.420, 0.587]</w:t>
            </w:r>
          </w:p>
        </w:tc>
      </w:tr>
      <w:tr>
        <w:trPr>
          <w:cantSplit/>
        </w:trPr>
        <w:tc>
          <w:tcPr>
            <w:tcW w:type="dxa" w:w="2458"/>
            <w:vAlign w:val="center"/>
            <w:tcMar>
              <w:top w:w="65" w:type="dxa"/>
              <w:start w:w="68" w:type="dxa"/>
              <w:bottom w:w="65" w:type="dxa"/>
              <w:end w:w="68" w:type="dxa"/>
            </w:tcMar>
          </w:tcPr>
          <w:p>
            <w:pPr>
              <w:spacing w:before="0" w:after="0"/>
            </w:pPr>
            <w:r>
              <w:rPr>
                <w:rFonts w:ascii="Times New Roman" w:hAnsi="Times New Roman"/>
                <w:sz w:val="16"/>
              </w:rPr>
              <w:t>T2</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all</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474</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0.609 [0.567, 0.653]</w:t>
            </w:r>
          </w:p>
        </w:tc>
      </w:tr>
      <w:tr>
        <w:trPr>
          <w:cantSplit/>
        </w:trPr>
        <w:tc>
          <w:tcPr>
            <w:tcW w:type="dxa" w:w="2458"/>
            <w:vAlign w:val="center"/>
            <w:tcMar>
              <w:top w:w="65" w:type="dxa"/>
              <w:start w:w="68" w:type="dxa"/>
              <w:bottom w:w="65" w:type="dxa"/>
              <w:end w:w="68" w:type="dxa"/>
            </w:tcMar>
          </w:tcPr>
          <w:p>
            <w:pPr>
              <w:spacing w:before="0" w:after="0"/>
            </w:pPr>
            <w:r>
              <w:rPr>
                <w:rFonts w:ascii="Times New Roman" w:hAnsi="Times New Roman"/>
                <w:sz w:val="16"/>
              </w:rPr>
              <w:t>T2</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exclude_M01</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435</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0.617 [0.572, 0.661]</w:t>
            </w:r>
          </w:p>
        </w:tc>
      </w:tr>
      <w:tr>
        <w:trPr>
          <w:cantSplit/>
        </w:trPr>
        <w:tc>
          <w:tcPr>
            <w:tcW w:type="dxa" w:w="2458"/>
            <w:vAlign w:val="center"/>
            <w:tcMar>
              <w:top w:w="65" w:type="dxa"/>
              <w:start w:w="68" w:type="dxa"/>
              <w:bottom w:w="65" w:type="dxa"/>
              <w:end w:w="68" w:type="dxa"/>
            </w:tcMar>
          </w:tcPr>
          <w:p>
            <w:pPr>
              <w:spacing w:before="0" w:after="0"/>
            </w:pPr>
            <w:r>
              <w:rPr>
                <w:rFonts w:ascii="Times New Roman" w:hAnsi="Times New Roman"/>
                <w:sz w:val="16"/>
              </w:rPr>
              <w:t>T2</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M01</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39</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0.462 [0.332, 0.618]</w:t>
            </w:r>
          </w:p>
        </w:tc>
      </w:tr>
      <w:tr>
        <w:trPr>
          <w:cantSplit/>
        </w:trPr>
        <w:tc>
          <w:tcPr>
            <w:tcW w:type="dxa" w:w="2458"/>
            <w:vAlign w:val="center"/>
            <w:tcMar>
              <w:top w:w="65" w:type="dxa"/>
              <w:start w:w="68" w:type="dxa"/>
              <w:bottom w:w="65" w:type="dxa"/>
              <w:end w:w="68" w:type="dxa"/>
            </w:tcMar>
          </w:tcPr>
          <w:p>
            <w:pPr>
              <w:spacing w:before="0" w:after="0"/>
            </w:pPr>
            <w:r>
              <w:rPr>
                <w:rFonts w:ascii="Times New Roman" w:hAnsi="Times New Roman"/>
                <w:sz w:val="16"/>
              </w:rPr>
              <w:t>T2</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M02</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95</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0.578 [0.469, 0.679]</w:t>
            </w:r>
          </w:p>
        </w:tc>
      </w:tr>
      <w:tr>
        <w:trPr>
          <w:cantSplit/>
        </w:trPr>
        <w:tc>
          <w:tcPr>
            <w:tcW w:type="dxa" w:w="2458"/>
            <w:vAlign w:val="center"/>
            <w:tcMar>
              <w:top w:w="65" w:type="dxa"/>
              <w:start w:w="68" w:type="dxa"/>
              <w:bottom w:w="65" w:type="dxa"/>
              <w:end w:w="68" w:type="dxa"/>
            </w:tcMar>
          </w:tcPr>
          <w:p>
            <w:pPr>
              <w:spacing w:before="0" w:after="0"/>
            </w:pPr>
            <w:r>
              <w:rPr>
                <w:rFonts w:ascii="Times New Roman" w:hAnsi="Times New Roman"/>
                <w:sz w:val="16"/>
              </w:rPr>
              <w:t>T2</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M03</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58</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0.504 [0.372, 0.629]</w:t>
            </w:r>
          </w:p>
        </w:tc>
      </w:tr>
      <w:tr>
        <w:trPr>
          <w:cantSplit/>
        </w:trPr>
        <w:tc>
          <w:tcPr>
            <w:tcW w:type="dxa" w:w="2458"/>
            <w:vAlign w:val="center"/>
            <w:tcMar>
              <w:top w:w="65" w:type="dxa"/>
              <w:start w:w="68" w:type="dxa"/>
              <w:bottom w:w="65" w:type="dxa"/>
              <w:end w:w="68" w:type="dxa"/>
            </w:tcMar>
          </w:tcPr>
          <w:p>
            <w:pPr>
              <w:spacing w:before="0" w:after="0"/>
            </w:pPr>
            <w:r>
              <w:rPr>
                <w:rFonts w:ascii="Times New Roman" w:hAnsi="Times New Roman"/>
                <w:sz w:val="16"/>
              </w:rPr>
              <w:t>T2</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M04</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120</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0.594 [0.511, 0.674]</w:t>
            </w:r>
          </w:p>
        </w:tc>
      </w:tr>
      <w:tr>
        <w:trPr>
          <w:cantSplit/>
        </w:trPr>
        <w:tc>
          <w:tcPr>
            <w:tcW w:type="dxa" w:w="2458"/>
            <w:vAlign w:val="center"/>
            <w:tcMar>
              <w:top w:w="65" w:type="dxa"/>
              <w:start w:w="68" w:type="dxa"/>
              <w:bottom w:w="65" w:type="dxa"/>
              <w:end w:w="68" w:type="dxa"/>
            </w:tcMar>
          </w:tcPr>
          <w:p>
            <w:pPr>
              <w:spacing w:before="0" w:after="0"/>
            </w:pPr>
            <w:r>
              <w:rPr>
                <w:rFonts w:ascii="Times New Roman" w:hAnsi="Times New Roman"/>
                <w:sz w:val="16"/>
              </w:rPr>
              <w:t>T2</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M05</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115</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0.628 [0.551, 0.703]</w:t>
            </w:r>
          </w:p>
        </w:tc>
      </w:tr>
      <w:tr>
        <w:trPr>
          <w:cantSplit/>
        </w:trPr>
        <w:tc>
          <w:tcPr>
            <w:tcW w:type="dxa" w:w="2458"/>
            <w:vAlign w:val="center"/>
            <w:tcMar>
              <w:top w:w="65" w:type="dxa"/>
              <w:start w:w="68" w:type="dxa"/>
              <w:bottom w:w="65" w:type="dxa"/>
              <w:end w:w="68" w:type="dxa"/>
            </w:tcMar>
          </w:tcPr>
          <w:p>
            <w:pPr>
              <w:spacing w:before="0" w:after="0"/>
            </w:pPr>
            <w:r>
              <w:rPr>
                <w:rFonts w:ascii="Times New Roman" w:hAnsi="Times New Roman"/>
                <w:sz w:val="16"/>
              </w:rPr>
              <w:t>T2</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M06</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47</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0.407 [0.319, 0.511]</w:t>
            </w:r>
          </w:p>
        </w:tc>
      </w:tr>
      <w:tr>
        <w:trPr>
          <w:cantSplit/>
        </w:trPr>
        <w:tc>
          <w:tcPr>
            <w:tcW w:type="dxa" w:w="2458"/>
            <w:vAlign w:val="center"/>
            <w:tcMar>
              <w:top w:w="65" w:type="dxa"/>
              <w:start w:w="68" w:type="dxa"/>
              <w:bottom w:w="65" w:type="dxa"/>
              <w:end w:w="68" w:type="dxa"/>
            </w:tcMar>
          </w:tcPr>
          <w:p>
            <w:pPr>
              <w:spacing w:before="0" w:after="0"/>
            </w:pPr>
            <w:r>
              <w:rPr>
                <w:rFonts w:ascii="Times New Roman" w:hAnsi="Times New Roman"/>
                <w:sz w:val="16"/>
              </w:rPr>
              <w:t>T3</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all</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460</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0.530 [0.486, 0.571]</w:t>
            </w:r>
          </w:p>
        </w:tc>
      </w:tr>
      <w:tr>
        <w:trPr>
          <w:cantSplit/>
        </w:trPr>
        <w:tc>
          <w:tcPr>
            <w:tcW w:type="dxa" w:w="2458"/>
            <w:vAlign w:val="center"/>
            <w:tcMar>
              <w:top w:w="65" w:type="dxa"/>
              <w:start w:w="68" w:type="dxa"/>
              <w:bottom w:w="65" w:type="dxa"/>
              <w:end w:w="68" w:type="dxa"/>
            </w:tcMar>
          </w:tcPr>
          <w:p>
            <w:pPr>
              <w:spacing w:before="0" w:after="0"/>
            </w:pPr>
            <w:r>
              <w:rPr>
                <w:rFonts w:ascii="Times New Roman" w:hAnsi="Times New Roman"/>
                <w:sz w:val="16"/>
              </w:rPr>
              <w:t>T3</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exclude_M01</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423</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0.523 [0.481, 0.564]</w:t>
            </w:r>
          </w:p>
        </w:tc>
      </w:tr>
      <w:tr>
        <w:trPr>
          <w:cantSplit/>
        </w:trPr>
        <w:tc>
          <w:tcPr>
            <w:tcW w:type="dxa" w:w="2458"/>
            <w:vAlign w:val="center"/>
            <w:tcMar>
              <w:top w:w="65" w:type="dxa"/>
              <w:start w:w="68" w:type="dxa"/>
              <w:bottom w:w="65" w:type="dxa"/>
              <w:end w:w="68" w:type="dxa"/>
            </w:tcMar>
          </w:tcPr>
          <w:p>
            <w:pPr>
              <w:spacing w:before="0" w:after="0"/>
            </w:pPr>
            <w:r>
              <w:rPr>
                <w:rFonts w:ascii="Times New Roman" w:hAnsi="Times New Roman"/>
                <w:sz w:val="16"/>
              </w:rPr>
              <w:t>T3</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M01</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37</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0.598 [0.437, 0.744]</w:t>
            </w:r>
          </w:p>
        </w:tc>
      </w:tr>
      <w:tr>
        <w:trPr>
          <w:cantSplit/>
        </w:trPr>
        <w:tc>
          <w:tcPr>
            <w:tcW w:type="dxa" w:w="2458"/>
            <w:vAlign w:val="center"/>
            <w:tcMar>
              <w:top w:w="65" w:type="dxa"/>
              <w:start w:w="68" w:type="dxa"/>
              <w:bottom w:w="65" w:type="dxa"/>
              <w:end w:w="68" w:type="dxa"/>
            </w:tcMar>
          </w:tcPr>
          <w:p>
            <w:pPr>
              <w:spacing w:before="0" w:after="0"/>
            </w:pPr>
            <w:r>
              <w:rPr>
                <w:rFonts w:ascii="Times New Roman" w:hAnsi="Times New Roman"/>
                <w:sz w:val="16"/>
              </w:rPr>
              <w:t>T3</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M02</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95</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0.374 [0.292, 0.458]</w:t>
            </w:r>
          </w:p>
        </w:tc>
      </w:tr>
      <w:tr>
        <w:trPr>
          <w:cantSplit/>
        </w:trPr>
        <w:tc>
          <w:tcPr>
            <w:tcW w:type="dxa" w:w="2458"/>
            <w:vAlign w:val="center"/>
            <w:tcMar>
              <w:top w:w="65" w:type="dxa"/>
              <w:start w:w="68" w:type="dxa"/>
              <w:bottom w:w="65" w:type="dxa"/>
              <w:end w:w="68" w:type="dxa"/>
            </w:tcMar>
          </w:tcPr>
          <w:p>
            <w:pPr>
              <w:spacing w:before="0" w:after="0"/>
            </w:pPr>
            <w:r>
              <w:rPr>
                <w:rFonts w:ascii="Times New Roman" w:hAnsi="Times New Roman"/>
                <w:sz w:val="16"/>
              </w:rPr>
              <w:t>T3</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M03</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52</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0.631 [0.499, 0.757]</w:t>
            </w:r>
          </w:p>
        </w:tc>
      </w:tr>
      <w:tr>
        <w:trPr>
          <w:cantSplit/>
        </w:trPr>
        <w:tc>
          <w:tcPr>
            <w:tcW w:type="dxa" w:w="2458"/>
            <w:vAlign w:val="center"/>
            <w:tcMar>
              <w:top w:w="65" w:type="dxa"/>
              <w:start w:w="68" w:type="dxa"/>
              <w:bottom w:w="65" w:type="dxa"/>
              <w:end w:w="68" w:type="dxa"/>
            </w:tcMar>
          </w:tcPr>
          <w:p>
            <w:pPr>
              <w:spacing w:before="0" w:after="0"/>
            </w:pPr>
            <w:r>
              <w:rPr>
                <w:rFonts w:ascii="Times New Roman" w:hAnsi="Times New Roman"/>
                <w:sz w:val="16"/>
              </w:rPr>
              <w:t>T3</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M04</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120</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0.297 [0.241, 0.355]</w:t>
            </w:r>
          </w:p>
        </w:tc>
      </w:tr>
      <w:tr>
        <w:trPr>
          <w:cantSplit/>
        </w:trPr>
        <w:tc>
          <w:tcPr>
            <w:tcW w:type="dxa" w:w="2458"/>
            <w:vAlign w:val="center"/>
            <w:tcMar>
              <w:top w:w="65" w:type="dxa"/>
              <w:start w:w="68" w:type="dxa"/>
              <w:bottom w:w="65" w:type="dxa"/>
              <w:end w:w="68" w:type="dxa"/>
            </w:tcMar>
          </w:tcPr>
          <w:p>
            <w:pPr>
              <w:spacing w:before="0" w:after="0"/>
            </w:pPr>
            <w:r>
              <w:rPr>
                <w:rFonts w:ascii="Times New Roman" w:hAnsi="Times New Roman"/>
                <w:sz w:val="16"/>
              </w:rPr>
              <w:t>T3</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M05</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113</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0.667 [0.584, 0.745]</w:t>
            </w:r>
          </w:p>
        </w:tc>
      </w:tr>
      <w:tr>
        <w:trPr>
          <w:cantSplit/>
        </w:trPr>
        <w:tc>
          <w:tcPr>
            <w:tcW w:type="dxa" w:w="2458"/>
            <w:vAlign w:val="center"/>
            <w:tcMar>
              <w:top w:w="65" w:type="dxa"/>
              <w:start w:w="68" w:type="dxa"/>
              <w:bottom w:w="65" w:type="dxa"/>
              <w:end w:w="68" w:type="dxa"/>
            </w:tcMar>
          </w:tcPr>
          <w:p>
            <w:pPr>
              <w:spacing w:before="0" w:after="0"/>
            </w:pPr>
            <w:r>
              <w:rPr>
                <w:rFonts w:ascii="Times New Roman" w:hAnsi="Times New Roman"/>
                <w:sz w:val="16"/>
              </w:rPr>
              <w:t>T3</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M06</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43</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0.582 [0.424, 0.721]</w:t>
            </w:r>
          </w:p>
        </w:tc>
      </w:tr>
      <w:tr>
        <w:trPr>
          <w:cantSplit/>
        </w:trPr>
        <w:tc>
          <w:tcPr>
            <w:tcW w:type="dxa" w:w="2458"/>
            <w:vAlign w:val="center"/>
            <w:tcMar>
              <w:top w:w="65" w:type="dxa"/>
              <w:start w:w="68" w:type="dxa"/>
              <w:bottom w:w="65" w:type="dxa"/>
              <w:end w:w="68" w:type="dxa"/>
            </w:tcMar>
          </w:tcPr>
          <w:p>
            <w:pPr>
              <w:spacing w:before="0" w:after="0"/>
            </w:pPr>
            <w:r>
              <w:rPr>
                <w:rFonts w:ascii="Times New Roman" w:hAnsi="Times New Roman"/>
                <w:sz w:val="16"/>
              </w:rPr>
              <w:t>T4</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all</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474</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0.391 [0.356, 0.427]</w:t>
            </w:r>
          </w:p>
        </w:tc>
      </w:tr>
      <w:tr>
        <w:trPr>
          <w:cantSplit/>
        </w:trPr>
        <w:tc>
          <w:tcPr>
            <w:tcW w:type="dxa" w:w="2458"/>
            <w:vAlign w:val="center"/>
            <w:tcMar>
              <w:top w:w="65" w:type="dxa"/>
              <w:start w:w="68" w:type="dxa"/>
              <w:bottom w:w="65" w:type="dxa"/>
              <w:end w:w="68" w:type="dxa"/>
            </w:tcMar>
          </w:tcPr>
          <w:p>
            <w:pPr>
              <w:spacing w:before="0" w:after="0"/>
            </w:pPr>
            <w:r>
              <w:rPr>
                <w:rFonts w:ascii="Times New Roman" w:hAnsi="Times New Roman"/>
                <w:sz w:val="16"/>
              </w:rPr>
              <w:t>T4</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exclude_M01</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435</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0.371 [0.335, 0.408]</w:t>
            </w:r>
          </w:p>
        </w:tc>
      </w:tr>
      <w:tr>
        <w:trPr>
          <w:cantSplit/>
        </w:trPr>
        <w:tc>
          <w:tcPr>
            <w:tcW w:type="dxa" w:w="2458"/>
            <w:vAlign w:val="center"/>
            <w:tcMar>
              <w:top w:w="65" w:type="dxa"/>
              <w:start w:w="68" w:type="dxa"/>
              <w:bottom w:w="65" w:type="dxa"/>
              <w:end w:w="68" w:type="dxa"/>
            </w:tcMar>
          </w:tcPr>
          <w:p>
            <w:pPr>
              <w:spacing w:before="0" w:after="0"/>
            </w:pPr>
            <w:r>
              <w:rPr>
                <w:rFonts w:ascii="Times New Roman" w:hAnsi="Times New Roman"/>
                <w:sz w:val="16"/>
              </w:rPr>
              <w:t>T4</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M01</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39</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0.391 [0.211, 0.568]</w:t>
            </w:r>
          </w:p>
        </w:tc>
      </w:tr>
      <w:tr>
        <w:trPr>
          <w:cantSplit/>
        </w:trPr>
        <w:tc>
          <w:tcPr>
            <w:tcW w:type="dxa" w:w="2458"/>
            <w:vAlign w:val="center"/>
            <w:tcMar>
              <w:top w:w="65" w:type="dxa"/>
              <w:start w:w="68" w:type="dxa"/>
              <w:bottom w:w="65" w:type="dxa"/>
              <w:end w:w="68" w:type="dxa"/>
            </w:tcMar>
          </w:tcPr>
          <w:p>
            <w:pPr>
              <w:spacing w:before="0" w:after="0"/>
            </w:pPr>
            <w:r>
              <w:rPr>
                <w:rFonts w:ascii="Times New Roman" w:hAnsi="Times New Roman"/>
                <w:sz w:val="16"/>
              </w:rPr>
              <w:t>T4</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M02</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95</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0.148 [0.091, 0.199]</w:t>
            </w:r>
          </w:p>
        </w:tc>
      </w:tr>
      <w:tr>
        <w:trPr>
          <w:cantSplit/>
        </w:trPr>
        <w:tc>
          <w:tcPr>
            <w:tcW w:type="dxa" w:w="2458"/>
            <w:vAlign w:val="center"/>
            <w:tcMar>
              <w:top w:w="65" w:type="dxa"/>
              <w:start w:w="68" w:type="dxa"/>
              <w:bottom w:w="65" w:type="dxa"/>
              <w:end w:w="68" w:type="dxa"/>
            </w:tcMar>
          </w:tcPr>
          <w:p>
            <w:pPr>
              <w:spacing w:before="0" w:after="0"/>
            </w:pPr>
            <w:r>
              <w:rPr>
                <w:rFonts w:ascii="Times New Roman" w:hAnsi="Times New Roman"/>
                <w:sz w:val="16"/>
              </w:rPr>
              <w:t>T4</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M03</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58</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0.272 [0.153, 0.385]</w:t>
            </w:r>
          </w:p>
        </w:tc>
      </w:tr>
      <w:tr>
        <w:trPr>
          <w:cantSplit/>
        </w:trPr>
        <w:tc>
          <w:tcPr>
            <w:tcW w:type="dxa" w:w="2458"/>
            <w:vAlign w:val="center"/>
            <w:tcMar>
              <w:top w:w="65" w:type="dxa"/>
              <w:start w:w="68" w:type="dxa"/>
              <w:bottom w:w="65" w:type="dxa"/>
              <w:end w:w="68" w:type="dxa"/>
            </w:tcMar>
          </w:tcPr>
          <w:p>
            <w:pPr>
              <w:spacing w:before="0" w:after="0"/>
            </w:pPr>
            <w:r>
              <w:rPr>
                <w:rFonts w:ascii="Times New Roman" w:hAnsi="Times New Roman"/>
                <w:sz w:val="16"/>
              </w:rPr>
              <w:t>T4</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M04</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120</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0.263 [0.246, 0.280]</w:t>
            </w:r>
          </w:p>
        </w:tc>
      </w:tr>
      <w:tr>
        <w:trPr>
          <w:cantSplit/>
        </w:trPr>
        <w:tc>
          <w:tcPr>
            <w:tcW w:type="dxa" w:w="2458"/>
            <w:vAlign w:val="center"/>
            <w:tcMar>
              <w:top w:w="65" w:type="dxa"/>
              <w:start w:w="68" w:type="dxa"/>
              <w:bottom w:w="65" w:type="dxa"/>
              <w:end w:w="68" w:type="dxa"/>
            </w:tcMar>
          </w:tcPr>
          <w:p>
            <w:pPr>
              <w:spacing w:before="0" w:after="0"/>
            </w:pPr>
            <w:r>
              <w:rPr>
                <w:rFonts w:ascii="Times New Roman" w:hAnsi="Times New Roman"/>
                <w:sz w:val="16"/>
              </w:rPr>
              <w:t>T4</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M05</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115</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0.380 [0.299, 0.467]</w:t>
            </w:r>
          </w:p>
        </w:tc>
      </w:tr>
      <w:tr>
        <w:trPr>
          <w:cantSplit/>
        </w:trPr>
        <w:tc>
          <w:tcPr>
            <w:tcW w:type="dxa" w:w="2458"/>
            <w:vAlign w:val="center"/>
            <w:tcMar>
              <w:top w:w="65" w:type="dxa"/>
              <w:start w:w="68" w:type="dxa"/>
              <w:bottom w:w="65" w:type="dxa"/>
              <w:end w:w="68" w:type="dxa"/>
            </w:tcMar>
          </w:tcPr>
          <w:p>
            <w:pPr>
              <w:spacing w:before="0" w:after="0"/>
            </w:pPr>
            <w:r>
              <w:rPr>
                <w:rFonts w:ascii="Times New Roman" w:hAnsi="Times New Roman"/>
                <w:sz w:val="16"/>
              </w:rPr>
              <w:t>T4</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M06</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47</w:t>
            </w:r>
          </w:p>
        </w:tc>
        <w:tc>
          <w:tcPr>
            <w:tcW w:type="dxa" w:w="2458"/>
            <w:vAlign w:val="center"/>
            <w:tcMar>
              <w:top w:w="65" w:type="dxa"/>
              <w:start w:w="68" w:type="dxa"/>
              <w:bottom w:w="65" w:type="dxa"/>
              <w:end w:w="68" w:type="dxa"/>
            </w:tcMar>
          </w:tcPr>
          <w:p>
            <w:pPr>
              <w:spacing w:before="0" w:after="0"/>
            </w:pPr>
            <w:r>
              <w:rPr>
                <w:rFonts w:ascii="Times New Roman" w:hAnsi="Times New Roman"/>
                <w:sz w:val="16"/>
              </w:rPr>
              <w:t>0.416 [0.208, 0.570]</w:t>
            </w:r>
          </w:p>
        </w:tc>
      </w:tr>
    </w:tbl>
    <w:p>
      <w:pPr>
        <w:widowControl/>
      </w:pPr>
      <w:r>
        <w:t>The completed server run supersedes the earlier incomplete training-size audit. Each target has one dual-blocked and five size-matched M1 experiments, and the same six M3 experiments. All test populations are complete (720/474/460/474 cases for T1–T4), with 30 fold-by-generator cells per M3 experiment. For each fold-by-generator evaluation cell, the matched controls retain the dual variant’s total training-row count; the training label and generator mixtures need not match. The new M3 dual estimates supersede the historical blocked execution for this sensitivity only; standard reference, seed, LOTO, and A/B/C results remain archived analyses. Five subset repetitions share fixed learning seed 20260908 and use deterministic SHA256 subset seeds. They do not constitute five independent datasets or learning-seed reruns. Each paired interval is nominal, target-conditional and unadjusted; the five dependent subset comparisons share the same test cases. Reproducibility correction (2026-10-12): the authoritative completed-server dual M3 results derive from nested archived `reports/PREDICTIONS.csv` case-level records and have exact macro-F1 T1=.591322526, T2=.671147712, T3=.681835701, and T4=.573272610; the five size-matched means are .630008358/.748768941/.781461993/.643584882. The previous September repository summary .553360/.675329/.700646/.600978 reflects an earlier, superseded reported run. Its specific case-level source was not reconstituted in this audit; no unique stochastic or software root cause is asserted. The archived source ZIP SHA-256 is 55b879ce51470d6c79933f3f32cc46e1bb4e28bc69693ea8b43ed9514adb2e96; all 24 nested predictions/metrics pairs were independently rescored and hashed.</w:t>
      </w:r>
      <w:r/>
    </w:p>
    <w:p>
      <w:pPr/>
      <w:r>
        <w:rPr>
          <w:i/>
          <w:sz w:val="18"/>
        </w:rPr>
        <w:t>Final-results precedence (14 October 2026). For every experiment identified by the same task, condition, model/protocol and run type in SERVER_RUN_20261007_A, the numerical result exported in results.rar is the sole final reporting value. Earlier duplicated preliminary/partial runs, including replaced dual-blocked estimates and interim training-size summaries, are superseded and must not be pooled, averaged, or cited as competing final estimates. Different protocols (historical M4 NF4; current M4 FP16; later E1/E2) remain separate estimands: results.rar governs ONLY the experiment results actually present in that archive. Non-overlapping annotation, E1/E2 and post-hoc inference retain their separately identified frozen sources.</w:t>
      </w:r>
    </w:p>
    <w:p>
      <w:pPr>
        <w:widowControl/>
      </w:pPr>
      <w:r>
        <w:t>The new M1 specification is word TF-IDF (1–2 grams, min_df=2, max_df=.98, max_features=40,000, sublinear_tf=True) plus balanced LinearSVC (C=1, random_state=20260908). M3 uses ModernBERT-base revision c0e44438c79d5a72972fe8b14dbbc822418356c9, maximum length 1,024, learning rate 2e-5, weight decay .01, train/evaluation batches 8/16, gradient accumulation 2, maximum eight selection epochs, and early-stopping patience 2. Inner development uses (outer fold + 1) modulo 5; the earliest maximum development macro-F1 determines a fresh refit. Random size-matched sampling retains the dual-blocked total row count but does not force matching of generator, class, or inner-development composition.</w:t>
      </w:r>
    </w:p>
    <w:p>
      <w:pPr>
        <w:widowControl/>
      </w:pPr>
      <w:r>
        <w:t>New Qwen3-8B revision e8bbd8252970581ea5b08b6a5b3e668adaf3161a and Mistral-7B-Instruct-v0.3 revision c170c708c41dac9275d15a8fff4eca08d52bab71 use unquantized torch.float16 weights, batch size 1, a 4,096-token cap, SDPA attention, and use_cache=False. Parameters are dispatched across GPU, CPU, and disk with placement budgets of 9 GiB GPU and 1 GiB CPU; these are not measured peak-memory bounds. The recorded environment is PyTorch 2.11.0+cu128, Transformers 4.57.6, and NVIDIA RTX PRO 6000 Blackwell Max-Q. Qwen uses system/user messages with thinking disabled; Mistral combines system instructions and the rubric in one user turn. Target-valid A/B or A/B/C codes are checked under each loaded tokenizer (add_special_tokens=False) to be single tokens, then their log-softmax scores are read from the logits at the final prompt position; the maximum *within the permitted set* supplies the forced-choice label. The model does not decode an assistant answer. Scores are not calibrated correctness probabilities. No free-text generation or label repair is used. These are two implementations used to audit recovery of frozen human-reference categories. They were not harmonised for chat serialization or answer-token priors, and no inference about architectural or family superiority is intended. The pronounced Mistral T2 class concentration and Qwen T4 omission of severity 2 require interpretation as observed category-recovery limitations, not confirmed software defects. In the subsequent completed E1/E2 post-hoc audits, controlled answer-code remapping and option-order changes were executed separately on the archived FP16 Condition-C settings; their paired results appear in Section S9.15–S9.16 and the E1/E2 result tables.</w:t>
      </w:r>
      <w:r>
        <w:t xml:space="preserve"> Only the observed fixed target-eligible populations and concrete FP16 protocols are represented; interval estimates do not cover hypothetical new model families.</w:t>
      </w:r>
    </w:p>
    <w:p>
      <w:pPr>
        <w:widowControl/>
      </w:pPr>
      <w:r>
        <w:t>All 68 experiment reports have complete unique Case_ID coverage. Recomputed macro-F1 matches the aggregate reports, and T4 QWK matches the saved predictions. Case_ID-aligned gold labels, Prompt_ID, fold, and generator stratum agree across all compared experiments within each target. All eight new judge outputs have zero recorded truncated inputs; stored codes agree with score argmax and the label map. The supplied notebook judge-worker source SHA256 matches dfcdfb7d782926c414a53f86129a52d55f937657dcc19948973202292ed15b46 in the manifests. These checks corroborate the internal consistency of the archived outputs and the available scoring source, not independent reruns of GPU inference or external scientific validity.</w:t>
      </w:r>
    </w:p>
    <w:p>
      <w:pPr>
        <w:widowControl/>
      </w:pPr>
      <w:r>
        <w:t>Follow-up uncertainty uses 2,000 task-stratified Prompt_ID-cluster bootstrap resamples, seed 20260928, and descriptive percentile 95% intervals. The dual-minus-size-matched contrasts use paired test cases separately for each repetition; the five comparisons share test data and no multiplicity adjustment is made. Table S75 reports mean and sample SD of subset repetitions; Table S76 preserves all individual paired contrasts. SD is not a bootstrap confidence interval.</w:t>
      </w:r>
    </w:p>
    <w:p>
      <w:pPr/>
      <w:r>
        <w:t>Final-source check (14 October 2026): M3 strict dual-blocking values and displayed intervals in Table S75 agree with the corresponding four archived experiments in results.rar. Earlier duplicated dual results (0.553/0.675/0.701/0.601) are superseded, not alternative estimands or pooled estimates. The present check does not recertify all M1 and size-matched repeat aggregate values.</w:t>
      </w:r>
    </w:p>
    <w:tbl>
      <w:tblPr>
        <w:tblStyle w:val="35"/>
        <w:tblW w:type="auto" w:w="0"/>
        <w:jc w:val="center"/>
        <w:tblLayout w:type="autofit"/>
        <w:tblLook w:firstColumn="1" w:firstRow="1" w:lastColumn="0" w:lastRow="0" w:noHBand="0" w:noVBand="1" w:val="04A0"/>
        <w:tblBorders>
          <w:top w:val="single" w:sz="4" w:color="C7D4E2"/>
          <w:bottom w:val="single" w:sz="4" w:color="C7D4E2"/>
          <w:left w:val="single" w:sz="4" w:color="C7D4E2"/>
          <w:right w:val="single" w:sz="4" w:color="C7D4E2"/>
          <w:insideH w:val="single" w:sz="4" w:color="C7D4E2"/>
          <w:insideV w:val="single" w:sz="3" w:color="C7D4E2"/>
        </w:tblBorders>
      </w:tblPr>
      <w:tblGrid>
        <w:gridCol w:w="1966"/>
        <w:gridCol w:w="1966"/>
        <w:gridCol w:w="1966"/>
        <w:gridCol w:w="1966"/>
        <w:gridCol w:w="1966"/>
      </w:tblGrid>
      <w:tr>
        <w:trPr>
          <w:tblHeader/>
          <w:cantSplit/>
          <w:tblHeader w:val="true"/>
        </w:trPr>
        <w:tc>
          <w:tcPr>
            <w:tcW w:type="dxa" w:w="1966"/>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t>Model</w:t>
            </w:r>
          </w:p>
        </w:tc>
        <w:tc>
          <w:tcPr>
            <w:tcW w:type="dxa" w:w="1966"/>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t>Target</w:t>
            </w:r>
          </w:p>
        </w:tc>
        <w:tc>
          <w:tcPr>
            <w:tcW w:type="dxa" w:w="1966"/>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t>Dual macro-F1 [CI]</w:t>
            </w:r>
          </w:p>
        </w:tc>
        <w:tc>
          <w:tcPr>
            <w:tcW w:type="dxa" w:w="1966"/>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t>Matched mean (SD)</w:t>
            </w:r>
          </w:p>
        </w:tc>
        <w:tc>
          <w:tcPr>
            <w:tcW w:type="dxa" w:w="1966"/>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t>Repeats</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0.559 [0.522, 0.592]</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0.601 (0.008)</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5</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T2</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0.593 [0.550, 0.632]</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0.646 (0.016)</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5</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0.519 [0.474, 0.562]</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0.675 (0.015)</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5</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T4</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0.380 [0.328, 0.432]</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0.518 (0.019)</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5</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0.591 [0.558, 0.625]</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0.630 (0.021)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5</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T2</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0.671 [0.633, 0.708]</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0.749 (0.014)</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5</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0.682 [0.637, 0.725]</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0.781 (0.006)</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5</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T4</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0.573 [0.532, 0.612]</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0.644 (0.014)</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5</w:t>
            </w:r>
          </w:p>
        </w:tc>
      </w:tr>
    </w:tbl>
    <w:p/>
    <w:p>
      <w:pPr>
        <w:widowControl/>
      </w:pPr>
      <w:r>
        <w:t>Table S76. Paired dual-minus-size-matched macro-F1 differences by subset repetition. Intervals are descriptive and unadjusted.</w:t>
      </w:r>
    </w:p>
    <w:tbl>
      <w:tblPr>
        <w:tblStyle w:val="35"/>
        <w:tblW w:type="auto" w:w="0"/>
        <w:jc w:val="center"/>
        <w:tblLayout w:type="autofit"/>
        <w:tblLook w:firstColumn="1" w:firstRow="1" w:lastColumn="0" w:lastRow="0" w:noHBand="0" w:noVBand="1" w:val="04A0"/>
        <w:tblBorders>
          <w:top w:val="single" w:sz="4" w:color="C7D4E2"/>
          <w:bottom w:val="single" w:sz="4" w:color="C7D4E2"/>
          <w:left w:val="single" w:sz="4" w:color="C7D4E2"/>
          <w:right w:val="single" w:sz="4" w:color="C7D4E2"/>
          <w:insideH w:val="single" w:sz="4" w:color="C7D4E2"/>
          <w:insideV w:val="single" w:sz="3" w:color="C7D4E2"/>
        </w:tblBorders>
      </w:tblPr>
      <w:tblGrid>
        <w:gridCol w:w="1966"/>
        <w:gridCol w:w="1966"/>
        <w:gridCol w:w="1966"/>
        <w:gridCol w:w="1966"/>
        <w:gridCol w:w="1966"/>
      </w:tblGrid>
      <w:tr>
        <w:trPr>
          <w:tblHeader/>
          <w:cantSplit/>
          <w:tblHeader w:val="true"/>
        </w:trPr>
        <w:tc>
          <w:tcPr>
            <w:tcW w:type="dxa" w:w="1966"/>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t>Model</w:t>
            </w:r>
          </w:p>
        </w:tc>
        <w:tc>
          <w:tcPr>
            <w:tcW w:type="dxa" w:w="1966"/>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t>Target</w:t>
            </w:r>
          </w:p>
        </w:tc>
        <w:tc>
          <w:tcPr>
            <w:tcW w:type="dxa" w:w="1966"/>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t>Repeat</w:t>
            </w:r>
          </w:p>
        </w:tc>
        <w:tc>
          <w:tcPr>
            <w:tcW w:type="dxa" w:w="1966"/>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t>Difference</w:t>
            </w:r>
          </w:p>
        </w:tc>
        <w:tc>
          <w:tcPr>
            <w:tcW w:type="dxa" w:w="1966"/>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t>95% CI</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-0.046</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[-0.070, -0.020]</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-0.036</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[-0.062, -0.008]</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2</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-0.031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[-0.060, 0.000]</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-0.053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[-0.081, -0.024]</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4</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-0.043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[-0.070, -0.016]</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T2</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-0.039</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[-0.070, -0.011]</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T2</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-0.047</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[-0.076, -0.019]</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T2</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2</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-0.044</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[-0.077, -0.013]</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T2</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-0.079</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[-0.108, -0.052]</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T2</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4</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-0.056</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[-0.088, -0.024]</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-0.154</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[-0.194, -0.114]</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-0.161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[-0.204, -0.122]</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2</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-0.154</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[-0.196, -0.114]</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-0.179</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[-0.224, -0.131]</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4</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-0.137</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[-0.177, -0.096]</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T4</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-0.130</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[-0.168, -0.092]</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T4</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-0.158</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[-0.205, -0.113]</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T4</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2</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-0.123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[-0.161, -0.083]</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T4</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-0.120</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[-0.161, -0.079]</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T4</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4</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-0.158</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[-0.198, -0.115]</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-0.014</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[-0.051, 0.022]</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-0.058</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[-0.090, -0.023]</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2</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-0.023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[-0.058, 0.014]</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-0.063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[-0.099, -0.026]</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4</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-0.036</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[-0.071, -0.001]</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T2</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-0.071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[-0.109, -0.033]</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T2</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-0.083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[-0.121, -0.043]</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T2</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2</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-0.068</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[-0.110, -0.026]</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T2</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-0.067</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[-0.101, -0.030]</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T2</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4</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-0.099</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[-0.137, -0.062]</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-0.096</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[-0.130, -0.062]</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-0.095</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[-0.135, -0.056]</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2</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-0.106</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[-0.142, -0.070]</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-0.107</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[-0.150, -0.062]</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4</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-0.094</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[-0.133, -0.055]</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T4</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-0.077</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[-0.111, -0.046]</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T4</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-0.079</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[-0.109, -0.048]</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T4</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2</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-0.045</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[-0.076, -0.013]</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T4</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-0.078</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[-0.110, -0.046]</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T4</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4</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-0.072</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[-0.104, -0.040]</w:t>
            </w:r>
          </w:p>
        </w:tc>
      </w:tr>
    </w:tbl>
    <w:p/>
    <w:p>
      <w:pPr>
        <w:widowControl/>
      </w:pPr>
      <w:r>
        <w:t>Final-source check (14 October 2026): Table S77 FP16 reference macro-F1 and intervals for eight Qwen/Mistral T1–T4 experiments, plus T4 QWK for both judges, match SERVER_RUN_20261007_A exports in results.rar at displayed precision. Results from earlier duplicate versions of these exact runs are superseded, not averaged with or substituted for this archive. The historical NF4 judge and the E1/E2 within-protocol code_rot0 baseline are different experiments and continue to use their respective source files.</w:t>
      </w:r>
    </w:p>
    <w:p>
      <w:r>
        <w:t>Numerical and provenance audit boundary (14 October 2026). The reconciliation ledger records 28 selected table-level M3/M4 values as matching the RAR-designated source at reported precision; independent case-level recomputation for 68 CPU/GPU ZIP-bundle experiment reports agrees for macro-F1, accuracy and case counts. A separate 680-interval audit checks bounds and inclusion of point estimates but does NOT rerun the 2,000-resample cluster bootstrap. This is not an exhaustive audit of all 100 manuscript/supplement tables, all confidence intervals, the E1/E2 and GEE analyses, or every RAR-versus-ZIP binary identity. No result absent from the RAR is superseded or altered.</w:t>
      </w:r>
    </w:p>
    <w:p>
      <w:r>
        <w:rPr>
          <w:b/>
        </w:rPr>
        <w:t>Cross-protocol audit summary (scope-locked). The later FP16 Qwen/Mistral Condition-C RAR reference estimates and the post-hoc E1/E2 sensitivity control estimates belong to separate archived executions. The earlier NF4 Qwen reference is a further distinct protocol. The T1 prompt-construction distinction is no longer unexplained: exact input reconstruction verified all 2,880 protocol-specific historical hashes and token counts, and a single newline in the E1/rot0 rubric was sufficient to reproduce the 720/720 hash differences per judge. Four Qwen and nine Mistral historical predictions differed; their causal dependence on that edit is untested. Consequently, never treat the FP16 reference and E1/rot0 as interchangeable case-paired intervention arms. The T2–T4 archived reference/rot0 matched inputs and predictions are unchanged.</w:t>
      </w:r>
      <w:r/>
    </w:p>
    <w:p>
      <w:r>
        <w:rPr>
          <w:b/>
        </w:rPr>
        <w:t xml:space="preserve">Category coverage and independent human reference. </w:t>
      </w:r>
      <w:r>
        <w:t>For the FP16 target-specific runs, category coverage is indispensable: Mistral T2 grounding-involved recall was 3/178 (1.69%); Qwen T4 emitted no Severity-2 predictions. Neither a nonzero macro-F1 nor a complete status=ok coverage implies balanced category recovery. Since GOLD adjudication used the same locked A1–A3 ratings as inputs, rater-to-GOLD agreement is not an independent external validity estimate.</w:t>
      </w:r>
    </w:p>
    <w:tbl>
      <w:tblPr>
        <w:tblStyle w:val="35"/>
        <w:tblW w:type="auto" w:w="0"/>
        <w:jc w:val="center"/>
        <w:tblLayout w:type="autofit"/>
        <w:tblLook w:firstColumn="1" w:firstRow="1" w:lastColumn="0" w:lastRow="0" w:noHBand="0" w:noVBand="1" w:val="04A0"/>
        <w:tblBorders>
          <w:top w:val="single" w:sz="4" w:color="C7D4E2"/>
          <w:bottom w:val="single" w:sz="4" w:color="C7D4E2"/>
          <w:left w:val="single" w:sz="4" w:color="C7D4E2"/>
          <w:right w:val="single" w:sz="4" w:color="C7D4E2"/>
          <w:insideH w:val="single" w:sz="4" w:color="C7D4E2"/>
          <w:insideV w:val="single" w:sz="3" w:color="C7D4E2"/>
        </w:tblBorders>
      </w:tblPr>
      <w:tblGrid>
        <w:gridCol w:w="1966"/>
        <w:gridCol w:w="1966"/>
        <w:gridCol w:w="1966"/>
        <w:gridCol w:w="1966"/>
        <w:gridCol w:w="1966"/>
      </w:tblGrid>
      <w:tr>
        <w:trPr>
          <w:tblHeader/>
          <w:cantSplit/>
          <w:tblHeader w:val="true"/>
        </w:trPr>
        <w:tc>
          <w:tcPr>
            <w:tcW w:type="dxa" w:w="1966"/>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t>Judge</w:t>
            </w:r>
          </w:p>
        </w:tc>
        <w:tc>
          <w:tcPr>
            <w:tcW w:type="dxa" w:w="1966"/>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t>Target</w:t>
            </w:r>
          </w:p>
        </w:tc>
        <w:tc>
          <w:tcPr>
            <w:tcW w:type="dxa" w:w="1966"/>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t>All macro-F1 [CI]</w:t>
            </w:r>
          </w:p>
        </w:tc>
        <w:tc>
          <w:tcPr>
            <w:tcW w:type="dxa" w:w="1966"/>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t>Exclude M01 [CI]</w:t>
            </w:r>
          </w:p>
        </w:tc>
        <w:tc>
          <w:tcPr>
            <w:tcW w:type="dxa" w:w="1966"/>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t>All QWK</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qwen</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0.768 [0.735, 0.798]</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0.753 [0.718, 0.787]</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qwen</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T2</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0.611 [0.570, 0.650]</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0.614 [0.573, 0.656]</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qwen</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0.563 [0.516, 0.610]</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0.570 [0.525, 0.616]</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qwen</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T4</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0.385 [0.351, 0.418]</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0.373 [0.339, 0.406]</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0.463</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mistral</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0.444 [0.409, 0.478]</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0.418 [0.377, 0.456]</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mistral</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T2</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0.401 [0.378, 0.426]</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0.402 [0.379, 0.429]</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mistral</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0.485 [0.439, 0.531]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0.495 [0.445, 0.544]</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mistral</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T4</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0.441 [0.402, 0.482]</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0.436 [0.396, 0.475]</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0.206</w:t>
            </w:r>
          </w:p>
        </w:tc>
      </w:tr>
    </w:tbl>
    <w:p/>
    <w:p>
      <w:pPr/>
      <w:r>
        <w:t>Table S78. Gold and predicted category counts in the new FP16 judge runs. T1–T3 use codes 0/1; T4 uses severity 1/2/3.</w:t>
      </w:r>
    </w:p>
    <w:p>
      <w:pPr>
        <w:spacing w:after="100"/>
      </w:pPr>
      <w:r>
        <w:t>Reference endogeneity and estimand distinction (S02/S05). D (A1–A3 non-unanimity) and the senior GOLD reference are statistically dependent through the adjudication workflow; conditioning on GOLD-defined T2–T4 eligibility and subsequently adjusting for GOLD category may create selection/collider-like associations even without an external causal relationship between disagreement and judge instability. The crude RD is unconditioned within each eligible target population, class-standardised RD holds GOLD class weights fixed but does not match generator strata, and GEE exp(βD) is conditional on GOLD category plus anonymous generator position. Sign reversal is therefore possible without invalid arithmetic: 14/60 class-standardised RD versus GEE log-OR and 14/60 crude versus standardised RD signs disagree. For Qwen–T2–E1–severity, class-standardised RD≈−0.0080 whereas the conditional OR≈1.8509 (nominal p≈0.0163; Holm p≈0.9462); neither OR nor its sign can be treated as a percentage-point change.</w:t>
      </w:r>
    </w:p>
    <w:tbl>
      <w:tblPr>
        <w:tblStyle w:val="35"/>
        <w:tblW w:type="auto" w:w="0"/>
        <w:jc w:val="center"/>
        <w:tblLayout w:type="autofit"/>
        <w:tblLook w:firstColumn="1" w:firstRow="1" w:lastColumn="0" w:lastRow="0" w:noHBand="0" w:noVBand="1" w:val="04A0"/>
        <w:tblBorders>
          <w:top w:val="single" w:sz="4" w:color="C7D4E2"/>
          <w:bottom w:val="single" w:sz="4" w:color="C7D4E2"/>
          <w:left w:val="single" w:sz="4" w:color="C7D4E2"/>
          <w:right w:val="single" w:sz="4" w:color="C7D4E2"/>
          <w:insideH w:val="single" w:sz="4" w:color="C7D4E2"/>
          <w:insideV w:val="single" w:sz="3" w:color="C7D4E2"/>
        </w:tblBorders>
      </w:tblPr>
      <w:tblGrid>
        <w:gridCol w:w="1966"/>
        <w:gridCol w:w="1966"/>
        <w:gridCol w:w="1966"/>
        <w:gridCol w:w="1966"/>
        <w:gridCol w:w="1966"/>
      </w:tblGrid>
      <w:tr>
        <w:trPr>
          <w:tblHeader/>
          <w:cantSplit/>
          <w:tblHeader w:val="true"/>
        </w:trPr>
        <w:tc>
          <w:tcPr>
            <w:tcW w:type="dxa" w:w="1966"/>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t>Judge</w:t>
            </w:r>
          </w:p>
        </w:tc>
        <w:tc>
          <w:tcPr>
            <w:tcW w:type="dxa" w:w="1966"/>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t>Target</w:t>
            </w:r>
          </w:p>
        </w:tc>
        <w:tc>
          <w:tcPr>
            <w:tcW w:type="dxa" w:w="1966"/>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t>Gold counts</w:t>
            </w:r>
          </w:p>
        </w:tc>
        <w:tc>
          <w:tcPr>
            <w:tcW w:type="dxa" w:w="1966"/>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t>Prediction counts</w:t>
            </w:r>
          </w:p>
        </w:tc>
        <w:tc>
          <w:tcPr>
            <w:tcW w:type="dxa" w:w="1966"/>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t>Truncated</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qwen</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 246, 1: 474</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 376, 1: 344</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qwen</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T2</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 296, 1: 178</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 252, 1: 222</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qwen</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 333, 1: 127</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 352, 1: 108</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qwen</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T4</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1: 66, 2: 196, 3: 212</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1: 177, 2: 0, 3: 297</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mistral</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 246, 1: 474</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 628, 1: 92</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mistral</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T2</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 296, 1: 178</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 469, 1: 5</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mistral</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T3</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 333, 1: 127</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 389, 1: 71</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w:t>
            </w:r>
          </w:p>
        </w:tc>
      </w:tr>
      <w:tr>
        <w:trPr>
          <w:cantSplit/>
        </w:trPr>
        <w:tc>
          <w:tcPr>
            <w:tcW w:type="dxa" w:w="1966"/>
            <w:vAlign w:val="center"/>
            <w:tcMar>
              <w:top w:w="65" w:type="dxa"/>
              <w:start w:w="68" w:type="dxa"/>
              <w:bottom w:w="65" w:type="dxa"/>
              <w:end w:w="68" w:type="dxa"/>
            </w:tcMar>
          </w:tcPr>
          <w:p>
            <w:pPr>
              <w:spacing w:after="0" w:before="0"/>
            </w:pPr>
            <w:r>
              <w:rPr>
                <w:rFonts w:ascii="Times New Roman" w:hAnsi="Times New Roman"/>
                <w:sz w:val="15"/>
              </w:rPr>
              <w:t>mistral</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T4</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1: 66, 2: 196, 3: 212</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1: 68, 2: 294, 3: 112</w:t>
            </w:r>
          </w:p>
        </w:tc>
        <w:tc>
          <w:tcPr>
            <w:tcW w:type="dxa" w:w="1966"/>
            <w:vAlign w:val="center"/>
            <w:tcMar>
              <w:top w:w="65" w:type="dxa"/>
              <w:start w:w="68" w:type="dxa"/>
              <w:bottom w:w="65" w:type="dxa"/>
              <w:end w:w="68" w:type="dxa"/>
            </w:tcMar>
          </w:tcPr>
          <w:p>
            <w:pPr>
              <w:spacing w:after="0" w:before="0"/>
            </w:pPr>
            <w:r>
              <w:rPr>
                <w:rFonts w:ascii="Times New Roman" w:hAnsi="Times New Roman"/>
                <w:sz w:val="15"/>
              </w:rPr>
              <w:t>0</w:t>
            </w:r>
          </w:p>
        </w:tc>
      </w:tr>
    </w:tbl>
    <w:p/>
    <w:p>
      <w:pPr>
        <w:widowControl/>
      </w:pPr>
      <w:r>
        <w:t>The completed FP16 Condition-C reference runs displayed marked category concentration: Mistral predicted semantic_only for 469 of 474 T2 cases and detected only 3/178 grounding-involved cases (1.69% recall), while Qwen assigned no cases to the intermediate T4 severity category. These results describe fixed implementations, not intrinsic differences between model families. Subsequently completed post-hoc E1 (answer-code remapping) and E2 (option-order perturbation) audits on the same frozen eligible cases demonstrate that the predictions are sensitive to controlled decision-format changes; see the main manuscript sensitivity-results section and the supplementary E1/E2 result tables. The perturbations do not isolate a unique causal source, and the selected mappings/orderings do not constitute an exhaustive test of code or formatting invariance. No separate new A/B evidence-condition runs were made for the FP16 implementations.</w:t>
      </w:r>
    </w:p>
    <w:p>
      <w:pPr>
        <w:pStyle w:val="3"/>
        <w:keepNext/>
        <w:keepLines/>
      </w:pPr>
      <w:r>
        <w:rPr>
          <w:color w:val="000000"/>
        </w:rPr>
        <w:t>S9.14 Archived judge perturbation and generator-probe reporting boundary</w:t>
      </w:r>
    </w:p>
    <w:p>
      <w:pPr>
        <w:spacing w:after="100"/>
      </w:pPr>
      <w:r>
        <w:t>Sparse-outcome and multiplicity audit (S03/S06). Counts per fitted GEE reflect one of 20 overlapping perturbations × three disagreement axes, with 120 Prompt_ID clusters. Six of the 60 nominal GEE p-values fall below .05, but one passes Holm and one passes BH q&lt;.05. Separately, 11/60 unadjusted class-standardised RD percentile intervals exclude zero; these are not multiplicity-controlled tests of the GEE coefficient. The Qwen–T1–E2/rot1 fit observes only 15 label changes among 720 cases; its three human-axis models have wide robust Wald OR intervals (primary axis: 2.81, 95% [0.82,9.60]) and should not be described as confirmatory. Convergence of all 60 fits is not proof against sparse-event bias or leverage. A case-frozen 60-fit stability file archives changed-case counts, robust SEs, nominal OR CIs, convergence and comparison labels (HJI_GEE_STABILITY_60.csv).</w:t>
      </w:r>
      <w:r>
        <w:t xml:space="preserve"> Of 60 GEE tests, 6 are nominal p&lt;.05, 1 passes Holm and 1 passes BH; 11 nominal marginal RD intervals exclude zero with no simultaneous coverage. GEE odds ratios and class-standardised RDs are distinct estimands; an external file HJI_GEE_STABILITY_60.csv lists per-fit event counts and robust Wald OR intervals.</w:t>
      </w:r>
    </w:p>
    <w:p>
      <w:pPr>
        <w:widowControl/>
      </w:pPr>
      <w:r>
        <w:t>The historical generator probe, truncation audit, and NF4 rubric/code perturbations remain the archived analyses described in main Sections 6.5 and 6.7 and Tables 15–16. Reference rubric text and code mappings are in Tables S54–S56. The completed FP16 Condition-C runs are separate executions and must not be substituted into the archived A/B/C or NF4 permutation tables. In particular, the old blocked M3 values .553/.675/.701/.601 and the earlier M1 T1 size-matched summary .603 (.011) are superseded in the training-size follow-up by Table S75, rather than pooled with the new executions.</w:t>
      </w:r>
    </w:p>
    <w:p>
      <w:pPr>
        <w:spacing w:after="100"/>
      </w:pPr>
      <w:r>
        <w:t>Audit boundary (S07/S11). All input-hash comparisons and the corrected percentile-interval reanalysis reuse frozen historical predictions rather than freshly rerunning the FP16 model or a six-checkpoint generator. The archived historical CI export is preserved separately from the versioned 20261010 PCG64 corrected values. Historical M0–M2 trainer reconstruction and unpinned source-generation revisions remain documented non-bit-identical rerun limitations. Changes made for the statistical interpretation audit did not alter reference GOLD, fold memberships, model predictions or the underlying 20 judge perturbations.</w:t>
      </w:r>
    </w:p>
    <w:p>
      <w:pPr>
        <w:pStyle w:val="3"/>
      </w:pPr>
      <w:r>
        <w:t>S9.15 Human–judge instability association: class-adjusted sensitivity (post-hoc exploratory)</w:t>
      </w:r>
    </w:p>
    <w:p>
      <w:r>
        <w:t>Reproducibility specification. For each of 20 archived within-case judge comparisons and each of three frozen human-disagreement indicators, a binomial generalised estimating equation (GEE) models judge-prediction change (yes/no) as a function of rater non-unanimity, adjusting for GOLD target class and generator ID. The working correlation structure is independence; inference uses robust cluster-sandwich standard errors by Prompt_ID. This choice reproduces the archived GEE odds ratios and p-values; an exchangeable working correlation is a distinct analysis and must not be substituted silently. The adjusted odds ratio describes a conditional association, whereas the class-standardised risk difference is a marginal percentage-point contrast. Across 60 exploratory tests, Holm correction leaves one association (Mistral T2 E1 boundary; p_adj=.0333); this is not causal or generally transportable.</w:t>
      </w:r>
    </w:p>
    <w:p>
      <w:r>
        <w:t>Raw-case GEE and bootstrap replication check (15 October 2026). A stand-alone verification consumed eleven de-identified paired-case input parts (10,408 rows, 20 matched groups). For each of three human-disagreement indicators, the refit used binomial working-independence GEE with robust Prompt_ID-clustered covariance and GOLD-class plus generator-ID controls. Across 60 keyed comparisons, maximum absolute reference differences were 1.11 × 10⁻¹⁵ for adjusted odds ratios and 1.89 × 10⁻¹⁵ for unadjusted coefficient p-values. The class-standardised risk difference and both bounds of each 2,500-replicate, Prompt_ID-cluster bootstrap percentile interval matched exactly in the recorded comparison. Keys: judge, target, experiment, variant and human_axis; uniqueness and 60/60 paired coverage were checked. The original baseline and historical T1 prompt serialization were not reconstructed.</w:t>
      </w:r>
    </w:p>
    <w:p>
      <w:r>
        <w:t>Using Case_ID-joined, frozen pre-resolution A1–A3 judgments and 20 E1/E2 case-paired variants, we coded separately non-unanimity in primary label, boundary, and severity. Across 60 exploratory judge × target × encoding × human-axis contrasts, we calculated the crude changed-case risk difference and the class-standardised risk difference, where eligible target-class proportions are held fixed. Percentile 95% uncertainty for the latter was recalculated for this revision from the archived case-level observations by resampling Prompt_ID clusters 2,500 times (NumPy PCG64 seed 20261010), retaining all eligible outputs from each sampled prompt; original target-class weights are fixed, absent bootstrap arm×class cells are excluded and supported weights are renormalised. The earlier published-percentile export was not reproducible exactly from the retained reanalysis source at either candidate seed (20261009/20261010), so its interval endpoints are superseded by the explicitly versioned, reproducible correction. GEE coefficients and multiplicity results are unchanged. For interpretive sensitivity only, logistic GEE used Prompt_ID as the cluster, with gold-class and anonymous six-output within-prompt slot covariates (case sequence, not an architecture attribute); its 60 p-values received BH and Holm adjustments. These analyses were conducted after inspecting the E1/E2 results and are not prospectively confirmatory.</w:t>
      </w:r>
    </w:p>
    <w:p>
      <w:pPr>
        <w:spacing w:after="100"/>
      </w:pPr>
      <w:r>
        <w:rPr>
          <w:rFonts w:ascii="Times New Roman" w:hAnsi="Times New Roman"/>
          <w:sz w:val="18"/>
        </w:rPr>
        <w:t>For each comparison, the dependent variable is Cᵢ = 𝟙[ŷᵢ,variant ≠ ŷᵢ,baseline]. The independent variable Dᵢ,d is a binary non-unanimity flag for the chosen pre-resolution human rating axis. The executed model contains frozen GOLD class indicators and anonymous output-position indicators as adjustment covariates, with Prompt_ID-clustered GEE estimation. The fitted association term is βD; exp(βD) denotes the adjusted odds ratio. Risk differences are separately standardised to the fixed target-specific GOLD class distribution, rather than inferred from the GEE coefficient.</w:t>
      </w:r>
    </w:p>
    <w:p>
      <w:pPr>
        <w:spacing w:before="100" w:after="100"/>
        <w:jc w:val="center"/>
      </w:pPr>
      <w:r>
        <w:rPr>
          <w:rFonts w:ascii="Cambria Math" w:hAnsi="Cambria Math"/>
          <w:sz w:val="18"/>
        </w:rPr>
        <w:t>logit Pr(Cᵢ = 1) = β₀ + βD Dᵢ,d + ∑ₖ γₖ 𝟙(yᵢ = k) + ∑g δg 𝟙(slotᵢ = g).  (S15.1)</w:t>
      </w:r>
    </w:p>
    <w:p>
      <w:pPr>
        <w:spacing w:after="100"/>
      </w:pPr>
      <w:r>
        <w:rPr>
          <w:rFonts w:ascii="Times New Roman" w:hAnsi="Times New Roman"/>
          <w:sz w:val="18"/>
        </w:rPr>
        <w:t>For target t and executed encoding v: Sₜᵥ = Nₜ⁻¹ ∑ᵢ Cᵢ, and ΔF1ₜᵥ = macro-F1(ŷᵥ,y) − macro-F1(ŷ₀,y). The class-standardised risk difference compares changed-case rates between D = 1 and D = 0 after weighting each group to the same observed target-specific GOLD class proportions. The 95% percentile intervals for this risk difference use 2,500 Prompt_ID-cluster resamples, whereas the E1/E2 paired sensitivity-result macro-F1 delta intervals use 3,000 resamples; these must not be conflated.</w:t>
      </w:r>
    </w:p>
    <w:p>
      <w:r>
        <w:t>Interpretation. Class standardisation adjusts only measured class mixture; the GEE additionally adjusts generator stratum, but cannot rule out unmeasured difficulty factors, source/task composition, dependence across the 60 overlapping contrasts, or model-specification error. Of the 60 exploratory GEE coefficients, only the Mistral T2/E1 rot1 grounding-boundary term retained a Holm-adjusted p-value below .05 (p = .0333); this fitted-model association should not be interpreted as causal. Crude risk differences vary in sign; most are not robust under multiplicity control. A change indicator represents any decoded-label change, whether it improves or worsens agreement with GOLD. These intervals are conditional on the already executed judge prompts, not repeated calls or retraining.</w:t>
        <w:t xml:space="preserve"> Thus the sole Holm-surviving result is not a claim that pre-resolution disagreement identifies an intrinsic universal uncertainty trait or causes judge instability; it is a narrow within-corpus association involving answer-encoding changes.</w:t>
      </w:r>
    </w:p>
    <w:p>
      <w:pPr/>
      <w:r>
        <w:t>Purpose and provenance of the post-hoc GEE inference-stability audit. After the 60 exploratory GEE analyses had been reported, reviewer-oriented statistical scrutiny identified a risk that large-sample sandwich/Wald summaries could appear more stable than warranted when the binary outcome (an E1/E2 judge-label change) was infrequent. The audit reuses exactly the 10,408 frozen paired case-comparison rows and the 60 pre-existing judge×target×perturbation×human-axis specifications; it adds no annotator ratings, generated outputs, inferential contrasts, or hypothesis family. The motivating question is whether the *existing* coefficient summaries are accompanied by adequate observed change-event support and transparent asymptotic precision, not whether another hypothesis can be declared significant.</w:t>
      </w:r>
    </w:p>
    <w:p>
      <w:pPr/>
      <w:r>
        <w:t>Reproducible implementation and relationship to the earlier estimands. For every model, the response is the case-matched decoded prediction-change indicator; the predictor is one frozen A1–A3 non-unanimity flag, with dummy indicators for target-specific GOLD class and anonymous generator slot. A binomial logit GEE with working-independence correlation and robust Prompt_ID-clustered sandwich standard errors is refitted (up to 120 prompt groups per contrast). For βD, the audit exports SErobust and the descriptive nominal Wald odds-ratio interval [exp(βD−1.96SErobust), exp(βD+1.96SErobust)], total changed-decision count and rate, D=1 and D=0 group denominators and changed numerators, convergence and a non-inferential flag when total changes are fewer than 30. Neither this flag nor these odds-ratio intervals are equivalent to a rare-event correction, leave-one-cluster-out analysis, adjusted/multiplicity-controlled interval, class-standardised marginal risk difference, or its 2,500-resample percentile interval. The 20 paired comparison populations overlap, so the 60 audit rows are correlated, and each event count is repeated across three human axes for the same variant. The original 60 GEE coefficient estimates and Holm/BH adjustments are the only coefficient-testing family; the new file is a precision and support audit, not an additional discovery stage.</w:t>
      </w:r>
    </w:p>
    <w:p>
      <w:pPr/>
      <w:r>
        <w:t>Audit checks and concrete interpretation. All 60 GEE adjusted odds ratios and unadjusted coefficient p-values agree with the corrected archived HJI table to 1×10⁻⁶, and every fit reports numerical convergence. Only the three Qwen–T1–E2/rot1 axis fits fall below the descriptive 30-change threshold, each being based on the identical 15/720 changed decisions. For its primary-disagreement term, adjusted OR=2.806, robust SE(log-OR)=0.627, and nominal Wald 95% OR CI=[0.820,9.599], indicating low precision rather than a reliable effect. The Holm-surviving Mistral–T2–E1/rot1 grounding-boundary fit instead has 65/474 changed decisions, OR=2.550, robust SE(log-OR)=0.271, and nominal Wald 95% OR CI=[1.499,4.338]; its original Holm-adjusted p remains .0333. These robust asymptotic Wald intervals may still be distorted by sparse outcomes, influential clusters, near-separation, or finite-cluster effects, none of which was removed by extracting the additional columns.</w:t>
      </w:r>
    </w:p>
    <w:p>
      <w:pPr>
        <w:jc w:val="left"/>
      </w:pPr>
      <w:r>
        <w:t>Reproducibility files (public main branch: https://github.com/fatmas1982/semantic-coherence-recovery): code/validity/reanalyse_gee_stability_2026.py; data/validity_2026_10/paired_cases_part_01.csv–part_11.csv and HJI_60_CORRECTED_CI_SEED_20261010.csv; results/validity_2026_10/HJI_GEE_STABILITY_60.csv. The executable verifies all 60 archived odds ratios and p-values to 10⁻⁶. No historical predictions or multiplicity-adjusted conclusions are changed. The CPU Colab notebook is at code/validity/P2_E1E2_GEE_CPU_REANALYSIS_COLAB_20261014.ipynb, and the 2026-10-14 successful rerun CSVs are under results/validity_2026_10/colab_success_20261014/ (paired 20, exploratory GEE 60, and both stability source/recomputed 60 files). The latest pass supersedes only the earlier failed Colab attempt; it does not alter source-defined experiments in results.rar.</w:t>
      </w:r>
    </w:p>
    <w:p>
      <w:r>
        <w:t>Independent raw-case rerun and reconciliation (15 October 2026). The provenance-pinned 11 paired-case parts contain 10,408 records distributed across 20 judge × target × E1/E2 variant groups. The refit recovers all 60 binomial working-independence GEE models, adjusted for target-specific GOLD class and anonymous generator slot, with Prompt_ID-clustered robust covariance (60/60 converged). The differences from the versioned reported GEE values are at most 1.110223×10⁻¹⁵ for adjusted OR and 1.887379×10⁻¹⁵ for unadjusted p. Recomputed class-standardised RD and 95% class-adjusted, Prompt_ID-cluster percentile-bootstrap endpoints (PCG64, 2,500 draws per contrast, seed 20261010) differ from archived reference values by at most 9.714452×10⁻¹⁷ for endpoint bounds and 9.367507×10⁻¹⁷ for RD. All 60 keys were matched one-to-one using judge, target, experiment, variant and human_axis. This validates exact numerical reproduction for this archived paired-case analysis at numerical precision, but not historical raw judge calls, coefficient stability under alternate specifications, causal interpretation, or generalisability.</w:t>
      </w:r>
    </w:p>
    <w:p>
      <w:r>
        <w:t>Wald interval reporting boundary. Small differences previously observed in published Wald confidence-limit endpoints (up to approximately 2.17×10⁻⁴) are separate from the near-identical fitted GEE odds ratios and p-values. Their precise implementation-level cause has not been established; do not describe all printed Wald endpoints as exactly reproduced. The directly rerun class-adjusted percentile-bootstrap endpoints in this audit did reproduce to numerical precision.</w:t>
      </w:r>
    </w:p>
    <w:p>
      <w:r>
        <w:t>Data provenance and integrity. Case parts and archived reference CSVs are identified in the following SHA-256 register. Source paths denote the public repository main branch as recorded in the run manifest; SHA-256 hashes identify the files retrieved for this verification. The run-output archive is P2_GEE_RAW_REFIT_AND_BOOTSTRAP_20261015.zip; compare GEE_RAW_REFIT_COMPARISON.csv and BOOTSTRAP_RAW_RECOMPUTATION_COMPARISON.csv for machine-readable tolerances.</w:t>
      </w:r>
    </w:p>
    <w:p>
      <w:pPr>
        <w:pStyle w:val="16"/>
      </w:pPr>
      <w:r>
        <w:t>Table S-Verification. SHA-256 file-level provenance for the independent 60-contrast raw-case GEE/bootstrap rerun.</w:t>
      </w:r>
    </w:p>
    <w:tbl>
      <w:tblPr>
        <w:tblStyle w:val="35"/>
        <w:tblW w:type="auto" w:w="0"/>
        <w:tblLook w:firstColumn="1" w:firstRow="1" w:lastColumn="0" w:lastRow="0" w:noHBand="0" w:noVBand="1" w:val="04A0"/>
      </w:tblPr>
      <w:tblGrid>
        <w:gridCol w:w="3277"/>
        <w:gridCol w:w="3277"/>
        <w:gridCol w:w="3277"/>
      </w:tblGrid>
      <w:tr>
        <w:tc>
          <w:tcPr>
            <w:tcW w:type="dxa" w:w="3277"/>
          </w:tcPr>
          <w:p>
            <w:r>
              <w:t>Input</w:t>
            </w:r>
          </w:p>
        </w:tc>
        <w:tc>
          <w:tcPr>
            <w:tcW w:type="dxa" w:w="3277"/>
          </w:tcPr>
          <w:p>
            <w:r>
              <w:t>SHA-256</w:t>
            </w:r>
          </w:p>
        </w:tc>
        <w:tc>
          <w:tcPr>
            <w:tcW w:type="dxa" w:w="3277"/>
          </w:tcPr>
          <w:p>
            <w:r>
              <w:t>Bytes</w:t>
            </w:r>
          </w:p>
        </w:tc>
      </w:tr>
      <w:tr>
        <w:tc>
          <w:tcPr>
            <w:tcW w:type="dxa" w:w="3277"/>
          </w:tcPr>
          <w:p>
            <w:r>
              <w:rPr>
                <w:sz w:val="14"/>
              </w:rPr>
              <w:t>paired_cases_part_01.csv</w:t>
            </w:r>
          </w:p>
        </w:tc>
        <w:tc>
          <w:tcPr>
            <w:tcW w:type="dxa" w:w="3277"/>
          </w:tcPr>
          <w:p>
            <w:r>
              <w:rPr>
                <w:sz w:val="14"/>
              </w:rPr>
              <w:t>81d72e73bc2461c1f950d657e956253fd24a1d9e6660c879285d69418193d8c8</w:t>
            </w:r>
          </w:p>
        </w:tc>
        <w:tc>
          <w:tcPr>
            <w:tcW w:type="dxa" w:w="3277"/>
          </w:tcPr>
          <w:p>
            <w:r>
              <w:rPr>
                <w:sz w:val="14"/>
              </w:rPr>
              <w:t>122240</w:t>
            </w:r>
          </w:p>
        </w:tc>
      </w:tr>
      <w:tr>
        <w:tc>
          <w:tcPr>
            <w:tcW w:type="dxa" w:w="3277"/>
          </w:tcPr>
          <w:p>
            <w:r>
              <w:rPr>
                <w:sz w:val="14"/>
              </w:rPr>
              <w:t>paired_cases_part_02.csv</w:t>
            </w:r>
          </w:p>
        </w:tc>
        <w:tc>
          <w:tcPr>
            <w:tcW w:type="dxa" w:w="3277"/>
          </w:tcPr>
          <w:p>
            <w:r>
              <w:rPr>
                <w:sz w:val="14"/>
              </w:rPr>
              <w:t>34304727de3976e6d9387a2754f495911c3eff9af4710e7e09cda46ec0c6dea5</w:t>
            </w:r>
          </w:p>
        </w:tc>
        <w:tc>
          <w:tcPr>
            <w:tcW w:type="dxa" w:w="3277"/>
          </w:tcPr>
          <w:p>
            <w:r>
              <w:rPr>
                <w:sz w:val="14"/>
              </w:rPr>
              <w:t>122042</w:t>
            </w:r>
          </w:p>
        </w:tc>
      </w:tr>
      <w:tr>
        <w:tc>
          <w:tcPr>
            <w:tcW w:type="dxa" w:w="3277"/>
          </w:tcPr>
          <w:p>
            <w:r>
              <w:rPr>
                <w:sz w:val="14"/>
              </w:rPr>
              <w:t>paired_cases_part_03.csv</w:t>
            </w:r>
          </w:p>
        </w:tc>
        <w:tc>
          <w:tcPr>
            <w:tcW w:type="dxa" w:w="3277"/>
          </w:tcPr>
          <w:p>
            <w:r>
              <w:rPr>
                <w:sz w:val="14"/>
              </w:rPr>
              <w:t>75a73dc39ec119f36cc676b95037ddef3ab594de26d4984ec348f9bd759d74f1</w:t>
            </w:r>
          </w:p>
        </w:tc>
        <w:tc>
          <w:tcPr>
            <w:tcW w:type="dxa" w:w="3277"/>
          </w:tcPr>
          <w:p>
            <w:r>
              <w:rPr>
                <w:sz w:val="14"/>
              </w:rPr>
              <w:t>122321</w:t>
            </w:r>
          </w:p>
        </w:tc>
      </w:tr>
      <w:tr>
        <w:tc>
          <w:tcPr>
            <w:tcW w:type="dxa" w:w="3277"/>
          </w:tcPr>
          <w:p>
            <w:r>
              <w:rPr>
                <w:sz w:val="14"/>
              </w:rPr>
              <w:t>paired_cases_part_04.csv</w:t>
            </w:r>
          </w:p>
        </w:tc>
        <w:tc>
          <w:tcPr>
            <w:tcW w:type="dxa" w:w="3277"/>
          </w:tcPr>
          <w:p>
            <w:r>
              <w:rPr>
                <w:sz w:val="14"/>
              </w:rPr>
              <w:t>58a20b8b102ecc81c75c2c347df43d199473fdb17c6a3ed7a13eeea8605cc345</w:t>
            </w:r>
          </w:p>
        </w:tc>
        <w:tc>
          <w:tcPr>
            <w:tcW w:type="dxa" w:w="3277"/>
          </w:tcPr>
          <w:p>
            <w:r>
              <w:rPr>
                <w:sz w:val="14"/>
              </w:rPr>
              <w:t>120176</w:t>
            </w:r>
          </w:p>
        </w:tc>
      </w:tr>
      <w:tr>
        <w:tc>
          <w:tcPr>
            <w:tcW w:type="dxa" w:w="3277"/>
          </w:tcPr>
          <w:p>
            <w:r>
              <w:rPr>
                <w:sz w:val="14"/>
              </w:rPr>
              <w:t>paired_cases_part_05.csv</w:t>
            </w:r>
          </w:p>
        </w:tc>
        <w:tc>
          <w:tcPr>
            <w:tcW w:type="dxa" w:w="3277"/>
          </w:tcPr>
          <w:p>
            <w:r>
              <w:rPr>
                <w:sz w:val="14"/>
              </w:rPr>
              <w:t>640cef2f62aab5c28bd4ffb4a58341d117c67de7b4d06ea92e22b2e294085ccc</w:t>
            </w:r>
          </w:p>
        </w:tc>
        <w:tc>
          <w:tcPr>
            <w:tcW w:type="dxa" w:w="3277"/>
          </w:tcPr>
          <w:p>
            <w:r>
              <w:rPr>
                <w:sz w:val="14"/>
              </w:rPr>
              <w:t>117996</w:t>
            </w:r>
          </w:p>
        </w:tc>
      </w:tr>
      <w:tr>
        <w:tc>
          <w:tcPr>
            <w:tcW w:type="dxa" w:w="3277"/>
          </w:tcPr>
          <w:p>
            <w:r>
              <w:rPr>
                <w:sz w:val="14"/>
              </w:rPr>
              <w:t>paired_cases_part_06.csv</w:t>
            </w:r>
          </w:p>
        </w:tc>
        <w:tc>
          <w:tcPr>
            <w:tcW w:type="dxa" w:w="3277"/>
          </w:tcPr>
          <w:p>
            <w:r>
              <w:rPr>
                <w:sz w:val="14"/>
              </w:rPr>
              <w:t>d6385ca3b87a7c9f6f03ccc612d369c54c11e4908a57b7b3b0ee295c52b66d56</w:t>
            </w:r>
          </w:p>
        </w:tc>
        <w:tc>
          <w:tcPr>
            <w:tcW w:type="dxa" w:w="3277"/>
          </w:tcPr>
          <w:p>
            <w:r>
              <w:rPr>
                <w:sz w:val="14"/>
              </w:rPr>
              <w:t>113254</w:t>
            </w:r>
          </w:p>
        </w:tc>
      </w:tr>
      <w:tr>
        <w:tc>
          <w:tcPr>
            <w:tcW w:type="dxa" w:w="3277"/>
          </w:tcPr>
          <w:p>
            <w:r>
              <w:rPr>
                <w:sz w:val="14"/>
              </w:rPr>
              <w:t>paired_cases_part_07.csv</w:t>
            </w:r>
          </w:p>
        </w:tc>
        <w:tc>
          <w:tcPr>
            <w:tcW w:type="dxa" w:w="3277"/>
          </w:tcPr>
          <w:p>
            <w:r>
              <w:rPr>
                <w:sz w:val="14"/>
              </w:rPr>
              <w:t>4c17814b4ae631520f444b3f3203f4d7d727d627ca4ce097631d99510755fd1e</w:t>
            </w:r>
          </w:p>
        </w:tc>
        <w:tc>
          <w:tcPr>
            <w:tcW w:type="dxa" w:w="3277"/>
          </w:tcPr>
          <w:p>
            <w:r>
              <w:rPr>
                <w:sz w:val="14"/>
              </w:rPr>
              <w:t>112074</w:t>
            </w:r>
          </w:p>
        </w:tc>
      </w:tr>
      <w:tr>
        <w:tc>
          <w:tcPr>
            <w:tcW w:type="dxa" w:w="3277"/>
          </w:tcPr>
          <w:p>
            <w:r>
              <w:rPr>
                <w:sz w:val="14"/>
              </w:rPr>
              <w:t>paired_cases_part_08.csv</w:t>
            </w:r>
          </w:p>
        </w:tc>
        <w:tc>
          <w:tcPr>
            <w:tcW w:type="dxa" w:w="3277"/>
          </w:tcPr>
          <w:p>
            <w:r>
              <w:rPr>
                <w:sz w:val="14"/>
              </w:rPr>
              <w:t>8396710dd1f47096bc75b7fa3bca1102340258e2f0b47e283fc3339083a4e4bf</w:t>
            </w:r>
          </w:p>
        </w:tc>
        <w:tc>
          <w:tcPr>
            <w:tcW w:type="dxa" w:w="3277"/>
          </w:tcPr>
          <w:p>
            <w:r>
              <w:rPr>
                <w:sz w:val="14"/>
              </w:rPr>
              <w:t>116831</w:t>
            </w:r>
          </w:p>
        </w:tc>
      </w:tr>
      <w:tr>
        <w:tc>
          <w:tcPr>
            <w:tcW w:type="dxa" w:w="3277"/>
          </w:tcPr>
          <w:p>
            <w:r>
              <w:rPr>
                <w:sz w:val="14"/>
              </w:rPr>
              <w:t>paired_cases_part_09.csv</w:t>
            </w:r>
          </w:p>
        </w:tc>
        <w:tc>
          <w:tcPr>
            <w:tcW w:type="dxa" w:w="3277"/>
          </w:tcPr>
          <w:p>
            <w:r>
              <w:rPr>
                <w:sz w:val="14"/>
              </w:rPr>
              <w:t>7a0c444c9c9d3b8a148d1e0d2ea936ef8a960b5829e44de43a2aee8436007dbc</w:t>
            </w:r>
          </w:p>
        </w:tc>
        <w:tc>
          <w:tcPr>
            <w:tcW w:type="dxa" w:w="3277"/>
          </w:tcPr>
          <w:p>
            <w:r>
              <w:rPr>
                <w:sz w:val="14"/>
              </w:rPr>
              <w:t>116233</w:t>
            </w:r>
          </w:p>
        </w:tc>
      </w:tr>
      <w:tr>
        <w:tc>
          <w:tcPr>
            <w:tcW w:type="dxa" w:w="3277"/>
          </w:tcPr>
          <w:p>
            <w:r>
              <w:rPr>
                <w:sz w:val="14"/>
              </w:rPr>
              <w:t>paired_cases_part_10.csv</w:t>
            </w:r>
          </w:p>
        </w:tc>
        <w:tc>
          <w:tcPr>
            <w:tcW w:type="dxa" w:w="3277"/>
          </w:tcPr>
          <w:p>
            <w:r>
              <w:rPr>
                <w:sz w:val="14"/>
              </w:rPr>
              <w:t>eaa3349184b7b89f50ffbd2659fdffdd36c8f6db62e62334ac7f754a30c99ec3</w:t>
            </w:r>
          </w:p>
        </w:tc>
        <w:tc>
          <w:tcPr>
            <w:tcW w:type="dxa" w:w="3277"/>
          </w:tcPr>
          <w:p>
            <w:r>
              <w:rPr>
                <w:sz w:val="14"/>
              </w:rPr>
              <w:t>116670</w:t>
            </w:r>
          </w:p>
        </w:tc>
      </w:tr>
      <w:tr>
        <w:tc>
          <w:tcPr>
            <w:tcW w:type="dxa" w:w="3277"/>
          </w:tcPr>
          <w:p>
            <w:r>
              <w:rPr>
                <w:sz w:val="14"/>
              </w:rPr>
              <w:t>paired_cases_part_11.csv</w:t>
            </w:r>
          </w:p>
        </w:tc>
        <w:tc>
          <w:tcPr>
            <w:tcW w:type="dxa" w:w="3277"/>
          </w:tcPr>
          <w:p>
            <w:r>
              <w:rPr>
                <w:sz w:val="14"/>
              </w:rPr>
              <w:t>c426e3d80a1c9a09eac3da8cc8c09b870cbd34f48123661f6daf7c7ce32b3c9e</w:t>
            </w:r>
          </w:p>
        </w:tc>
        <w:tc>
          <w:tcPr>
            <w:tcW w:type="dxa" w:w="3277"/>
          </w:tcPr>
          <w:p>
            <w:r>
              <w:rPr>
                <w:sz w:val="14"/>
              </w:rPr>
              <w:t>47686</w:t>
            </w:r>
          </w:p>
        </w:tc>
      </w:tr>
      <w:tr>
        <w:tc>
          <w:tcPr>
            <w:tcW w:type="dxa" w:w="3277"/>
          </w:tcPr>
          <w:p>
            <w:r>
              <w:rPr>
                <w:sz w:val="14"/>
              </w:rPr>
              <w:t>HJI_GEE_STABILITY_60_LATEST_SOURCE.csv</w:t>
            </w:r>
          </w:p>
        </w:tc>
        <w:tc>
          <w:tcPr>
            <w:tcW w:type="dxa" w:w="3277"/>
          </w:tcPr>
          <w:p>
            <w:r>
              <w:rPr>
                <w:sz w:val="14"/>
              </w:rPr>
              <w:t>5b37aecb96eedf35d834093ace11a4db4dca99b92bccfc1a02a7e8d3339a3037</w:t>
            </w:r>
          </w:p>
        </w:tc>
        <w:tc>
          <w:tcPr>
            <w:tcW w:type="dxa" w:w="3277"/>
          </w:tcPr>
          <w:p>
            <w:r>
              <w:rPr>
                <w:sz w:val="14"/>
              </w:rPr>
              <w:t>16656</w:t>
            </w:r>
          </w:p>
        </w:tc>
      </w:tr>
      <w:tr>
        <w:tc>
          <w:tcPr>
            <w:tcW w:type="dxa" w:w="3277"/>
          </w:tcPr>
          <w:p>
            <w:r>
              <w:rPr>
                <w:sz w:val="14"/>
              </w:rPr>
              <w:t>CLASS_ADJUSTED_HUMAN_JUDGE_60_CORRECTED_CI_20261010.csv</w:t>
            </w:r>
          </w:p>
        </w:tc>
        <w:tc>
          <w:tcPr>
            <w:tcW w:type="dxa" w:w="3277"/>
          </w:tcPr>
          <w:p>
            <w:r>
              <w:rPr>
                <w:sz w:val="14"/>
              </w:rPr>
              <w:t>bfef9a31847324257c34063fc972aa8f66f5500187b66e97e01ae5d1167c47eb</w:t>
            </w:r>
          </w:p>
        </w:tc>
        <w:tc>
          <w:tcPr>
            <w:tcW w:type="dxa" w:w="3277"/>
          </w:tcPr>
          <w:p>
            <w:r>
              <w:rPr>
                <w:sz w:val="14"/>
              </w:rPr>
              <w:t>14517</w:t>
            </w:r>
          </w:p>
        </w:tc>
      </w:tr>
    </w:tbl>
    <w:p>
      <w:pPr>
        <w:pStyle w:val="4"/>
      </w:pPr>
      <w:r>
        <w:t>S9.15.1 Post-hoc sparse-event GEE robustness and T1 standardized judge check</w:t>
      </w:r>
    </w:p>
    <w:p>
      <w:r>
        <w:rPr>
          <w:b/>
        </w:rPr>
        <w:t xml:space="preserve">Sparse-event GEE evidence. </w:t>
      </w:r>
      <w:r>
        <w:t>Only Qwen–T1–E2/rot1 meets the descriptive &lt;30-change caution: 15 changes out of 720, repeated across primary, grounding-boundary and severity non-unanimity models. Adjusted ORs are 2.806, 1.773 and 1.623, with nominal robust Wald 95% ranges [0.820,9.599], [0.478,6.580] and [0.359,7.332]. All 360 leave-one-Prompt_ID-out fits succeeded; the primary, boundary and severity adjusted OR ranges were 1.825–3.674, 1.032–2.245 and 0.854–2.125. The sole Holm-significant Mistral–T2–E1/rot1 boundary term involved 65/474 changed predictions and was not one of the sparse-event terms.</w:t>
      </w:r>
    </w:p>
    <w:p>
      <w:r>
        <w:t>Scope and mathematically reconciled Wald endpoints. Raw-case verification concerns the exploratory GEE estimand conditional on the same frozen comparisons; it is not confirmation of causal effects or population transportability. The maximum historical Wald-bound discrepancy (approximately 0.000217) is fully accounted for by using 1.96 for archived confidence intervals versus the exact 0.975 standard-normal critical value (1.959963984540054) in the independent refit. Applying either critical value to the same archived coefficients and robust standard errors reproduces the corresponding 60 sets of published or refitted bounds to numerical precision. This arithmetic reconciliation does not change the fitted odds ratios, p-values or class-adjusted bootstrap intervals. The separate standardized-T1 GPU run is an additional judge test with model-specific chat templates, not a historical FP16 matched-serialization reproduction.</w:t>
      </w:r>
    </w:p>
    <w:p>
      <w:r>
        <w:rPr>
          <w:b/>
        </w:rPr>
        <w:t xml:space="preserve">GOLD alignment and methods. </w:t>
      </w:r>
      <w:r>
        <w:t>This post-hoc robustness analysis reuses original T1 case text from the frozen adjudicated GOLD workbook as evaluation INPUT ONLY; reference labels were added strictly after new model inference to evaluate predictions. The input CSV has 720 unique Case_ID and 120 Prompt_ID. Predictions from the supplied completed GPU run were matched without dropping any case; no model re-inference was performed when computing the present statistics. Scoring is binary forced-choice next-token A/B, not free-text judge deliberation. The source GPU manifest reports 720/720 successful predictions per model. Precision, recall, F1, accuracy, and confusion matrices were recalculated from saved per-case predictions and Any_Failure. No confidence intervals, significance tests, or between-model superiority claims are inferred from this single fixed run.</w:t>
      </w:r>
    </w:p>
    <w:p>
      <w:r>
        <w:rPr>
          <w:b/>
        </w:rPr>
        <w:t xml:space="preserve">Post-hoc judge results. </w:t>
      </w:r>
      <w:r>
        <w:t>In a separately labelled post-hoc T1 robustness exercise, the 720 original case texts were re-scored under a standardized binary rubric by Qwen3-8B and Mistral-7B-Instruct-v0.3. The model-specific chat templates remained different; neither this rerun nor its numerical differences constitutes a controlled architecture comparison or a reproduction of the historic FP16 reference. A=no substantive failure and B=substantive failure; the predictions were joined one-to-one by Case_ID and cross-checked against Prompt_ID in FINAL_GOLD v1.0 (GOLD: 246 no-failure and 474 failure). Both models returned 720/720 complete decisions. Qwen accuracy=0.7514, macro-F1=0.7497, balanced accuracy=0.8063; Mistral accuracy=0.5014, macro-F1=0.4843, balanced accuracy=0.6213. For failure detection, Qwen precision=0.9836 and recall=0.6329 (TP=300, FN=174), whereas Mistral precision=1.0000 and recall=0.2426 (TP=115, FN=359). The models disagree on 196/720 cases (27.22%); this paired disagreement is descriptive and does not establish a causal architecture effect. These figures are distinct from, and do not supersede, any final runs contained within results.rar. The historical T1 FP16-versus-E1/rot0 serialized-input discrepancy remains unresolved because the original complete serialized historical inputs are unavailable.</w:t>
      </w:r>
    </w:p>
    <w:p>
      <w:r>
        <w:rPr>
          <w:b/>
        </w:rPr>
        <w:t>Confusion matrices and bounded comparability. Confusion matrices are ordered [No failure, Failure], with rows=GOLD and columns=predicted. Qwen [[241,5],[174,300]], Mistral [[246,0],[359,115]]. Reference workbook: P2_FINAL_SENIOR_ADJUDICATED_GOLD_v1.0.xlsx, FINAL_GOLD/Any_Failure. GPU source: P2_GPU_T1_STANDARDIZED_ROBUSTNESS(1).zip. The workbook was never sent as GOLD labels to either judge. The standardized T1 rerun does not replace historical FP16 or E1/rot0 predictions or establish causal attribution for their four and nine changed decisions; historical input-hash differences were independently reconstructed and resolved as a source-defined rubric newline.</w:t>
      </w:r>
      <w:r/>
    </w:p>
    <w:p>
      <w:r>
        <w:t>Table S79. Complete 60-contrast exploratory association audit. The adjusted RD is standardised across the fixed target-specific GOLD class distribution with corrected 95% Prompt_ID-cluster bootstrap interval (2,500 draws; PCG64 seed 20261010; reproducible code and case-level CSV). GEE p-values are Holm-adjusted across 60 tests. Full precision, BH q-values, case-level links, and metadata are in the accompanying CSV. The separate HJI_GEE_STABILITY_60.csv reports nominal robust Wald OR intervals and event support for exactly these already reported 60 fits; those additional intervals have no Holm simultaneous-coverage guarantee.</w:t>
      </w:r>
    </w:p>
    <w:p>
      <w:pPr/>
      <w:r>
        <w:t>Versioned statistical correction (12 October 2026). The 60 GEE point estimates, odds ratios, nominal p-values and Holm/BH-adjusted inferences remain numerically unchanged. The previously archived HJI percentile CI endpoints did not match the released resampling implementation at either reported candidate seed. For reproducibility, Table S79 and the accompanying HJI_60_CORRECTED_CI_SEED_20261010.csv replace only these 95% percentile CI endpoints with deterministic recomputation from the frozen 10,408 paired cases; for the single Holm-surviving Mistral–T2–E1/rot1–boundary contrast, the class-standardised RD remains +8.28 percentage points and the recalculated 95% CI is [+2.64,+14.99] percentage points (previous archival export: [+2.18,+14.99]). The revised intervals are conditional on archived judge outputs. This correction does not constitute new judge inference or new human annotation.</w:t>
        <w:t xml:space="preserve"> Throughout the main text and supplement the corrected interval for that contrast is consistently [+0.026, +0.150] on the risk-difference scale; the original historical endpoints are retained here only for provenance.</w:t>
      </w:r>
    </w:p>
    <w:tbl>
      <w:tblPr>
        <w:tblStyle w:val="35"/>
        <w:tblW w:type="auto" w:w="0"/>
        <w:jc w:val="center"/>
        <w:tblLook w:firstColumn="1" w:firstRow="1" w:lastColumn="0" w:lastRow="0" w:noHBand="0" w:noVBand="1" w:val="04A0"/>
        <w:tblBorders>
          <w:top w:val="single" w:sz="4" w:color="C7D4E2"/>
          <w:bottom w:val="single" w:sz="4" w:color="C7D4E2"/>
          <w:left w:val="single" w:sz="4" w:color="C7D4E2"/>
          <w:right w:val="single" w:sz="4" w:color="C7D4E2"/>
          <w:insideH w:val="single" w:sz="4" w:color="C7D4E2"/>
          <w:insideV w:val="single" w:sz="3" w:color="C7D4E2"/>
        </w:tblBorders>
      </w:tblPr>
      <w:tblGrid>
        <w:gridCol w:w="1229"/>
        <w:gridCol w:w="1229"/>
        <w:gridCol w:w="1229"/>
        <w:gridCol w:w="1229"/>
        <w:gridCol w:w="1229"/>
        <w:gridCol w:w="1229"/>
        <w:gridCol w:w="1229"/>
        <w:gridCol w:w="1229"/>
      </w:tblGrid>
      <w:tr>
        <w:trPr>
          <w:cantSplit/>
          <w:tblHeader/>
          <w:tblHeader w:val="true"/>
        </w:trPr>
        <w:tc>
          <w:tcPr>
            <w:tcW w:type="dxa" w:w="1229"/>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4"/>
              </w:rPr>
              <w:t>Judge</w:t>
            </w:r>
          </w:p>
        </w:tc>
        <w:tc>
          <w:tcPr>
            <w:tcW w:type="dxa" w:w="1229"/>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4"/>
              </w:rPr>
              <w:t>Target</w:t>
            </w:r>
          </w:p>
        </w:tc>
        <w:tc>
          <w:tcPr>
            <w:tcW w:type="dxa" w:w="1229"/>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4"/>
              </w:rPr>
              <w:t>Test</w:t>
            </w:r>
          </w:p>
        </w:tc>
        <w:tc>
          <w:tcPr>
            <w:tcW w:type="dxa" w:w="1229"/>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4"/>
              </w:rPr>
              <w:t>Human axis</w:t>
            </w:r>
          </w:p>
        </w:tc>
        <w:tc>
          <w:tcPr>
            <w:tcW w:type="dxa" w:w="1229"/>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4"/>
              </w:rPr>
              <w:t>N dis/ag</w:t>
            </w:r>
          </w:p>
        </w:tc>
        <w:tc>
          <w:tcPr>
            <w:tcW w:type="dxa" w:w="1229"/>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4"/>
              </w:rPr>
              <w:t>Crude RD</w:t>
            </w:r>
          </w:p>
        </w:tc>
        <w:tc>
          <w:tcPr>
            <w:tcW w:type="dxa" w:w="1229"/>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4"/>
              </w:rPr>
              <w:t>Class-adj RD [95% CI]</w:t>
            </w:r>
          </w:p>
        </w:tc>
        <w:tc>
          <w:tcPr>
            <w:tcW w:type="dxa" w:w="1229"/>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4"/>
              </w:rPr>
              <w:t>GEE Holm p</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Mistral</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E1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primary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211/509</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+0.017</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+0.018 [-0.064, +0.097]</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Mistral</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E1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boundary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184/536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+0.052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+0.050 [-0.031, +0.130]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Mistral</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E1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severity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284/436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+0.087</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+0.079 [-0.003, +0.163]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Mistral</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E2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primary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211/509</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-0.000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-0.016 [-0.056, +0.027]</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Mistral</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E2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boundary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184/536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+0.005</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-0.008 [-0.047, +0.034]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Mistral</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E2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severity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284/436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+0.059</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+0.030 [-0.009, +0.072]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Mistral</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E1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primary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178/296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+0.077</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+0.049 [-0.015, +0.116]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Mistral</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E1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boundary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151/323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+0.110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+0.083 [+0.026, +0.150]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0.033</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Mistral</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E1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severity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251/223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-0.012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-0.049 [-0.110, +0.016]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Mistral</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E2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primary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178/296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+0.010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-0.005 [-0.050, +0.036]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Mistral</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E2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boundary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151/323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-0.027</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-0.036 [-0.084, +0.012]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Mistral</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E2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severity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251/223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+0.029</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+0.016 [-0.031, +0.058]</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Mistral</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E1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primary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174/286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+0.084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+0.089 [+0.020, +0.156]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Mistral</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E1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boundary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147/313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+0.100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+0.102 [+0.030, +0.177]</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Mistral</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E1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severity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243/217</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-0.048</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-0.041 [-0.124, +0.037]</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Mistral</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E2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primary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174/286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-0.102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-0.104 [-0.169, -0.038]</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Mistral</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E2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boundary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147/313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-0.105</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-0.106 [-0.172, -0.038]</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Mistral</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E2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severity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243/217</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+0.024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+0.023 [-0.052, +0.103]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Mistral</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E1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primary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178/296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-0.072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-0.026 [-0.099, +0.049]</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Mistral</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E1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boundary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151/323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-0.082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+0.008 [-0.069, +0.083]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Mistral</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E1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severity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251/223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-0.152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-0.008 [-0.084, +0.063]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Mistral</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E1 rot2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primary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178/296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-0.011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+0.018 [-0.059, +0.087]</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Mistral</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E1 rot2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boundary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151/323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+0.003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+0.065 [-0.023, +0.146]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Mistral</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E1 rot2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severity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251/223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-0.139</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-0.056 [-0.133, +0.015]</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Mistral</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E2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primary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178/296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-0.010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-0.031 [-0.130, +0.069]</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Mistral</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E2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boundary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151/323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+0.034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-0.002 [-0.103, +0.104]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Mistral</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E2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severity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251/223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+0.016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-0.055 [-0.148, +0.045]</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Mistral</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E2 rot2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primary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178/296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-0.016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-0.006 [-0.080, +0.072]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Mistral</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E2 rot2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boundary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151/323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+0.002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+0.022 [-0.065, +0.106]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Mistral</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E2 rot2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severity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251/223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+0.007</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+0.034 [-0.038, +0.107]</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Qwen</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E1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primary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211/509</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+0.062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+0.047 [+0.004, +0.091]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Qwen</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E1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boundary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184/536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+0.073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+0.058 [+0.011, +0.108]</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0.911</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Qwen</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E1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severity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284/436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+0.020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+0.003 [-0.038, +0.044]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Qwen</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E2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primary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211/509</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+0.024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+0.027 [-0.010, +0.077]</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Qwen</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E2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boundary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184/536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+0.016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+0.020 [-0.016, +0.069]</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Qwen</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E2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severity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284/436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+0.012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+0.016 [-0.020, +0.065]</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Qwen</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E1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primary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178/296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-0.029</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-0.040 [-0.118, +0.040]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Qwen</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E1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boundary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151/323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+0.032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+0.020 [-0.062, +0.112]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Qwen</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E1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severity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251/223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+0.005</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-0.008 [-0.087, +0.074]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0.946</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Qwen</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E2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primary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178/296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-0.031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-0.029 [-0.094, +0.036]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Qwen</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E2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boundary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151/323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-0.012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-0.016 [-0.085, +0.057]</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Qwen</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E2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severity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251/223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+0.011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+0.019 [-0.045, +0.080]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Qwen</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E1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primary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174/286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+0.014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-0.002 [-0.083, +0.082]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Qwen</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E1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boundary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147/313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+0.039</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+0.035 [-0.053, +0.126]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Qwen</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E1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severity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243/217</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+0.074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+0.051 [-0.035, +0.140]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Qwen</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E2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primary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174/286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-0.116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-0.092 [-0.181, -0.003]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Qwen</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E2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boundary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147/313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-0.113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-0.105 [-0.200, -0.007]</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Qwen</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E2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severity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243/217</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-0.199</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-0.176 [-0.274, -0.078]</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Qwen</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E1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primary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178/296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+0.093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+0.088 [-0.013, +0.183]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Qwen</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E1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boundary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151/323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+0.092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+0.086 [-0.032, +0.195]</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Qwen</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E1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severity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251/223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-0.016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-0.033 [-0.126, +0.056]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Qwen</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E1 rot2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primary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178/296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-0.026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-0.048 [-0.122, +0.021]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Qwen</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E1 rot2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boundary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151/323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+0.037</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+0.019 [-0.064, +0.100]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Qwen</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E1 rot2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severity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251/223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-0.063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-0.106 [-0.190, -0.030]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Qwen</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E2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primary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178/296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+0.003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-0.022 [-0.084, +0.037]</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Qwen</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E2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boundary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151/323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+0.019</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-0.024 [-0.087, +0.035]</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Qwen</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E2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severity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251/223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+0.022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-0.016 [-0.092, +0.052]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Qwen</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E2 rot2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primary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178/296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+0.013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-0.010 [-0.082, +0.057]</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Qwen</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E2 rot2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boundary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151/323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+0.027</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-0.019 [-0.086, +0.047]</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r>
        <w:trPr>
          <w:cantSplit/>
        </w:trPr>
        <w:tc>
          <w:tcPr>
            <w:tcW w:type="dxa" w:w="1229"/>
            <w:vAlign w:val="center"/>
            <w:tcMar>
              <w:top w:w="65" w:type="dxa"/>
              <w:start w:w="68" w:type="dxa"/>
              <w:bottom w:w="65" w:type="dxa"/>
              <w:end w:w="68" w:type="dxa"/>
            </w:tcMar>
          </w:tcPr>
          <w:p>
            <w:pPr>
              <w:spacing w:after="0" w:before="0"/>
            </w:pPr>
            <w:r>
              <w:rPr>
                <w:rFonts w:ascii="Times New Roman" w:hAnsi="Times New Roman"/>
                <w:sz w:val="14"/>
              </w:rPr>
              <w:t>Qwen</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E2 rot2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severity</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251/223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+0.015</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-0.023 [-0.099, +0.045]</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1.000</w:t>
            </w:r>
          </w:p>
        </w:tc>
      </w:tr>
    </w:tbl>
    <w:p>
      <w:pPr>
        <w:pStyle w:val="3"/>
      </w:pPr>
      <w:r>
        <w:t>S9.16 E1/E2 decision-direction and token-score-gap diagnostics</w:t>
      </w:r>
    </w:p>
    <w:p>
      <w:pPr/>
      <w:r>
        <w:t>From archived log probabilities for allowable single-token A/B/C responses, we extracted baseline top-1 minus top-2 score gaps. Gaps are next-token scoring margins, not calibrated probabilities of semantic correctness and not directly comparable between judge protocols. We also separately count changed cases that become correct, become incorrect, or switch between two incorrect severity classes. The diagnostic is descriptive: the E2/T1 contrasts include lower median baseline gaps among changed than stable cases in both judge protocols, but this descriptive pattern is not uniform across targets and does not identify a causal mechanism. Table S80 reports every one of the 20 paired variants.</w:t>
      </w:r>
    </w:p>
    <w:p>
      <w:pPr>
        <w:pStyle w:val="16"/>
      </w:pPr>
      <w:r>
        <w:t>Table S80. Within-protocol paired E1/E2 decision directions and baseline top-two score-gap medians.</w:t>
      </w:r>
    </w:p>
    <w:tbl>
      <w:tblPr>
        <w:tblStyle w:val="35"/>
        <w:tblW w:type="auto" w:w="0"/>
        <w:jc w:val="center"/>
        <w:tblLayout w:type="autofit"/>
        <w:tblLook w:firstColumn="1" w:firstRow="1" w:lastColumn="0" w:lastRow="0" w:noHBand="0" w:noVBand="1" w:val="04A0"/>
        <w:tblBorders>
          <w:top w:val="single" w:sz="4" w:color="C7D4E2"/>
          <w:bottom w:val="single" w:sz="4" w:color="C7D4E2"/>
          <w:left w:val="single" w:sz="4" w:color="C7D4E2"/>
          <w:right w:val="single" w:sz="4" w:color="C7D4E2"/>
          <w:insideH w:val="single" w:sz="4" w:color="C7D4E2"/>
          <w:insideV w:val="single" w:sz="3" w:color="C7D4E2"/>
        </w:tblBorders>
      </w:tblPr>
      <w:tblGrid>
        <w:gridCol w:w="1229"/>
        <w:gridCol w:w="1229"/>
        <w:gridCol w:w="1229"/>
        <w:gridCol w:w="1229"/>
        <w:gridCol w:w="1229"/>
        <w:gridCol w:w="1229"/>
        <w:gridCol w:w="1229"/>
        <w:gridCol w:w="1229"/>
      </w:tblGrid>
      <w:tr>
        <w:trPr>
          <w:tblHeader w:val="true"/>
        </w:trPr>
        <w:tc>
          <w:tcPr>
            <w:tcW w:type="dxa" w:w="1229"/>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4"/>
              </w:rPr>
              <w:t>Judge</w:t>
            </w:r>
          </w:p>
        </w:tc>
        <w:tc>
          <w:tcPr>
            <w:tcW w:type="dxa" w:w="1229"/>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4"/>
              </w:rPr>
              <w:t>Target</w:t>
            </w:r>
          </w:p>
        </w:tc>
        <w:tc>
          <w:tcPr>
            <w:tcW w:type="dxa" w:w="1229"/>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4"/>
              </w:rPr>
              <w:t>Test</w:t>
            </w:r>
          </w:p>
        </w:tc>
        <w:tc>
          <w:tcPr>
            <w:tcW w:type="dxa" w:w="1229"/>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4"/>
              </w:rPr>
              <w:t>Changed</w:t>
            </w:r>
          </w:p>
        </w:tc>
        <w:tc>
          <w:tcPr>
            <w:tcW w:type="dxa" w:w="1229"/>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4"/>
              </w:rPr>
              <w:t>Correct→wrong</w:t>
            </w:r>
          </w:p>
        </w:tc>
        <w:tc>
          <w:tcPr>
            <w:tcW w:type="dxa" w:w="1229"/>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4"/>
              </w:rPr>
              <w:t>Wrong→correct</w:t>
            </w:r>
          </w:p>
        </w:tc>
        <w:tc>
          <w:tcPr>
            <w:tcW w:type="dxa" w:w="1229"/>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4"/>
              </w:rPr>
              <w:t>Wrong→other wrong</w:t>
            </w:r>
          </w:p>
        </w:tc>
        <w:tc>
          <w:tcPr>
            <w:tcW w:type="dxa" w:w="1229"/>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4"/>
              </w:rPr>
              <w:t>Median gap: changed / stable</w:t>
            </w:r>
          </w:p>
        </w:tc>
      </w:tr>
      <w:tr>
        <w:tc>
          <w:tcPr>
            <w:tcW w:type="dxa" w:w="1229"/>
            <w:vAlign w:val="center"/>
            <w:tcMar>
              <w:top w:w="65" w:type="dxa"/>
              <w:start w:w="68" w:type="dxa"/>
              <w:bottom w:w="65" w:type="dxa"/>
              <w:end w:w="68" w:type="dxa"/>
            </w:tcMar>
          </w:tcPr>
          <w:p>
            <w:pPr>
              <w:spacing w:after="0" w:before="0"/>
            </w:pPr>
            <w:r>
              <w:rPr>
                <w:rFonts w:ascii="Times New Roman" w:hAnsi="Times New Roman"/>
                <w:sz w:val="14"/>
              </w:rPr>
              <w:t>Mistral</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E1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469/720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150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319</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10.05 / 13.19</w:t>
            </w:r>
          </w:p>
        </w:tc>
      </w:tr>
      <w:tr>
        <w:tc>
          <w:tcPr>
            <w:tcW w:type="dxa" w:w="1229"/>
            <w:vAlign w:val="center"/>
            <w:tcMar>
              <w:top w:w="65" w:type="dxa"/>
              <w:start w:w="68" w:type="dxa"/>
              <w:bottom w:w="65" w:type="dxa"/>
              <w:end w:w="68" w:type="dxa"/>
            </w:tcMar>
          </w:tcPr>
          <w:p>
            <w:pPr>
              <w:spacing w:after="0" w:before="0"/>
            </w:pPr>
            <w:r>
              <w:rPr>
                <w:rFonts w:ascii="Times New Roman" w:hAnsi="Times New Roman"/>
                <w:sz w:val="14"/>
              </w:rPr>
              <w:t>Mistral</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E2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48/720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45</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1.66 / 11.38</w:t>
            </w:r>
          </w:p>
        </w:tc>
      </w:tr>
      <w:tr>
        <w:tc>
          <w:tcPr>
            <w:tcW w:type="dxa" w:w="1229"/>
            <w:vAlign w:val="center"/>
            <w:tcMar>
              <w:top w:w="65" w:type="dxa"/>
              <w:start w:w="68" w:type="dxa"/>
              <w:bottom w:w="65" w:type="dxa"/>
              <w:end w:w="68" w:type="dxa"/>
            </w:tcMar>
          </w:tcPr>
          <w:p>
            <w:pPr>
              <w:spacing w:after="0" w:before="0"/>
            </w:pPr>
            <w:r>
              <w:rPr>
                <w:rFonts w:ascii="Times New Roman" w:hAnsi="Times New Roman"/>
                <w:sz w:val="14"/>
              </w:rPr>
              <w:t>Mistral</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E1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65/474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44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5.84 / 10.30</w:t>
            </w:r>
          </w:p>
        </w:tc>
      </w:tr>
      <w:tr>
        <w:tc>
          <w:tcPr>
            <w:tcW w:type="dxa" w:w="1229"/>
            <w:vAlign w:val="center"/>
            <w:tcMar>
              <w:top w:w="65" w:type="dxa"/>
              <w:start w:w="68" w:type="dxa"/>
              <w:bottom w:w="65" w:type="dxa"/>
              <w:end w:w="68" w:type="dxa"/>
            </w:tcMar>
          </w:tcPr>
          <w:p>
            <w:pPr>
              <w:spacing w:after="0" w:before="0"/>
            </w:pPr>
            <w:r>
              <w:rPr>
                <w:rFonts w:ascii="Times New Roman" w:hAnsi="Times New Roman"/>
                <w:sz w:val="14"/>
              </w:rPr>
              <w:t>Mistral</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E2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37/474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15</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4.06 / 10.17</w:t>
            </w:r>
          </w:p>
        </w:tc>
      </w:tr>
      <w:tr>
        <w:tc>
          <w:tcPr>
            <w:tcW w:type="dxa" w:w="1229"/>
            <w:vAlign w:val="center"/>
            <w:tcMar>
              <w:top w:w="65" w:type="dxa"/>
              <w:start w:w="68" w:type="dxa"/>
              <w:bottom w:w="65" w:type="dxa"/>
              <w:end w:w="68" w:type="dxa"/>
            </w:tcMar>
          </w:tcPr>
          <w:p>
            <w:pPr>
              <w:spacing w:after="0" w:before="0"/>
            </w:pPr>
            <w:r>
              <w:rPr>
                <w:rFonts w:ascii="Times New Roman" w:hAnsi="Times New Roman"/>
                <w:sz w:val="14"/>
              </w:rPr>
              <w:t>Mistral</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E1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391/460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280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111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5.20 / 2.02</w:t>
            </w:r>
          </w:p>
        </w:tc>
      </w:tr>
      <w:tr>
        <w:tc>
          <w:tcPr>
            <w:tcW w:type="dxa" w:w="1229"/>
            <w:vAlign w:val="center"/>
            <w:tcMar>
              <w:top w:w="65" w:type="dxa"/>
              <w:start w:w="68" w:type="dxa"/>
              <w:bottom w:w="65" w:type="dxa"/>
              <w:end w:w="68" w:type="dxa"/>
            </w:tcMar>
          </w:tcPr>
          <w:p>
            <w:pPr>
              <w:spacing w:after="0" w:before="0"/>
            </w:pPr>
            <w:r>
              <w:rPr>
                <w:rFonts w:ascii="Times New Roman" w:hAnsi="Times New Roman"/>
                <w:sz w:val="14"/>
              </w:rPr>
              <w:t>Mistral</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E2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61/460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15</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46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1.92 / 5.14</w:t>
            </w:r>
          </w:p>
        </w:tc>
      </w:tr>
      <w:tr>
        <w:tc>
          <w:tcPr>
            <w:tcW w:type="dxa" w:w="1229"/>
            <w:vAlign w:val="center"/>
            <w:tcMar>
              <w:top w:w="65" w:type="dxa"/>
              <w:start w:w="68" w:type="dxa"/>
              <w:bottom w:w="65" w:type="dxa"/>
              <w:end w:w="68" w:type="dxa"/>
            </w:tcMar>
          </w:tcPr>
          <w:p>
            <w:pPr>
              <w:spacing w:after="0" w:before="0"/>
            </w:pPr>
            <w:r>
              <w:rPr>
                <w:rFonts w:ascii="Times New Roman" w:hAnsi="Times New Roman"/>
                <w:sz w:val="14"/>
              </w:rPr>
              <w:t>Mistral</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E1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149/474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80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44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25</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1.92 / 3.28</w:t>
            </w:r>
          </w:p>
        </w:tc>
      </w:tr>
      <w:tr>
        <w:tc>
          <w:tcPr>
            <w:tcW w:type="dxa" w:w="1229"/>
            <w:vAlign w:val="center"/>
            <w:tcMar>
              <w:top w:w="65" w:type="dxa"/>
              <w:start w:w="68" w:type="dxa"/>
              <w:bottom w:w="65" w:type="dxa"/>
              <w:end w:w="68" w:type="dxa"/>
            </w:tcMar>
          </w:tcPr>
          <w:p>
            <w:pPr>
              <w:spacing w:after="0" w:before="0"/>
            </w:pPr>
            <w:r>
              <w:rPr>
                <w:rFonts w:ascii="Times New Roman" w:hAnsi="Times New Roman"/>
                <w:sz w:val="14"/>
              </w:rPr>
              <w:t>Mistral</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E1 rot2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131/474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59</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32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40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1.30 / 3.37</w:t>
            </w:r>
          </w:p>
        </w:tc>
      </w:tr>
      <w:tr>
        <w:tc>
          <w:tcPr>
            <w:tcW w:type="dxa" w:w="1229"/>
            <w:vAlign w:val="center"/>
            <w:tcMar>
              <w:top w:w="65" w:type="dxa"/>
              <w:start w:w="68" w:type="dxa"/>
              <w:bottom w:w="65" w:type="dxa"/>
              <w:end w:w="68" w:type="dxa"/>
            </w:tcMar>
          </w:tcPr>
          <w:p>
            <w:pPr>
              <w:spacing w:after="0" w:before="0"/>
            </w:pPr>
            <w:r>
              <w:rPr>
                <w:rFonts w:ascii="Times New Roman" w:hAnsi="Times New Roman"/>
                <w:sz w:val="14"/>
              </w:rPr>
              <w:t>Mistral</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E2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240/474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134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54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52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2.43 / 3.03</w:t>
            </w:r>
          </w:p>
        </w:tc>
      </w:tr>
      <w:tr>
        <w:tc>
          <w:tcPr>
            <w:tcW w:type="dxa" w:w="1229"/>
            <w:vAlign w:val="center"/>
            <w:tcMar>
              <w:top w:w="65" w:type="dxa"/>
              <w:start w:w="68" w:type="dxa"/>
              <w:bottom w:w="65" w:type="dxa"/>
              <w:end w:w="68" w:type="dxa"/>
            </w:tcMar>
          </w:tcPr>
          <w:p>
            <w:pPr>
              <w:spacing w:after="0" w:before="0"/>
            </w:pPr>
            <w:r>
              <w:rPr>
                <w:rFonts w:ascii="Times New Roman" w:hAnsi="Times New Roman"/>
                <w:sz w:val="14"/>
              </w:rPr>
              <w:t>Mistral</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E2 rot2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106/474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43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37</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1.03 / 3.61</w:t>
            </w:r>
          </w:p>
        </w:tc>
      </w:tr>
      <w:tr>
        <w:tc>
          <w:tcPr>
            <w:tcW w:type="dxa" w:w="1229"/>
            <w:vAlign w:val="center"/>
            <w:tcMar>
              <w:top w:w="65" w:type="dxa"/>
              <w:start w:w="68" w:type="dxa"/>
              <w:bottom w:w="65" w:type="dxa"/>
              <w:end w:w="68" w:type="dxa"/>
            </w:tcMar>
          </w:tcPr>
          <w:p>
            <w:pPr>
              <w:spacing w:after="0" w:before="0"/>
            </w:pPr>
            <w:r>
              <w:rPr>
                <w:rFonts w:ascii="Times New Roman" w:hAnsi="Times New Roman"/>
                <w:sz w:val="14"/>
              </w:rPr>
              <w:t>Qwen</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E1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47/720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42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5</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2.75 / 15.84</w:t>
            </w:r>
          </w:p>
        </w:tc>
      </w:tr>
      <w:tr>
        <w:tc>
          <w:tcPr>
            <w:tcW w:type="dxa" w:w="1229"/>
            <w:vAlign w:val="center"/>
            <w:tcMar>
              <w:top w:w="65" w:type="dxa"/>
              <w:start w:w="68" w:type="dxa"/>
              <w:bottom w:w="65" w:type="dxa"/>
              <w:end w:w="68" w:type="dxa"/>
            </w:tcMar>
          </w:tcPr>
          <w:p>
            <w:pPr>
              <w:spacing w:after="0" w:before="0"/>
            </w:pPr>
            <w:r>
              <w:rPr>
                <w:rFonts w:ascii="Times New Roman" w:hAnsi="Times New Roman"/>
                <w:sz w:val="14"/>
              </w:rPr>
              <w:t>Qwen</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E2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15/720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0.97 / 15.31</w:t>
            </w:r>
          </w:p>
        </w:tc>
      </w:tr>
      <w:tr>
        <w:tc>
          <w:tcPr>
            <w:tcW w:type="dxa" w:w="1229"/>
            <w:vAlign w:val="center"/>
            <w:tcMar>
              <w:top w:w="65" w:type="dxa"/>
              <w:start w:w="68" w:type="dxa"/>
              <w:bottom w:w="65" w:type="dxa"/>
              <w:end w:w="68" w:type="dxa"/>
            </w:tcMar>
          </w:tcPr>
          <w:p>
            <w:pPr>
              <w:spacing w:after="0" w:before="0"/>
            </w:pPr>
            <w:r>
              <w:rPr>
                <w:rFonts w:ascii="Times New Roman" w:hAnsi="Times New Roman"/>
                <w:sz w:val="14"/>
              </w:rPr>
              <w:t>Qwen</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E1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131/474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56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75</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2.94 / 7.81</w:t>
            </w:r>
          </w:p>
        </w:tc>
      </w:tr>
      <w:tr>
        <w:tc>
          <w:tcPr>
            <w:tcW w:type="dxa" w:w="1229"/>
            <w:vAlign w:val="center"/>
            <w:tcMar>
              <w:top w:w="65" w:type="dxa"/>
              <w:start w:w="68" w:type="dxa"/>
              <w:bottom w:w="65" w:type="dxa"/>
              <w:end w:w="68" w:type="dxa"/>
            </w:tcMar>
          </w:tcPr>
          <w:p>
            <w:pPr>
              <w:spacing w:after="0" w:before="0"/>
            </w:pPr>
            <w:r>
              <w:rPr>
                <w:rFonts w:ascii="Times New Roman" w:hAnsi="Times New Roman"/>
                <w:sz w:val="14"/>
              </w:rPr>
              <w:t>Qwen</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E2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73/474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31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42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2.50 / 7.03</w:t>
            </w:r>
          </w:p>
        </w:tc>
      </w:tr>
      <w:tr>
        <w:tc>
          <w:tcPr>
            <w:tcW w:type="dxa" w:w="1229"/>
            <w:vAlign w:val="center"/>
            <w:tcMar>
              <w:top w:w="65" w:type="dxa"/>
              <w:start w:w="68" w:type="dxa"/>
              <w:bottom w:w="65" w:type="dxa"/>
              <w:end w:w="68" w:type="dxa"/>
            </w:tcMar>
          </w:tcPr>
          <w:p>
            <w:pPr>
              <w:spacing w:after="0" w:before="0"/>
            </w:pPr>
            <w:r>
              <w:rPr>
                <w:rFonts w:ascii="Times New Roman" w:hAnsi="Times New Roman"/>
                <w:sz w:val="14"/>
              </w:rPr>
              <w:t>Qwen</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E1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160/460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97</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63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2.80 / 2.59</w:t>
            </w:r>
          </w:p>
        </w:tc>
      </w:tr>
      <w:tr>
        <w:tc>
          <w:tcPr>
            <w:tcW w:type="dxa" w:w="1229"/>
            <w:vAlign w:val="center"/>
            <w:tcMar>
              <w:top w:w="65" w:type="dxa"/>
              <w:start w:w="68" w:type="dxa"/>
              <w:bottom w:w="65" w:type="dxa"/>
              <w:end w:w="68" w:type="dxa"/>
            </w:tcMar>
          </w:tcPr>
          <w:p>
            <w:pPr>
              <w:spacing w:after="0" w:before="0"/>
            </w:pPr>
            <w:r>
              <w:rPr>
                <w:rFonts w:ascii="Times New Roman" w:hAnsi="Times New Roman"/>
                <w:sz w:val="14"/>
              </w:rPr>
              <w:t>Qwen</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E2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242/460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184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58</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0</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2.16 / 3.88</w:t>
            </w:r>
          </w:p>
        </w:tc>
      </w:tr>
      <w:tr>
        <w:tc>
          <w:tcPr>
            <w:tcW w:type="dxa" w:w="1229"/>
            <w:vAlign w:val="center"/>
            <w:tcMar>
              <w:top w:w="65" w:type="dxa"/>
              <w:start w:w="68" w:type="dxa"/>
              <w:bottom w:w="65" w:type="dxa"/>
              <w:end w:w="68" w:type="dxa"/>
            </w:tcMar>
          </w:tcPr>
          <w:p>
            <w:pPr>
              <w:spacing w:after="0" w:before="0"/>
            </w:pPr>
            <w:r>
              <w:rPr>
                <w:rFonts w:ascii="Times New Roman" w:hAnsi="Times New Roman"/>
                <w:sz w:val="14"/>
              </w:rPr>
              <w:t>Qwen</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E1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300/474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142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113</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45</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5.67 / 11.98</w:t>
            </w:r>
          </w:p>
        </w:tc>
      </w:tr>
      <w:tr>
        <w:tc>
          <w:tcPr>
            <w:tcW w:type="dxa" w:w="1229"/>
            <w:vAlign w:val="center"/>
            <w:tcMar>
              <w:top w:w="65" w:type="dxa"/>
              <w:start w:w="68" w:type="dxa"/>
              <w:bottom w:w="65" w:type="dxa"/>
              <w:end w:w="68" w:type="dxa"/>
            </w:tcMar>
          </w:tcPr>
          <w:p>
            <w:pPr>
              <w:spacing w:after="0" w:before="0"/>
            </w:pPr>
            <w:r>
              <w:rPr>
                <w:rFonts w:ascii="Times New Roman" w:hAnsi="Times New Roman"/>
                <w:sz w:val="14"/>
              </w:rPr>
              <w:t>Qwen</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E1 rot2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101/474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56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16</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29</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4.37 / 9.28</w:t>
            </w:r>
          </w:p>
        </w:tc>
      </w:tr>
      <w:tr>
        <w:tc>
          <w:tcPr>
            <w:tcW w:type="dxa" w:w="1229"/>
            <w:vAlign w:val="center"/>
            <w:tcMar>
              <w:top w:w="65" w:type="dxa"/>
              <w:start w:w="68" w:type="dxa"/>
              <w:bottom w:w="65" w:type="dxa"/>
              <w:end w:w="68" w:type="dxa"/>
            </w:tcMar>
          </w:tcPr>
          <w:p>
            <w:pPr>
              <w:spacing w:after="0" w:before="0"/>
            </w:pPr>
            <w:r>
              <w:rPr>
                <w:rFonts w:ascii="Times New Roman" w:hAnsi="Times New Roman"/>
                <w:sz w:val="14"/>
              </w:rPr>
              <w:t>Qwen</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E2 rot1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63/474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18</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2.41 / 9.16</w:t>
            </w:r>
          </w:p>
        </w:tc>
      </w:tr>
      <w:tr>
        <w:tc>
          <w:tcPr>
            <w:tcW w:type="dxa" w:w="1229"/>
            <w:vAlign w:val="center"/>
            <w:tcMar>
              <w:top w:w="65" w:type="dxa"/>
              <w:start w:w="68" w:type="dxa"/>
              <w:bottom w:w="65" w:type="dxa"/>
              <w:end w:w="68" w:type="dxa"/>
            </w:tcMar>
          </w:tcPr>
          <w:p>
            <w:pPr>
              <w:spacing w:after="0" w:before="0"/>
            </w:pPr>
            <w:r>
              <w:rPr>
                <w:rFonts w:ascii="Times New Roman" w:hAnsi="Times New Roman"/>
                <w:sz w:val="14"/>
              </w:rPr>
              <w:t>Qwen</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T4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E2 rot2</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76/474</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18</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21</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37</w:t>
            </w:r>
          </w:p>
        </w:tc>
        <w:tc>
          <w:tcPr>
            <w:tcW w:type="dxa" w:w="1229"/>
            <w:vAlign w:val="center"/>
            <w:tcMar>
              <w:top w:w="65" w:type="dxa"/>
              <w:start w:w="68" w:type="dxa"/>
              <w:bottom w:w="65" w:type="dxa"/>
              <w:end w:w="68" w:type="dxa"/>
            </w:tcMar>
          </w:tcPr>
          <w:p>
            <w:pPr>
              <w:spacing w:after="0" w:before="0"/>
            </w:pPr>
            <w:r>
              <w:rPr>
                <w:rFonts w:ascii="Times New Roman" w:hAnsi="Times New Roman"/>
                <w:sz w:val="14"/>
              </w:rPr>
              <w:t>3.06 / 9.28</w:t>
            </w:r>
          </w:p>
        </w:tc>
      </w:tr>
    </w:tbl>
    <w:p>
      <w:pPr/>
      <w:r>
        <w:t>Governance and reproducibility release index (12 October 2026). The current experiment-to-artifact matrix has 33 rows: 31 inherited rows retargeted to the present main 18 and supplementary 82 captions, plus authoritative corrected HJI CIs and a separate GEE precision-audit row. A 100-table caption inventory associates the manuscript draft hashes with each table and describes which source may be checked; a reference pointing to an existing table is not itself proof that the experiment was freshly executed. The dedicated M3 dual-blocking reconciliation documents the archived source ZIP, all 24 nested GPU run prediction hashes and the four targets, with earlier scores preserved as superseded. Access permissions and public-release rights are assessed independently of computational test success.</w:t>
      </w:r>
    </w:p>
    <w:p>
      <w:pPr/>
      <w:r>
        <w:t>The study owner confirmed permission for public dissemination of project data and information on 15 October 2026; there is no pending owner-level release authorization. Separate requirements for journal submission (including coauthor sign-off on exact document versions and CRediT statements where applicable), competent institutional ethics/exemption evidence, third-party rights, and masked review must still be checked under the relevant policies. The post-study construct clarifications, E1/E2 format perturbations, corrected HJI bootstrap, and GEE precision audit are post-hoc and must not be recharacterized as preregistered.</w:t>
      </w:r>
    </w:p>
    <w:p>
      <w:pPr/>
      <w:r>
        <w:t>Reproducibility levels. Level A: deterministic re-calculation of archived metrics from immutable predictions; Level B: faithful reconstruction of each serialized instruction, role/template boundary and admissible code-token ID; Level C: fresh inference under version-pinned tokenizer/checkpoint/hardware/precision settings; Level D: re-execution of case-paired bootstrap and 60 exploratory GEE tests. Available archived metrics support Level A for checked outputs; selected statistical reanalyses support parts of Level D. Levels B and C, and full table-by-table D for every manuscript claim, are not certified by the available archived files. No “fully reproducible” claim should imply these unverified levels.</w:t>
      </w:r>
    </w:p>
    <w:p w14:paraId="3FB33458">
      <w:pPr>
        <w:pStyle w:val="2"/>
        <w:keepNext/>
        <w:keepLines/>
      </w:pPr>
      <w:r>
        <w:rPr>
          <w:color w:val="000000"/>
        </w:rPr>
        <w:t>S10. Publication Metadata and Research-Integrity Statements</w:t>
      </w:r>
    </w:p>
    <w:p>
      <w:pPr>
        <w:keepNext/>
      </w:pPr>
      <w:r>
        <w:t>Table S81. Output retention and final-reference audit.</w:t>
      </w:r>
    </w:p>
    <w:tbl>
      <w:tblPr>
        <w:tblStyle w:val="35"/>
        <w:tblW w:type="auto" w:w="0"/>
        <w:tblLayout w:type="autofit"/>
        <w:tblLook w:firstColumn="1" w:firstRow="1" w:lastColumn="0" w:lastRow="0" w:noHBand="0" w:noVBand="1" w:val="04A0"/>
        <w:jc w:val="center"/>
        <w:tblBorders>
          <w:top w:val="single" w:sz="4" w:color="C7D4E2"/>
          <w:bottom w:val="single" w:sz="4" w:color="C7D4E2"/>
          <w:left w:val="single" w:sz="4" w:color="C7D4E2"/>
          <w:right w:val="single" w:sz="4" w:color="C7D4E2"/>
          <w:insideH w:val="single" w:sz="4" w:color="C7D4E2"/>
          <w:insideV w:val="single" w:sz="3" w:color="C7D4E2"/>
        </w:tblBorders>
      </w:tblPr>
      <w:tblGrid>
        <w:gridCol w:w="4916"/>
        <w:gridCol w:w="4916"/>
      </w:tblGrid>
      <w:tr>
        <w:trPr>
          <w:tblHeader w:val="true"/>
          <w:cantSplit w:val="true"/>
          <w:tblHeader w:val="true"/>
        </w:trPr>
        <w:tc>
          <w:tcPr>
            <w:tcW w:type="dxa" w:w="4916"/>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6"/>
              </w:rPr>
              <w:t>Stage</w:t>
            </w:r>
          </w:p>
        </w:tc>
        <w:tc>
          <w:tcPr>
            <w:tcW w:type="dxa" w:w="4916"/>
            <w:vAlign w:val="center"/>
            <w:tcMar>
              <w:top w:w="65" w:type="dxa"/>
              <w:start w:w="68" w:type="dxa"/>
              <w:bottom w:w="65" w:type="dxa"/>
              <w:end w:w="68" w:type="dxa"/>
            </w:tcMar>
            <w:shd w:val="clear" w:color="auto" w:fill="E8F0F8"/>
          </w:tcPr>
          <w:p>
            <w:pPr>
              <w:spacing w:after="0" w:before="0" w:line="240" w:lineRule="auto"/>
              <w:jc w:val="center"/>
            </w:pPr>
            <w:r>
              <w:rPr>
                <w:rFonts w:ascii="Times New Roman" w:hAnsi="Times New Roman" w:eastAsia="Times New Roman" w:cs="Times New Roman"/>
                <w:b/>
                <w:color w:val="1E364D"/>
                <w:sz w:val="16"/>
              </w:rPr>
              <w:t>Count</w:t>
            </w:r>
          </w:p>
        </w:tc>
      </w:tr>
      <w:tr>
        <w:trPr>
          <w:cantSplit w:val="true"/>
        </w:trPr>
        <w:tc>
          <w:tcPr>
            <w:tcW w:type="dxa" w:w="491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Generated outputs</w:t>
            </w:r>
          </w:p>
        </w:tc>
        <w:tc>
          <w:tcPr>
            <w:tcW w:type="dxa" w:w="491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720</w:t>
            </w:r>
          </w:p>
        </w:tc>
      </w:tr>
      <w:tr>
        <w:trPr>
          <w:cantSplit w:val="true"/>
        </w:trPr>
        <w:tc>
          <w:tcPr>
            <w:tcW w:type="dxa" w:w="491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Excluded before analysis</w:t>
            </w:r>
          </w:p>
        </w:tc>
        <w:tc>
          <w:tcPr>
            <w:tcW w:type="dxa" w:w="491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0</w:t>
            </w:r>
          </w:p>
        </w:tc>
      </w:tr>
      <w:tr>
        <w:trPr>
          <w:cantSplit w:val="true"/>
        </w:trPr>
        <w:tc>
          <w:tcPr>
            <w:tcW w:type="dxa" w:w="491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Excluded after results inspection</w:t>
            </w:r>
          </w:p>
        </w:tc>
        <w:tc>
          <w:tcPr>
            <w:tcW w:type="dxa" w:w="491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0</w:t>
            </w:r>
          </w:p>
        </w:tc>
      </w:tr>
      <w:tr>
        <w:trPr>
          <w:cantSplit w:val="true"/>
        </w:trPr>
        <w:tc>
          <w:tcPr>
            <w:tcW w:type="dxa" w:w="491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Analysed outputs</w:t>
            </w:r>
          </w:p>
        </w:tc>
        <w:tc>
          <w:tcPr>
            <w:tcW w:type="dxa" w:w="491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720</w:t>
            </w:r>
          </w:p>
        </w:tc>
      </w:tr>
      <w:tr>
        <w:trPr>
          <w:cantSplit w:val="true"/>
        </w:trPr>
        <w:tc>
          <w:tcPr>
            <w:tcW w:type="dxa" w:w="491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FINAL GOLD v1.0 reference rows</w:t>
            </w:r>
          </w:p>
        </w:tc>
        <w:tc>
          <w:tcPr>
            <w:tcW w:type="dxa" w:w="4916"/>
            <w:vAlign w:val="center"/>
            <w:tcMar>
              <w:top w:w="65" w:type="dxa"/>
              <w:start w:w="68" w:type="dxa"/>
              <w:bottom w:w="65" w:type="dxa"/>
              <w:end w:w="68" w:type="dxa"/>
            </w:tcMar>
          </w:tcPr>
          <w:p>
            <w:pPr>
              <w:spacing w:after="0" w:before="0" w:line="240" w:lineRule="auto"/>
            </w:pPr>
            <w:r>
              <w:rPr>
                <w:rFonts w:ascii="Times New Roman" w:hAnsi="Times New Roman" w:eastAsia="Times New Roman" w:cs="Times New Roman"/>
                <w:b w:val="0"/>
                <w:sz w:val="16"/>
              </w:rPr>
              <w:t>720</w:t>
            </w:r>
          </w:p>
        </w:tc>
      </w:tr>
    </w:tbl>
    <w:p>
      <w:pPr>
        <w:widowControl/>
      </w:pPr>
      <w:r>
        <w:t>The release preserves anonymized A1–A4 study-role labels and provenance for human ratings and adjudication. The owner has authorized publication of project information and data; such authorization does not by itself establish privacy screening or third-party rights over all source spreadsheets and historical free-text comments. No unrestricted third-party licensing claim is made for unverified material. Because the public repository identifies contributors, editorial blinded-review requirements must be verified before supplying reviewer-facing links. The historical 394-case summary is stale workflow metadata; the case-level senior queue is 423, and no label was changed by this governance edit.</w:t>
      </w:r>
    </w:p>
    <w:p>
      <w:pPr>
        <w:widowControl/>
      </w:pPr>
      <w:r>
        <w:t>Exactness is analysis-stage specific. The 86-fragment base release has a separate verified transport hash, but does not authenticate later validity files or submission DOCXs automatically. Separate GitHub-runner checks verify 60 exploratory GEE associations, all 60 corrected HJI class-standardised bootstrap confidence intervals, and all four M3 dual-blocked macro-F1 values from retained predictions. The subsequent T1 historical-input audit verified all 2,880 protocol-specific SHA-256 hashes and all 2,880 token counts, identifying a rubric newline that accounts for the reference-versus-rot0 hash divergence. This is not a fresh replay of generator checkpoints, M0–M2 training or M3/M4 GPU inference; effects on historical judge decisions are not causally attributable from hashes alone. A final release DOI, tag or coauthor approval is not claimed.</w:t>
      </w:r>
    </w:p>
    <w:p>
      <w:pPr>
        <w:widowControl/>
      </w:pPr>
      <w:r>
        <w:t>This non-clinical study analyses model-generated text and professional annotations. The research team reports that formal ethics review was not required and that four annotation/adjudication coauthors agreed to research use and de-identified release. The study owner additionally provided explicit authorization for public dissemination of project data and information on 15 October 2026. Independent review of any applicable institutional determination, other contributor documentation, and rights or identifying details in free-text source notes is not established by that authorization. AI assistance supported candidate prompt drafting, limited analysis-code drafting, evidence organization, language editing and internal consistency work; it did not replace human ratings or senior resolution.</w:t>
      </w:r>
    </w:p>
    <w:p>
      <w:pPr>
        <w:pStyle w:val="2"/>
        <w:keepNext/>
        <w:keepLines/>
      </w:pPr>
      <w:r>
        <w:rPr>
          <w:color w:val="000000"/>
        </w:rPr>
        <w:t>S11. Companion-study and novelty-positioning boundary</w:t>
      </w:r>
    </w:p>
    <w:p>
      <w:pPr>
        <w:widowControl/>
      </w:pPr>
      <w:r>
        <w:t>This section documents the separation between the companion conceptual study and the present empirical measurement/recovery study for anonymous peer review. The predefined code-family structure and conceptual semantic-only / hallucination-only / overlap boundary are treated as prior study infrastructure developed in a separate companion conceptual manuscript. The present article does not claim those constructs as newly invented here. Its empirical contribution begins with three independently completed pre-resolution human-rating records under that predefined codebook to a distinct 720-output corpus, frozen pre-resolution reliability, separate senior adjudication, hierarchical computational recovery, and validity analyses. No annotation/adjudication decision from the companion 400-output AI-assisted pilot enters the present human reference layer. Closest published precedents for components of this pipeline include MISMATCH (Murugesan et al., 2023), Gaps or Hallucinations? (Hou et al., 2024), QASemConsistency (Cattan et al., 2026), human-disagreement analyses such as J. Lu et al. (2025), and LLM-judge vulnerability audits such as Thakur et al. (2025); the main manuscript positions the contribution as their methodological integration and stress-testing rather than component-level priority.</w:t>
      </w:r>
    </w:p>
    <w:p>
      <w:pPr/>
      <w:r>
        <w:t>Explicit component-level non-overlap. The companion conceptual manuscript supplies the predefined code-family/boundary framework and any conceptual taxonomy-development claims. This empirical study contributes a distinct 720-output reference construction and frozen A1–A3 measurement record, a separated senior-adjudication layer, conditional M0–M4 recovery results and within-case protocol sensitivity. Prior published SNaC, MISMATCH, Gaps or Hallucinations?, QASemConsistency and option-symbol-bias work already cover substantial components of fine-grained errors, detection/localisation and judge response-format sensitivity; none is treated as a controlled experimental comparator to this dataset. The novelty claim here is limited to the integrated study design and resulting within-corpus interpretive constraints. The companion 400-output pilot is not a source of current GOLD case labels. Coauthor/publication overlap and the companion manuscript's bibliographic status still require editorial verification.</w:t>
      </w:r>
    </w:p>
    <w:p>
      <w:pPr/>
      <w:r>
        <w:t>Novelty evidence-to-claim ledger. Claim A (reference provenance) is supported by locked A1–A3 pre-resolution records, agreement estimators and the distinct adjudication/re-review trail (S2, S4–S8); it does not independently validate the adjudicator. Claim B (conditional recoverability) is supported by GOLD-eligible M0–M4 case-level predictions, input-condition contrasts and prompt/generator split diagnostics (S9); it does not imply unseen-generator or new-domain performance. Claim C (protocol sensitivity) is supported by post-hoc E1/E2 paired predictions, recorded variants and HJI/GEE exploratory statistics (S9.12–S9.16); it does not establish a new bias mechanism, causal dependence on human uncertainty or prospective replication. A table/figure's claim must be traced to these sources before being included in any final novelty argument.</w:t>
      </w:r>
    </w:p>
    <w:p>
      <w:r>
        <w:t>Table S82. Companion-study and present-study non-overlap and claim boundary.</w:t>
      </w:r>
    </w:p>
    <w:tbl>
      <w:tblPr>
        <w:tblStyle w:val="35"/>
        <w:tblW w:type="auto" w:w="0"/>
        <w:jc w:val="center"/>
        <w:tblLayout w:type="autofit"/>
        <w:tblLook w:firstColumn="1" w:firstRow="1" w:lastColumn="0" w:lastRow="0" w:noHBand="0" w:noVBand="1" w:val="04A0"/>
        <w:tblBorders>
          <w:top w:val="single" w:sz="4" w:color="C7D4E2"/>
          <w:bottom w:val="single" w:sz="4" w:color="C7D4E2"/>
          <w:left w:val="single" w:sz="4" w:color="C7D4E2"/>
          <w:right w:val="single" w:sz="4" w:color="C7D4E2"/>
          <w:insideH w:val="single" w:sz="4" w:color="C7D4E2"/>
          <w:insideV w:val="single" w:sz="3" w:color="C7D4E2"/>
        </w:tblBorders>
      </w:tblPr>
      <w:tblGrid>
        <w:gridCol w:w="2458"/>
        <w:gridCol w:w="2458"/>
        <w:gridCol w:w="2458"/>
        <w:gridCol w:w="2458"/>
      </w:tblGrid>
      <w:tr>
        <w:trPr>
          <w:tblHeader w:val="true"/>
          <w:cantSplit/>
          <w:tblHeader w:val="true"/>
        </w:trPr>
        <w:tc>
          <w:tcPr>
            <w:tcW w:type="dxa" w:w="2458"/>
            <w:vAlign w:val="center"/>
            <w:tcMar>
              <w:top w:w="65" w:type="dxa"/>
              <w:start w:w="68" w:type="dxa"/>
              <w:bottom w:w="65" w:type="dxa"/>
              <w:end w:w="68" w:type="dxa"/>
            </w:tcMar>
            <w:shd w:val="clear" w:color="auto" w:fill="E8F0F8"/>
          </w:tcPr>
          <w:p>
            <w:pPr>
              <w:spacing w:before="0" w:after="0" w:line="216" w:lineRule="auto"/>
            </w:pPr>
            <w:r>
              <w:rPr>
                <w:rFonts w:ascii="Times New Roman" w:hAnsi="Times New Roman" w:eastAsia="Times New Roman"/>
                <w:b/>
                <w:color w:val="1E364D"/>
                <w:sz w:val="16"/>
              </w:rPr>
              <w:t>Dimension</w:t>
            </w:r>
          </w:p>
        </w:tc>
        <w:tc>
          <w:tcPr>
            <w:tcW w:type="dxa" w:w="2458"/>
            <w:vAlign w:val="center"/>
            <w:tcMar>
              <w:top w:w="65" w:type="dxa"/>
              <w:start w:w="68" w:type="dxa"/>
              <w:bottom w:w="65" w:type="dxa"/>
              <w:end w:w="68" w:type="dxa"/>
            </w:tcMar>
            <w:shd w:val="clear" w:color="auto" w:fill="E8F0F8"/>
          </w:tcPr>
          <w:p>
            <w:pPr>
              <w:spacing w:before="0" w:after="0" w:line="216" w:lineRule="auto"/>
            </w:pPr>
            <w:r>
              <w:rPr>
                <w:rFonts w:ascii="Times New Roman" w:hAnsi="Times New Roman" w:eastAsia="Times New Roman"/>
                <w:b/>
                <w:color w:val="1E364D"/>
                <w:sz w:val="16"/>
              </w:rPr>
              <w:t>Companion conceptual work</w:t>
            </w:r>
          </w:p>
        </w:tc>
        <w:tc>
          <w:tcPr>
            <w:tcW w:type="dxa" w:w="2458"/>
            <w:vAlign w:val="center"/>
            <w:tcMar>
              <w:top w:w="65" w:type="dxa"/>
              <w:start w:w="68" w:type="dxa"/>
              <w:bottom w:w="65" w:type="dxa"/>
              <w:end w:w="68" w:type="dxa"/>
            </w:tcMar>
            <w:shd w:val="clear" w:color="auto" w:fill="E8F0F8"/>
          </w:tcPr>
          <w:p>
            <w:pPr>
              <w:spacing w:before="0" w:after="0" w:line="216" w:lineRule="auto"/>
            </w:pPr>
            <w:r>
              <w:rPr>
                <w:rFonts w:ascii="Times New Roman" w:hAnsi="Times New Roman" w:eastAsia="Times New Roman"/>
                <w:b/>
                <w:color w:val="1E364D"/>
                <w:sz w:val="16"/>
              </w:rPr>
              <w:t>Present IP&amp;M validation/recovery study</w:t>
            </w:r>
          </w:p>
        </w:tc>
        <w:tc>
          <w:tcPr>
            <w:tcW w:type="dxa" w:w="2458"/>
            <w:vAlign w:val="center"/>
            <w:tcMar>
              <w:top w:w="65" w:type="dxa"/>
              <w:start w:w="68" w:type="dxa"/>
              <w:bottom w:w="65" w:type="dxa"/>
              <w:end w:w="68" w:type="dxa"/>
            </w:tcMar>
            <w:shd w:val="clear" w:color="auto" w:fill="E8F0F8"/>
          </w:tcPr>
          <w:p>
            <w:pPr>
              <w:spacing w:before="0" w:after="0" w:line="216" w:lineRule="auto"/>
            </w:pPr>
            <w:r>
              <w:rPr>
                <w:rFonts w:ascii="Times New Roman" w:hAnsi="Times New Roman" w:eastAsia="Times New Roman"/>
                <w:b/>
                <w:color w:val="1E364D"/>
                <w:sz w:val="16"/>
              </w:rPr>
              <w:t>Claim boundary / safeguard</w:t>
            </w:r>
          </w:p>
        </w:tc>
      </w:tr>
      <w:tr>
        <w:trPr>
          <w:cantSplit w:val="true"/>
        </w:trPr>
        <w:tc>
          <w:tcPr>
            <w:tcW w:type="dxa" w:w="2458"/>
            <w:vAlign w:val="center"/>
            <w:tcMar>
              <w:top w:w="65" w:type="dxa"/>
              <w:start w:w="68" w:type="dxa"/>
              <w:bottom w:w="65" w:type="dxa"/>
              <w:end w:w="68" w:type="dxa"/>
            </w:tcMar>
          </w:tcPr>
          <w:p>
            <w:pPr>
              <w:spacing w:before="0" w:after="0" w:line="216" w:lineRule="auto"/>
            </w:pPr>
            <w:r>
              <w:rPr>
                <w:rFonts w:ascii="Times New Roman" w:hAnsi="Times New Roman" w:eastAsia="Times New Roman"/>
                <w:sz w:val="16"/>
              </w:rPr>
              <w:t>Primary scientific object</w:t>
            </w:r>
          </w:p>
        </w:tc>
        <w:tc>
          <w:tcPr>
            <w:tcW w:type="dxa" w:w="2458"/>
            <w:vAlign w:val="center"/>
            <w:tcMar>
              <w:top w:w="65" w:type="dxa"/>
              <w:start w:w="68" w:type="dxa"/>
              <w:bottom w:w="65" w:type="dxa"/>
              <w:end w:w="68" w:type="dxa"/>
            </w:tcMar>
          </w:tcPr>
          <w:p>
            <w:pPr>
              <w:spacing w:before="0" w:after="0" w:line="216" w:lineRule="auto"/>
            </w:pPr>
            <w:r>
              <w:rPr>
                <w:rFonts w:ascii="Times New Roman" w:hAnsi="Times New Roman" w:eastAsia="Times New Roman"/>
                <w:sz w:val="16"/>
              </w:rPr>
              <w:t>SLM-oriented taxonomy and conceptual boundary between semantic-coherence failure and hallucination; small applicability pilot.</w:t>
            </w:r>
          </w:p>
        </w:tc>
        <w:tc>
          <w:tcPr>
            <w:tcW w:type="dxa" w:w="2458"/>
            <w:vAlign w:val="center"/>
            <w:tcMar>
              <w:top w:w="65" w:type="dxa"/>
              <w:start w:w="68" w:type="dxa"/>
              <w:bottom w:w="65" w:type="dxa"/>
              <w:end w:w="68" w:type="dxa"/>
            </w:tcMar>
          </w:tcPr>
          <w:p>
            <w:pPr>
              <w:spacing w:before="0" w:after="0" w:line="216" w:lineRule="auto"/>
            </w:pPr>
            <w:r>
              <w:rPr>
                <w:rFonts w:ascii="Times New Roman" w:hAnsi="Times New Roman" w:eastAsia="Times New Roman"/>
                <w:sz w:val="16"/>
              </w:rPr>
              <w:t>Reliability and validity of human operationalisation plus computational recovery of selected adjudicated targets.</w:t>
            </w:r>
          </w:p>
        </w:tc>
        <w:tc>
          <w:tcPr>
            <w:tcW w:type="dxa" w:w="2458"/>
            <w:vAlign w:val="center"/>
            <w:tcMar>
              <w:top w:w="65" w:type="dxa"/>
              <w:start w:w="68" w:type="dxa"/>
              <w:bottom w:w="65" w:type="dxa"/>
              <w:end w:w="68" w:type="dxa"/>
            </w:tcMar>
          </w:tcPr>
          <w:p>
            <w:pPr>
              <w:spacing w:before="0" w:after="0" w:line="216" w:lineRule="auto"/>
            </w:pPr>
            <w:r>
              <w:rPr>
                <w:rFonts w:ascii="Times New Roman" w:hAnsi="Times New Roman" w:eastAsia="Times New Roman"/>
                <w:sz w:val="16"/>
              </w:rPr>
              <w:t>Present article does not claim taxonomy novelty.</w:t>
            </w:r>
          </w:p>
        </w:tc>
      </w:tr>
      <w:tr>
        <w:trPr>
          <w:cantSplit w:val="true"/>
        </w:trPr>
        <w:tc>
          <w:tcPr>
            <w:tcW w:type="dxa" w:w="2458"/>
            <w:vAlign w:val="center"/>
            <w:tcMar>
              <w:top w:w="65" w:type="dxa"/>
              <w:start w:w="68" w:type="dxa"/>
              <w:bottom w:w="65" w:type="dxa"/>
              <w:end w:w="68" w:type="dxa"/>
            </w:tcMar>
          </w:tcPr>
          <w:p>
            <w:pPr>
              <w:spacing w:before="0" w:after="0" w:line="216" w:lineRule="auto"/>
            </w:pPr>
            <w:r>
              <w:rPr>
                <w:rFonts w:ascii="Times New Roman" w:hAnsi="Times New Roman" w:eastAsia="Times New Roman"/>
                <w:sz w:val="16"/>
              </w:rPr>
              <w:t>Empirical corpus</w:t>
            </w:r>
          </w:p>
        </w:tc>
        <w:tc>
          <w:tcPr>
            <w:tcW w:type="dxa" w:w="2458"/>
            <w:vAlign w:val="center"/>
            <w:tcMar>
              <w:top w:w="65" w:type="dxa"/>
              <w:start w:w="68" w:type="dxa"/>
              <w:bottom w:w="65" w:type="dxa"/>
              <w:end w:w="68" w:type="dxa"/>
            </w:tcMar>
          </w:tcPr>
          <w:p>
            <w:pPr>
              <w:spacing w:before="0" w:after="0" w:line="216" w:lineRule="auto"/>
            </w:pPr>
            <w:r>
              <w:rPr>
                <w:rFonts w:ascii="Times New Roman" w:hAnsi="Times New Roman" w:eastAsia="Times New Roman"/>
                <w:sz w:val="16"/>
              </w:rPr>
              <w:t>Separate 400-output pilot.</w:t>
            </w:r>
          </w:p>
        </w:tc>
        <w:tc>
          <w:tcPr>
            <w:tcW w:type="dxa" w:w="2458"/>
            <w:vAlign w:val="center"/>
            <w:tcMar>
              <w:top w:w="65" w:type="dxa"/>
              <w:start w:w="68" w:type="dxa"/>
              <w:bottom w:w="65" w:type="dxa"/>
              <w:end w:w="68" w:type="dxa"/>
            </w:tcMar>
          </w:tcPr>
          <w:p>
            <w:pPr>
              <w:spacing w:before="0" w:after="0" w:line="216" w:lineRule="auto"/>
            </w:pPr>
            <w:r>
              <w:rPr>
                <w:rFonts w:ascii="Times New Roman" w:hAnsi="Times New Roman" w:eastAsia="Times New Roman"/>
                <w:sz w:val="16"/>
              </w:rPr>
              <w:t>720 outputs = 120 prompt clusters × 6 generating checkpoints.</w:t>
            </w:r>
          </w:p>
        </w:tc>
        <w:tc>
          <w:tcPr>
            <w:tcW w:type="dxa" w:w="2458"/>
            <w:vAlign w:val="center"/>
            <w:tcMar>
              <w:top w:w="65" w:type="dxa"/>
              <w:start w:w="68" w:type="dxa"/>
              <w:bottom w:w="65" w:type="dxa"/>
              <w:end w:w="68" w:type="dxa"/>
            </w:tcMar>
          </w:tcPr>
          <w:p>
            <w:pPr>
              <w:spacing w:before="0" w:after="0" w:line="216" w:lineRule="auto"/>
            </w:pPr>
            <w:r>
              <w:rPr>
                <w:rFonts w:ascii="Times New Roman" w:hAnsi="Times New Roman" w:eastAsia="Times New Roman"/>
                <w:sz w:val="16"/>
              </w:rPr>
              <w:t>No prompt, source passage, output, annotation, or case identifier is imported across empirical corpora.</w:t>
            </w:r>
          </w:p>
        </w:tc>
      </w:tr>
      <w:tr>
        <w:trPr>
          <w:cantSplit w:val="true"/>
        </w:trPr>
        <w:tc>
          <w:tcPr>
            <w:tcW w:type="dxa" w:w="2458"/>
            <w:vAlign w:val="center"/>
            <w:tcMar>
              <w:top w:w="65" w:type="dxa"/>
              <w:start w:w="68" w:type="dxa"/>
              <w:bottom w:w="65" w:type="dxa"/>
              <w:end w:w="68" w:type="dxa"/>
            </w:tcMar>
          </w:tcPr>
          <w:p>
            <w:pPr>
              <w:spacing w:before="0" w:after="0" w:line="216" w:lineRule="auto"/>
            </w:pPr>
            <w:r>
              <w:rPr>
                <w:rFonts w:ascii="Times New Roman" w:hAnsi="Times New Roman" w:eastAsia="Times New Roman"/>
                <w:sz w:val="16"/>
              </w:rPr>
              <w:t>Annotation/reference process</w:t>
            </w:r>
          </w:p>
        </w:tc>
        <w:tc>
          <w:tcPr>
            <w:tcW w:type="dxa" w:w="2458"/>
            <w:vAlign w:val="center"/>
            <w:tcMar>
              <w:top w:w="65" w:type="dxa"/>
              <w:start w:w="68" w:type="dxa"/>
              <w:bottom w:w="65" w:type="dxa"/>
              <w:end w:w="68" w:type="dxa"/>
            </w:tcMar>
          </w:tcPr>
          <w:p>
            <w:pPr>
              <w:spacing w:before="0" w:after="0" w:line="216" w:lineRule="auto"/>
            </w:pPr>
            <w:r>
              <w:rPr>
                <w:rFonts w:ascii="Times New Roman" w:hAnsi="Times New Roman" w:eastAsia="Times New Roman"/>
                <w:sz w:val="16"/>
              </w:rPr>
              <w:t>AI-assisted two-pass pilot annotation with adjudication as an applicability diagnostic.</w:t>
            </w:r>
          </w:p>
        </w:tc>
        <w:tc>
          <w:tcPr>
            <w:tcW w:type="dxa" w:w="2458"/>
            <w:vAlign w:val="center"/>
            <w:tcMar>
              <w:top w:w="65" w:type="dxa"/>
              <w:start w:w="68" w:type="dxa"/>
              <w:bottom w:w="65" w:type="dxa"/>
              <w:end w:w="68" w:type="dxa"/>
            </w:tcMar>
          </w:tcPr>
          <w:p>
            <w:pPr>
              <w:spacing w:before="0" w:after="0" w:line="216" w:lineRule="auto"/>
            </w:pPr>
            <w:r>
              <w:rPr>
                <w:rFonts w:ascii="Times New Roman" w:hAnsi="Times New Roman" w:eastAsia="Times New Roman"/>
                <w:sz w:val="16"/>
              </w:rPr>
              <w:t>Three independent human annotators; 2,160 locked pre-resolution ratings; senior human adjudication; targeted same-adjudicator re-review; deterministic consistency normalisation.</w:t>
            </w:r>
          </w:p>
        </w:tc>
        <w:tc>
          <w:tcPr>
            <w:tcW w:type="dxa" w:w="2458"/>
            <w:vAlign w:val="center"/>
            <w:tcMar>
              <w:top w:w="65" w:type="dxa"/>
              <w:start w:w="68" w:type="dxa"/>
              <w:bottom w:w="65" w:type="dxa"/>
              <w:end w:w="68" w:type="dxa"/>
            </w:tcMar>
          </w:tcPr>
          <w:p>
            <w:pPr>
              <w:spacing w:before="0" w:after="0" w:line="216" w:lineRule="auto"/>
            </w:pPr>
            <w:r>
              <w:rPr>
                <w:rFonts w:ascii="Times New Roman" w:hAnsi="Times New Roman" w:eastAsia="Times New Roman"/>
                <w:sz w:val="16"/>
              </w:rPr>
              <w:t>Companion pilot decisions do not enter A1–A3 reliability or FINAL GOLD v1.0.</w:t>
            </w:r>
          </w:p>
        </w:tc>
      </w:tr>
      <w:tr>
        <w:trPr>
          <w:cantSplit w:val="true"/>
        </w:trPr>
        <w:tc>
          <w:tcPr>
            <w:tcW w:type="dxa" w:w="2458"/>
            <w:vAlign w:val="center"/>
            <w:tcMar>
              <w:top w:w="65" w:type="dxa"/>
              <w:start w:w="68" w:type="dxa"/>
              <w:bottom w:w="65" w:type="dxa"/>
              <w:end w:w="68" w:type="dxa"/>
            </w:tcMar>
          </w:tcPr>
          <w:p>
            <w:pPr>
              <w:spacing w:before="0" w:after="0" w:line="216" w:lineRule="auto"/>
            </w:pPr>
            <w:r>
              <w:rPr>
                <w:rFonts w:ascii="Times New Roman" w:hAnsi="Times New Roman" w:eastAsia="Times New Roman"/>
                <w:sz w:val="16"/>
              </w:rPr>
              <w:t>Primary inference</w:t>
            </w:r>
          </w:p>
        </w:tc>
        <w:tc>
          <w:tcPr>
            <w:tcW w:type="dxa" w:w="2458"/>
            <w:vAlign w:val="center"/>
            <w:tcMar>
              <w:top w:w="65" w:type="dxa"/>
              <w:start w:w="68" w:type="dxa"/>
              <w:bottom w:w="65" w:type="dxa"/>
              <w:end w:w="68" w:type="dxa"/>
            </w:tcMar>
          </w:tcPr>
          <w:p>
            <w:pPr>
              <w:spacing w:before="0" w:after="0" w:line="216" w:lineRule="auto"/>
            </w:pPr>
            <w:r>
              <w:rPr>
                <w:rFonts w:ascii="Times New Roman" w:hAnsi="Times New Roman" w:eastAsia="Times New Roman"/>
                <w:sz w:val="16"/>
              </w:rPr>
              <w:t>Can the taxonomy/boundary rules be applied in a limited pilot?</w:t>
            </w:r>
          </w:p>
        </w:tc>
        <w:tc>
          <w:tcPr>
            <w:tcW w:type="dxa" w:w="2458"/>
            <w:vAlign w:val="center"/>
            <w:tcMar>
              <w:top w:w="65" w:type="dxa"/>
              <w:start w:w="68" w:type="dxa"/>
              <w:bottom w:w="65" w:type="dxa"/>
              <w:end w:w="68" w:type="dxa"/>
            </w:tcMar>
          </w:tcPr>
          <w:p>
            <w:pPr>
              <w:spacing w:before="0" w:after="0" w:line="216" w:lineRule="auto"/>
            </w:pPr>
            <w:r>
              <w:rPr>
                <w:rFonts w:ascii="Times New Roman" w:hAnsi="Times New Roman" w:eastAsia="Times New Roman"/>
                <w:sz w:val="16"/>
              </w:rPr>
              <w:t>How reproducibly are predefined distinctions applied, how recoverable are adjudicated targets, and how valid are evaluator conclusions under shortcut/evidence/protocol checks?</w:t>
            </w:r>
          </w:p>
        </w:tc>
        <w:tc>
          <w:tcPr>
            <w:tcW w:type="dxa" w:w="2458"/>
            <w:vAlign w:val="center"/>
            <w:tcMar>
              <w:top w:w="65" w:type="dxa"/>
              <w:start w:w="68" w:type="dxa"/>
              <w:bottom w:w="65" w:type="dxa"/>
              <w:end w:w="68" w:type="dxa"/>
            </w:tcMar>
          </w:tcPr>
          <w:p>
            <w:pPr>
              <w:spacing w:before="0" w:after="0" w:line="216" w:lineRule="auto"/>
            </w:pPr>
            <w:r>
              <w:rPr>
                <w:rFonts w:ascii="Times New Roman" w:hAnsi="Times New Roman" w:eastAsia="Times New Roman"/>
                <w:sz w:val="16"/>
              </w:rPr>
              <w:t>Distinct research questions and estimands.</w:t>
            </w:r>
          </w:p>
        </w:tc>
      </w:tr>
      <w:tr>
        <w:trPr>
          <w:cantSplit w:val="true"/>
        </w:trPr>
        <w:tc>
          <w:tcPr>
            <w:tcW w:type="dxa" w:w="2458"/>
            <w:vAlign w:val="center"/>
            <w:tcMar>
              <w:top w:w="65" w:type="dxa"/>
              <w:start w:w="68" w:type="dxa"/>
              <w:bottom w:w="65" w:type="dxa"/>
              <w:end w:w="68" w:type="dxa"/>
            </w:tcMar>
          </w:tcPr>
          <w:p>
            <w:pPr>
              <w:spacing w:before="0" w:after="0" w:line="216" w:lineRule="auto"/>
            </w:pPr>
            <w:r>
              <w:rPr>
                <w:rFonts w:ascii="Times New Roman" w:hAnsi="Times New Roman" w:eastAsia="Times New Roman"/>
                <w:sz w:val="16"/>
              </w:rPr>
              <w:t>Automatic evaluation</w:t>
            </w:r>
          </w:p>
        </w:tc>
        <w:tc>
          <w:tcPr>
            <w:tcW w:type="dxa" w:w="2458"/>
            <w:vAlign w:val="center"/>
            <w:tcMar>
              <w:top w:w="65" w:type="dxa"/>
              <w:start w:w="68" w:type="dxa"/>
              <w:bottom w:w="65" w:type="dxa"/>
              <w:end w:w="68" w:type="dxa"/>
            </w:tcMar>
          </w:tcPr>
          <w:p>
            <w:pPr>
              <w:spacing w:before="0" w:after="0" w:line="216" w:lineRule="auto"/>
            </w:pPr>
            <w:r>
              <w:rPr>
                <w:rFonts w:ascii="Times New Roman" w:hAnsi="Times New Roman" w:eastAsia="Times New Roman"/>
                <w:sz w:val="16"/>
              </w:rPr>
              <w:t>Not a benchmark-level multi-model recovery study.</w:t>
            </w:r>
          </w:p>
        </w:tc>
        <w:tc>
          <w:tcPr>
            <w:tcW w:type="dxa" w:w="2458"/>
            <w:vAlign w:val="center"/>
            <w:tcMar>
              <w:top w:w="65" w:type="dxa"/>
              <w:start w:w="68" w:type="dxa"/>
              <w:bottom w:w="65" w:type="dxa"/>
              <w:end w:w="68" w:type="dxa"/>
            </w:tcMar>
          </w:tcPr>
          <w:p>
            <w:pPr>
              <w:spacing w:before="0" w:after="0" w:line="216" w:lineRule="auto"/>
            </w:pPr>
            <w:r>
              <w:rPr>
                <w:rFonts w:ascii="Times New Roman" w:hAnsi="Times New Roman" w:eastAsia="Times New Roman"/>
                <w:sz w:val="16"/>
              </w:rPr>
              <w:t>M0–M4 hierarchy with grouped folds, evidence conditions, contextual encoder, zero-shot LLM judge, and sensitivity analyses.</w:t>
            </w:r>
          </w:p>
        </w:tc>
        <w:tc>
          <w:tcPr>
            <w:tcW w:type="dxa" w:w="2458"/>
            <w:vAlign w:val="center"/>
            <w:tcMar>
              <w:top w:w="65" w:type="dxa"/>
              <w:start w:w="68" w:type="dxa"/>
              <w:bottom w:w="65" w:type="dxa"/>
              <w:end w:w="68" w:type="dxa"/>
            </w:tcMar>
          </w:tcPr>
          <w:p>
            <w:pPr>
              <w:spacing w:before="0" w:after="0" w:line="216" w:lineRule="auto"/>
            </w:pPr>
            <w:r>
              <w:rPr>
                <w:rFonts w:ascii="Times New Roman" w:hAnsi="Times New Roman" w:eastAsia="Times New Roman"/>
                <w:sz w:val="16"/>
              </w:rPr>
              <w:t>Novelty claim is integrative/staged rather than first detector or first judge.</w:t>
            </w:r>
          </w:p>
        </w:tc>
      </w:tr>
    </w:tbl>
    <w:p>
      <w:pPr>
        <w:pStyle w:val="2"/>
      </w:pPr>
      <w:r>
        <w:t>S12. Deferred independent validation: scope and future work (not performed)</w:t>
      </w:r>
    </w:p>
    <w:p>
      <w:r>
        <w:t>No external dataset, newly generated cases, new independent annotator panel, or additional reference ratings were collected for this revision. The observed study comprises 720 previously collected outputs from 120 prompts and six checkpoints, with the documented internal recovery, robustness, and judge-protocol analyses. Accordingly, cross-population generalisation and independent criterion validation of FINAL GOLD v1.0 cannot be inferred from the present results.</w:t>
      </w:r>
    </w:p>
    <w:p>
      <w:r>
        <w:t>Future research, outside this submission, may (a) test transportability on newly sourced, independently annotated prompts and texts, with labels, evidence conditions, model weights, and analysis rules fixed before inspection; and (b) commission an independent blind reannotation audit of the existing adjudicated reference. The latter would be a within-corpus replication and must not be called external validation. Neither activity has been conducted, and no estimates, labels, additional samples, or sample-size-based power claims from such work enter the reported results.</w:t>
      </w:r>
    </w:p>
    <w:p>
      <w:pPr/>
      <w:r>
        <w:t>Proposed controlled follow-up (not conducted). Freeze all case content, answer-code mappings, model/tokenizer revisions, chat-template application, weights, precision, compute settings and logits extraction. Independently reconstruct both prompt variants and confirm their hash and token-ID lineage before inference. For every Case_ID, run identical-prompt replicates and minimal-newline paired interventions; archive logits/margins and decoded predictions. Estimate switch rates, change in GOLD-relative correctness, and paired changes in macro-F1 with Prompt_ID-cluster uncertainty, and prespecify treatment of low-margin and ambiguity subsets plus multiplicity adjustment. This would test a narrow formatting-sensitivity hypothesis and cannot be inferred from the historical two-run audit alone.</w:t>
      </w:r>
    </w:p>
    <w:p>
      <w:pPr>
        <w:pStyle w:val="3"/>
      </w:pPr>
      <w:r>
        <w:t>Supplemental provenance: rerun from supplied Colab result ZIP (2026-10-14)</w:t>
      </w:r>
    </w:p>
    <w:p>
      <w:r>
        <w:t>The supplied archive contains E1E2_PAIRED_RECOMPUTED.csv (20 contrasts) and CLASS_ADJUSTED_HUMAN_JUDGE_60_CORRECTED_CI_20261010.csv (60 GEE tests), together with return-code-zero primary execution logs and source/input SHA256 manifests. E1/E2 used 3000 bootstrap repetitions, seed 20261009; GEE class-adjusted bootstrap used 2500 repetitions, seed 20261010.</w:t>
      </w:r>
    </w:p>
    <w:p>
      <w:r>
        <w:t>The subsequent CPU Colab rerun completed the independent 60-fit GEE stability/reference-matching audit successfully (RETURN CODE 0; all 60 contrasts refitted; minimum changed-decision events=15; three low-event contrasts had fewer than 30 changes). It reproduced the archived adjusted odds ratios and nominal p-values within the specified numerical tolerance. The preceding failed attempt resulted solely from an absent reference CSV in that earlier runtime; it is superseded by this successful rerun. The 20 E1/E2 paired analyses and 60 exploratory GEE fits remain independently sourced and unchanged; none of these results supersede the experiment-specific final runs in results.rar. The latest CSVs were deposited individually on the GitHub main branch (commit 744b0aa690c692228c1462641130d022603c7c7f); this provenance statement does not assert that the original ZIP binary or raw RAR were uploaded.</w:t>
      </w:r>
    </w:p>
    <w:p>
      <w:r>
        <w:t>The user-specified results.rar authority applies exclusively to matching runs inside that archive; the E1/E2 and GEE numbers here remain governed by their independent source. This new subsection supplements audit provenance; it does not change pre-existing study estimates.</w:t>
      </w:r>
    </w:p>
    <w:tbl>
      <w:tblPr>
        <w:tblStyle w:val="35"/>
        <w:tblW w:type="auto" w:w="0"/>
        <w:tblLook w:firstColumn="1" w:firstRow="1" w:lastColumn="0" w:lastRow="0" w:noHBand="0" w:noVBand="1" w:val="04A0"/>
      </w:tblPr>
      <w:tblGrid>
        <w:gridCol w:w="1229"/>
        <w:gridCol w:w="1229"/>
        <w:gridCol w:w="1229"/>
        <w:gridCol w:w="1229"/>
        <w:gridCol w:w="1229"/>
        <w:gridCol w:w="1229"/>
        <w:gridCol w:w="1229"/>
        <w:gridCol w:w="1229"/>
      </w:tblGrid>
      <w:tr>
        <w:tc>
          <w:tcPr>
            <w:tcW w:type="dxa" w:w="1229"/>
          </w:tcPr>
          <w:p>
            <w:r>
              <w:t>Judge</w:t>
            </w:r>
          </w:p>
        </w:tc>
        <w:tc>
          <w:tcPr>
            <w:tcW w:type="dxa" w:w="1229"/>
          </w:tcPr>
          <w:p>
            <w:r>
              <w:t>TN</w:t>
            </w:r>
          </w:p>
        </w:tc>
        <w:tc>
          <w:tcPr>
            <w:tcW w:type="dxa" w:w="1229"/>
          </w:tcPr>
          <w:p>
            <w:r>
              <w:t>FP</w:t>
            </w:r>
          </w:p>
        </w:tc>
        <w:tc>
          <w:tcPr>
            <w:tcW w:type="dxa" w:w="1229"/>
          </w:tcPr>
          <w:p>
            <w:r>
              <w:t>FN</w:t>
            </w:r>
          </w:p>
        </w:tc>
        <w:tc>
          <w:tcPr>
            <w:tcW w:type="dxa" w:w="1229"/>
          </w:tcPr>
          <w:p>
            <w:r>
              <w:t>TP</w:t>
            </w:r>
          </w:p>
        </w:tc>
        <w:tc>
          <w:tcPr>
            <w:tcW w:type="dxa" w:w="1229"/>
          </w:tcPr>
          <w:p>
            <w:r>
              <w:t>Accuracy</w:t>
            </w:r>
          </w:p>
        </w:tc>
        <w:tc>
          <w:tcPr>
            <w:tcW w:type="dxa" w:w="1229"/>
          </w:tcPr>
          <w:p>
            <w:r>
              <w:t>Macro-F1</w:t>
            </w:r>
          </w:p>
        </w:tc>
        <w:tc>
          <w:tcPr>
            <w:tcW w:type="dxa" w:w="1229"/>
          </w:tcPr>
          <w:p>
            <w:r>
              <w:t>Failure recall</w:t>
            </w:r>
          </w:p>
        </w:tc>
      </w:tr>
      <w:tr>
        <w:tc>
          <w:tcPr>
            <w:tcW w:type="dxa" w:w="1229"/>
          </w:tcPr>
          <w:p>
            <w:r>
              <w:t>Qwen3-8B</w:t>
            </w:r>
          </w:p>
        </w:tc>
        <w:tc>
          <w:tcPr>
            <w:tcW w:type="dxa" w:w="1229"/>
          </w:tcPr>
          <w:p>
            <w:r>
              <w:t>241</w:t>
            </w:r>
          </w:p>
        </w:tc>
        <w:tc>
          <w:tcPr>
            <w:tcW w:type="dxa" w:w="1229"/>
          </w:tcPr>
          <w:p>
            <w:r>
              <w:t>5</w:t>
            </w:r>
          </w:p>
        </w:tc>
        <w:tc>
          <w:tcPr>
            <w:tcW w:type="dxa" w:w="1229"/>
          </w:tcPr>
          <w:p>
            <w:r>
              <w:t>174</w:t>
            </w:r>
          </w:p>
        </w:tc>
        <w:tc>
          <w:tcPr>
            <w:tcW w:type="dxa" w:w="1229"/>
          </w:tcPr>
          <w:p>
            <w:r>
              <w:t>300</w:t>
            </w:r>
          </w:p>
        </w:tc>
        <w:tc>
          <w:tcPr>
            <w:tcW w:type="dxa" w:w="1229"/>
          </w:tcPr>
          <w:p>
            <w:r>
              <w:t>0.751389</w:t>
            </w:r>
          </w:p>
        </w:tc>
        <w:tc>
          <w:tcPr>
            <w:tcW w:type="dxa" w:w="1229"/>
          </w:tcPr>
          <w:p>
            <w:r>
              <w:t>0.749708</w:t>
            </w:r>
          </w:p>
        </w:tc>
        <w:tc>
          <w:tcPr>
            <w:tcW w:type="dxa" w:w="1229"/>
          </w:tcPr>
          <w:p>
            <w:r>
              <w:t>0.632911</w:t>
            </w:r>
          </w:p>
        </w:tc>
      </w:tr>
      <w:tr>
        <w:tc>
          <w:tcPr>
            <w:tcW w:type="dxa" w:w="1229"/>
          </w:tcPr>
          <w:p>
            <w:r>
              <w:t>Mistral-7B</w:t>
            </w:r>
          </w:p>
        </w:tc>
        <w:tc>
          <w:tcPr>
            <w:tcW w:type="dxa" w:w="1229"/>
          </w:tcPr>
          <w:p>
            <w:r>
              <w:t>246</w:t>
            </w:r>
          </w:p>
        </w:tc>
        <w:tc>
          <w:tcPr>
            <w:tcW w:type="dxa" w:w="1229"/>
          </w:tcPr>
          <w:p>
            <w:r>
              <w:t>0</w:t>
            </w:r>
          </w:p>
        </w:tc>
        <w:tc>
          <w:tcPr>
            <w:tcW w:type="dxa" w:w="1229"/>
          </w:tcPr>
          <w:p>
            <w:r>
              <w:t>359</w:t>
            </w:r>
          </w:p>
        </w:tc>
        <w:tc>
          <w:tcPr>
            <w:tcW w:type="dxa" w:w="1229"/>
          </w:tcPr>
          <w:p>
            <w:r>
              <w:t>115</w:t>
            </w:r>
          </w:p>
        </w:tc>
        <w:tc>
          <w:tcPr>
            <w:tcW w:type="dxa" w:w="1229"/>
          </w:tcPr>
          <w:p>
            <w:r>
              <w:t>0.501389</w:t>
            </w:r>
          </w:p>
        </w:tc>
        <w:tc>
          <w:tcPr>
            <w:tcW w:type="dxa" w:w="1229"/>
          </w:tcPr>
          <w:p>
            <w:r>
              <w:t>0.484318</w:t>
            </w:r>
          </w:p>
        </w:tc>
        <w:tc>
          <w:tcPr>
            <w:tcW w:type="dxa" w:w="1229"/>
          </w:tcPr>
          <w:p>
            <w:r>
              <w:t>0.242616</w:t>
            </w:r>
          </w:p>
        </w:tc>
      </w:tr>
    </w:tbl>
    <w:p>
      <w:r>
        <w:br w:type="page"/>
      </w:r>
    </w:p>
    <w:p>
      <w:pPr>
        <w:pStyle w:val="2"/>
      </w:pPr>
      <w:r>
        <w:t>Supplementary engineering-review response: P0/P1 reporting contracts</w:t>
      </w:r>
    </w:p>
    <w:p>
      <w:r>
        <w:t>This post-hoc reporting addendum summarises limits and provenance already supported in the archived study. It is not a new experiment or a replacement for original tables.</w:t>
      </w:r>
    </w:p>
    <w:p>
      <w:pPr>
        <w:pStyle w:val="3"/>
      </w:pPr>
      <w:r>
        <w:t>Eligibility and denominators</w:t>
      </w:r>
    </w:p>
    <w:p>
      <w:r>
        <w:t>T1: 720 outputs; T2/T4: 474 GOLD-failure outputs each; T3: 460 eligible family-labelled failures. These are conditional reference-defined tasks rather than end-to-end cascade scores.</w:t>
      </w:r>
    </w:p>
    <w:p>
      <w:pPr>
        <w:pStyle w:val="3"/>
      </w:pPr>
      <w:r>
        <w:t>Grouped evaluation and selection</w:t>
      </w:r>
    </w:p>
    <w:p>
      <w:r>
        <w:t>Five frozen outer folds contain 24 Prompt_ID clusters each (four clusters per task). A single predefined non-test development fold selects M3 epoch count (maximum eight), followed by refit on four non-test folds. Fixed-OOF confidence intervals do not include model-refitting uncertainty.</w:t>
      </w:r>
    </w:p>
    <w:p>
      <w:pPr>
        <w:pStyle w:val="3"/>
      </w:pPr>
      <w:r>
        <w:t>M3 dual blocking and size-matched controls</w:t>
      </w:r>
    </w:p>
    <w:p>
      <w:r>
        <w:t>M3 dual blocked: T1=.591, T2=.671, T3=.682, T4=.573. Five-repeat row-count-matched means: .630/.749/.781/.644. Both remain observed-generator in-corpus sensitivity tests; size matching does not fix covariate or label mix.</w:t>
      </w:r>
    </w:p>
    <w:p>
      <w:pPr>
        <w:pStyle w:val="3"/>
      </w:pPr>
      <w:r>
        <w:t>M4 class-collapse and judge comparability</w:t>
      </w:r>
    </w:p>
    <w:p>
      <w:r>
        <w:t>Archived FP16 Mistral T2 grounding recall is 3/178; archived FP16 Qwen T4 yields zero severity-2 predictions. M3/M4 comparisons mix supervised training and zero-shot restricted-token scoring and are not architecture-controlled.</w:t>
      </w:r>
    </w:p>
    <w:p>
      <w:pPr>
        <w:pStyle w:val="3"/>
      </w:pPr>
      <w:r>
        <w:t>Source verification and study limitations</w:t>
      </w:r>
    </w:p>
    <w:p>
      <w:r>
        <w:t>The 2,880 T1 SHA-256 input matches demonstrate historical serialization provenance, not bit-identical judge predictions or full M0–M4 retraining. Annotator agreement, adjudicated GOLD fidelity, and independent construct/criterion validity remain separate evidentiary levels.</w:t>
      </w:r>
    </w:p>
    <w:p>
      <w:pPr>
        <w:pStyle w:val="3"/>
      </w:pPr>
      <w:r>
        <w:t>Protocol-level reproducibility matrix (reported or explicitly unavailable)</w:t>
      </w:r>
    </w:p>
    <w:tbl>
      <w:tblPr>
        <w:tblStyle w:val="35"/>
        <w:tblW w:type="auto" w:w="0"/>
        <w:tblLook w:firstColumn="1" w:firstRow="1" w:lastColumn="0" w:lastRow="0" w:noHBand="0" w:noVBand="1" w:val="04A0"/>
      </w:tblPr>
      <w:tblGrid>
        <w:gridCol w:w="2458"/>
        <w:gridCol w:w="2458"/>
        <w:gridCol w:w="2458"/>
        <w:gridCol w:w="2458"/>
      </w:tblGrid>
      <w:tr>
        <w:tc>
          <w:tcPr>
            <w:tcW w:type="dxa" w:w="2458"/>
          </w:tcPr>
          <w:p>
            <w:r>
              <w:t>Protocol</w:t>
            </w:r>
          </w:p>
        </w:tc>
        <w:tc>
          <w:tcPr>
            <w:tcW w:type="dxa" w:w="2458"/>
          </w:tcPr>
          <w:p>
            <w:r>
              <w:t>Grounded execution details</w:t>
            </w:r>
          </w:p>
        </w:tc>
        <w:tc>
          <w:tcPr>
            <w:tcW w:type="dxa" w:w="2458"/>
          </w:tcPr>
          <w:p>
            <w:r>
              <w:t>Verified replay level</w:t>
            </w:r>
          </w:p>
        </w:tc>
        <w:tc>
          <w:tcPr>
            <w:tcW w:type="dxa" w:w="2458"/>
          </w:tcPr>
          <w:p>
            <w:r>
              <w:t>Outstanding uncertainty</w:t>
            </w:r>
          </w:p>
        </w:tc>
      </w:tr>
      <w:tr>
        <w:tc>
          <w:tcPr>
            <w:tcW w:type="dxa" w:w="2458"/>
          </w:tcPr>
          <w:p>
            <w:r>
              <w:t>M0–M2</w:t>
            </w:r>
          </w:p>
        </w:tc>
        <w:tc>
          <w:tcPr>
            <w:tcW w:type="dxa" w:w="2458"/>
          </w:tcPr>
          <w:p>
            <w:r>
              <w:t>Frozen Prompt_ID folds; lexical baselines; source trainer executable not retained</w:t>
            </w:r>
          </w:p>
        </w:tc>
        <w:tc>
          <w:tcPr>
            <w:tcW w:type="dxa" w:w="2458"/>
          </w:tcPr>
          <w:p>
            <w:r>
              <w:t>Archived OOF metric recomputation in audited modules</w:t>
            </w:r>
          </w:p>
        </w:tc>
        <w:tc>
          <w:tcPr>
            <w:tcW w:type="dxa" w:w="2458"/>
          </w:tcPr>
          <w:p>
            <w:r>
              <w:t>Historical original training not bit-identically replayable</w:t>
            </w:r>
          </w:p>
        </w:tc>
      </w:tr>
      <w:tr>
        <w:tc>
          <w:tcPr>
            <w:tcW w:type="dxa" w:w="2458"/>
          </w:tcPr>
          <w:p>
            <w:r>
              <w:t>M3</w:t>
            </w:r>
          </w:p>
        </w:tc>
        <w:tc>
          <w:tcPr>
            <w:tcW w:type="dxa" w:w="2458"/>
          </w:tcPr>
          <w:p>
            <w:r>
              <w:t>ModernBERT; single development fold epoch choice (max 8); frozen grouped outer folds</w:t>
            </w:r>
          </w:p>
        </w:tc>
        <w:tc>
          <w:tcPr>
            <w:tcW w:type="dxa" w:w="2458"/>
          </w:tcPr>
          <w:p>
            <w:r>
              <w:t>Archived OOF and dual-blocked metric replays for audited outputs</w:t>
            </w:r>
          </w:p>
        </w:tc>
        <w:tc>
          <w:tcPr>
            <w:tcW w:type="dxa" w:w="2458"/>
          </w:tcPr>
          <w:p>
            <w:r>
              <w:t>No global fresh-training/fold assignment replay; not all fold-level configurations independently certified</w:t>
            </w:r>
          </w:p>
        </w:tc>
      </w:tr>
      <w:tr>
        <w:tc>
          <w:tcPr>
            <w:tcW w:type="dxa" w:w="2458"/>
          </w:tcPr>
          <w:p>
            <w:r>
              <w:t>M4 archived NF4</w:t>
            </w:r>
          </w:p>
        </w:tc>
        <w:tc>
          <w:tcPr>
            <w:tcW w:type="dxa" w:w="2458"/>
          </w:tcPr>
          <w:p>
            <w:r>
              <w:t>Qwen3-8B forced-choice restricted scores; historical 4-bit NF4 judge</w:t>
            </w:r>
          </w:p>
        </w:tc>
        <w:tc>
          <w:tcPr>
            <w:tcW w:type="dxa" w:w="2458"/>
          </w:tcPr>
          <w:p>
            <w:r>
              <w:t>Selected archived metrics and decision files audited</w:t>
            </w:r>
          </w:p>
        </w:tc>
        <w:tc>
          <w:tcPr>
            <w:tcW w:type="dxa" w:w="2458"/>
          </w:tcPr>
          <w:p>
            <w:r>
              <w:t>Not equivalent to later FP16 implementation</w:t>
            </w:r>
          </w:p>
        </w:tc>
      </w:tr>
      <w:tr>
        <w:tc>
          <w:tcPr>
            <w:tcW w:type="dxa" w:w="2458"/>
          </w:tcPr>
          <w:p>
            <w:r>
              <w:t>M4 FP16 Reference</w:t>
            </w:r>
          </w:p>
        </w:tc>
        <w:tc>
          <w:tcPr>
            <w:tcW w:type="dxa" w:w="2458"/>
          </w:tcPr>
          <w:p>
            <w:r>
              <w:t>Qwen3-8B and Mistral-7B-Instruct-v0.3; pinned model revisions; 4096 max tokens; one-token answer-code scoring</w:t>
            </w:r>
          </w:p>
        </w:tc>
        <w:tc>
          <w:tcPr>
            <w:tcW w:type="dxa" w:w="2458"/>
          </w:tcPr>
          <w:p>
            <w:r>
              <w:t>720/720 SHA-256 input reconstructions per judge</w:t>
            </w:r>
          </w:p>
        </w:tc>
        <w:tc>
          <w:tcPr>
            <w:tcW w:type="dxa" w:w="2458"/>
          </w:tcPr>
          <w:p>
            <w:r>
              <w:t>Exact hardware-level prediction reproduction not established</w:t>
            </w:r>
          </w:p>
        </w:tc>
      </w:tr>
      <w:tr>
        <w:tc>
          <w:tcPr>
            <w:tcW w:type="dxa" w:w="2458"/>
          </w:tcPr>
          <w:p>
            <w:r>
              <w:t>E1/rot0 sensitivity</w:t>
            </w:r>
          </w:p>
        </w:tc>
        <w:tc>
          <w:tcPr>
            <w:tcW w:type="dxa" w:w="2458"/>
          </w:tcPr>
          <w:p>
            <w:r>
              <w:t>Same two pinned judge tokenizers; T1 rubric split before final instruction</w:t>
            </w:r>
          </w:p>
        </w:tc>
        <w:tc>
          <w:tcPr>
            <w:tcW w:type="dxa" w:w="2458"/>
          </w:tcPr>
          <w:p>
            <w:r>
              <w:t>720/720 SHA-256 reconstructions per judge; observed 4/9 changed decisions</w:t>
            </w:r>
          </w:p>
        </w:tc>
        <w:tc>
          <w:tcPr>
            <w:tcW w:type="dxa" w:w="2458"/>
          </w:tcPr>
          <w:p>
            <w:r>
              <w:t>No isolated causal effect on decisions; compare E1/E2 internally</w:t>
            </w:r>
          </w:p>
        </w:tc>
      </w:tr>
      <w:tr>
        <w:tc>
          <w:tcPr>
            <w:tcW w:type="dxa" w:w="2458"/>
          </w:tcPr>
          <w:p>
            <w:r>
              <w:t>Statistical post-hoc GEE</w:t>
            </w:r>
          </w:p>
        </w:tc>
        <w:tc>
          <w:tcPr>
            <w:tcW w:type="dxa" w:w="2458"/>
          </w:tcPr>
          <w:p>
            <w:r>
              <w:t>60 GEE models; Prompt_ID-grouped inference; corrected 2500-draw bootstrap</w:t>
            </w:r>
          </w:p>
        </w:tc>
        <w:tc>
          <w:tcPr>
            <w:tcW w:type="dxa" w:w="2458"/>
          </w:tcPr>
          <w:p>
            <w:r>
              <w:t>60/60 fitted GEE and 60/60 corrected interval checks; Wald z-rounding reconciled</w:t>
            </w:r>
          </w:p>
        </w:tc>
        <w:tc>
          <w:tcPr>
            <w:tcW w:type="dxa" w:w="2458"/>
          </w:tcPr>
          <w:p>
            <w:r>
              <w:t>Post-hoc multiplicity and sparse-change exclusions remain limitations</w:t>
            </w:r>
          </w:p>
        </w:tc>
      </w:tr>
    </w:tbl>
    <w:p>
      <w:pPr>
        <w:pStyle w:val="3"/>
      </w:pPr>
      <w:r>
        <w:t>Archived M3 fold-level execution evidence (no new experimentation)</w:t>
      </w:r>
    </w:p>
    <w:p>
      <w:r>
        <w:t>The following values are extracted verbatim from the existing server OOF CSV fields. Fields may vary by generator stratum within a test fold; the ledger explicitly marks such fold-level heterogeneity instead of hiding it. The 120-row grouped ledger, 720-row generator-stratum ledger, and SHA-256 manifest accompany this supplement. Archived train_n is not relabelled as a reconstructed development count, and no hyperparameters absent from the frozen output are guessed.</w:t>
      </w:r>
    </w:p>
    <w:p>
      <w:r>
        <w:t>Table S-ML-E1. Dual-blocked M3 selected training duration and recorded fold-level sample sizes (archived values; 20 cells by target and held-out fold).</w:t>
      </w:r>
    </w:p>
    <w:tbl>
      <w:tblPr>
        <w:tblStyle w:val="35"/>
        <w:tblW w:type="auto" w:w="0"/>
        <w:tblLook w:firstColumn="1" w:firstRow="1" w:lastColumn="0" w:lastRow="0" w:noHBand="0" w:noVBand="1" w:val="04A0"/>
      </w:tblPr>
      <w:tblGrid>
        <w:gridCol w:w="1405"/>
        <w:gridCol w:w="1405"/>
        <w:gridCol w:w="1405"/>
        <w:gridCol w:w="1405"/>
        <w:gridCol w:w="1405"/>
        <w:gridCol w:w="1405"/>
        <w:gridCol w:w="1405"/>
      </w:tblGrid>
      <w:tr>
        <w:tc>
          <w:tcPr>
            <w:tcW w:type="dxa" w:w="1405"/>
          </w:tcPr>
          <w:p>
            <w:r>
              <w:t>Target</w:t>
            </w:r>
          </w:p>
        </w:tc>
        <w:tc>
          <w:tcPr>
            <w:tcW w:type="dxa" w:w="1405"/>
          </w:tcPr>
          <w:p>
            <w:r>
              <w:t>Test fold</w:t>
            </w:r>
          </w:p>
        </w:tc>
        <w:tc>
          <w:tcPr>
            <w:tcW w:type="dxa" w:w="1405"/>
          </w:tcPr>
          <w:p>
            <w:r>
              <w:t>Dev fold</w:t>
            </w:r>
          </w:p>
        </w:tc>
        <w:tc>
          <w:tcPr>
            <w:tcW w:type="dxa" w:w="1405"/>
          </w:tcPr>
          <w:p>
            <w:r>
              <w:t>Epochs</w:t>
            </w:r>
          </w:p>
        </w:tc>
        <w:tc>
          <w:tcPr>
            <w:tcW w:type="dxa" w:w="1405"/>
          </w:tcPr>
          <w:p>
            <w:r>
              <w:t>train_n</w:t>
            </w:r>
          </w:p>
        </w:tc>
        <w:tc>
          <w:tcPr>
            <w:tcW w:type="dxa" w:w="1405"/>
          </w:tcPr>
          <w:p>
            <w:r>
              <w:t>Test n</w:t>
            </w:r>
          </w:p>
        </w:tc>
        <w:tc>
          <w:tcPr>
            <w:tcW w:type="dxa" w:w="1405"/>
          </w:tcPr>
          <w:p>
            <w:r>
              <w:t>Test clusters</w:t>
            </w:r>
          </w:p>
        </w:tc>
      </w:tr>
      <w:tr>
        <w:tc>
          <w:tcPr>
            <w:tcW w:type="dxa" w:w="1405"/>
          </w:tcPr>
          <w:p>
            <w:r>
              <w:t>T1</w:t>
            </w:r>
          </w:p>
        </w:tc>
        <w:tc>
          <w:tcPr>
            <w:tcW w:type="dxa" w:w="1405"/>
          </w:tcPr>
          <w:p>
            <w:r>
              <w:t>0</w:t>
            </w:r>
          </w:p>
        </w:tc>
        <w:tc>
          <w:tcPr>
            <w:tcW w:type="dxa" w:w="1405"/>
          </w:tcPr>
          <w:p>
            <w:r>
              <w:t>1</w:t>
            </w:r>
          </w:p>
        </w:tc>
        <w:tc>
          <w:tcPr>
            <w:tcW w:type="dxa" w:w="1405"/>
          </w:tcPr>
          <w:p>
            <w:r>
              <w:t>1–8 (heterogeneous)</w:t>
            </w:r>
          </w:p>
        </w:tc>
        <w:tc>
          <w:tcPr>
            <w:tcW w:type="dxa" w:w="1405"/>
          </w:tcPr>
          <w:p>
            <w:r>
              <w:t>480</w:t>
            </w:r>
          </w:p>
        </w:tc>
        <w:tc>
          <w:tcPr>
            <w:tcW w:type="dxa" w:w="1405"/>
          </w:tcPr>
          <w:p>
            <w:r>
              <w:t>144</w:t>
            </w:r>
          </w:p>
        </w:tc>
        <w:tc>
          <w:tcPr>
            <w:tcW w:type="dxa" w:w="1405"/>
          </w:tcPr>
          <w:p>
            <w:r>
              <w:t>24</w:t>
            </w:r>
          </w:p>
        </w:tc>
      </w:tr>
      <w:tr>
        <w:tc>
          <w:tcPr>
            <w:tcW w:type="dxa" w:w="1405"/>
          </w:tcPr>
          <w:p>
            <w:r>
              <w:t>T1</w:t>
            </w:r>
          </w:p>
        </w:tc>
        <w:tc>
          <w:tcPr>
            <w:tcW w:type="dxa" w:w="1405"/>
          </w:tcPr>
          <w:p>
            <w:r>
              <w:t>1</w:t>
            </w:r>
          </w:p>
        </w:tc>
        <w:tc>
          <w:tcPr>
            <w:tcW w:type="dxa" w:w="1405"/>
          </w:tcPr>
          <w:p>
            <w:r>
              <w:t>2</w:t>
            </w:r>
          </w:p>
        </w:tc>
        <w:tc>
          <w:tcPr>
            <w:tcW w:type="dxa" w:w="1405"/>
          </w:tcPr>
          <w:p>
            <w:r>
              <w:t>4–8 (heterogeneous)</w:t>
            </w:r>
          </w:p>
        </w:tc>
        <w:tc>
          <w:tcPr>
            <w:tcW w:type="dxa" w:w="1405"/>
          </w:tcPr>
          <w:p>
            <w:r>
              <w:t>480</w:t>
            </w:r>
          </w:p>
        </w:tc>
        <w:tc>
          <w:tcPr>
            <w:tcW w:type="dxa" w:w="1405"/>
          </w:tcPr>
          <w:p>
            <w:r>
              <w:t>144</w:t>
            </w:r>
          </w:p>
        </w:tc>
        <w:tc>
          <w:tcPr>
            <w:tcW w:type="dxa" w:w="1405"/>
          </w:tcPr>
          <w:p>
            <w:r>
              <w:t>24</w:t>
            </w:r>
          </w:p>
        </w:tc>
      </w:tr>
      <w:tr>
        <w:tc>
          <w:tcPr>
            <w:tcW w:type="dxa" w:w="1405"/>
          </w:tcPr>
          <w:p>
            <w:r>
              <w:t>T1</w:t>
            </w:r>
          </w:p>
        </w:tc>
        <w:tc>
          <w:tcPr>
            <w:tcW w:type="dxa" w:w="1405"/>
          </w:tcPr>
          <w:p>
            <w:r>
              <w:t>2</w:t>
            </w:r>
          </w:p>
        </w:tc>
        <w:tc>
          <w:tcPr>
            <w:tcW w:type="dxa" w:w="1405"/>
          </w:tcPr>
          <w:p>
            <w:r>
              <w:t>3</w:t>
            </w:r>
          </w:p>
        </w:tc>
        <w:tc>
          <w:tcPr>
            <w:tcW w:type="dxa" w:w="1405"/>
          </w:tcPr>
          <w:p>
            <w:r>
              <w:t>1–2 (heterogeneous)</w:t>
            </w:r>
          </w:p>
        </w:tc>
        <w:tc>
          <w:tcPr>
            <w:tcW w:type="dxa" w:w="1405"/>
          </w:tcPr>
          <w:p>
            <w:r>
              <w:t>480</w:t>
            </w:r>
          </w:p>
        </w:tc>
        <w:tc>
          <w:tcPr>
            <w:tcW w:type="dxa" w:w="1405"/>
          </w:tcPr>
          <w:p>
            <w:r>
              <w:t>144</w:t>
            </w:r>
          </w:p>
        </w:tc>
        <w:tc>
          <w:tcPr>
            <w:tcW w:type="dxa" w:w="1405"/>
          </w:tcPr>
          <w:p>
            <w:r>
              <w:t>24</w:t>
            </w:r>
          </w:p>
        </w:tc>
      </w:tr>
      <w:tr>
        <w:tc>
          <w:tcPr>
            <w:tcW w:type="dxa" w:w="1405"/>
          </w:tcPr>
          <w:p>
            <w:r>
              <w:t>T1</w:t>
            </w:r>
          </w:p>
        </w:tc>
        <w:tc>
          <w:tcPr>
            <w:tcW w:type="dxa" w:w="1405"/>
          </w:tcPr>
          <w:p>
            <w:r>
              <w:t>3</w:t>
            </w:r>
          </w:p>
        </w:tc>
        <w:tc>
          <w:tcPr>
            <w:tcW w:type="dxa" w:w="1405"/>
          </w:tcPr>
          <w:p>
            <w:r>
              <w:t>4</w:t>
            </w:r>
          </w:p>
        </w:tc>
        <w:tc>
          <w:tcPr>
            <w:tcW w:type="dxa" w:w="1405"/>
          </w:tcPr>
          <w:p>
            <w:r>
              <w:t>1–7 (heterogeneous)</w:t>
            </w:r>
          </w:p>
        </w:tc>
        <w:tc>
          <w:tcPr>
            <w:tcW w:type="dxa" w:w="1405"/>
          </w:tcPr>
          <w:p>
            <w:r>
              <w:t>480</w:t>
            </w:r>
          </w:p>
        </w:tc>
        <w:tc>
          <w:tcPr>
            <w:tcW w:type="dxa" w:w="1405"/>
          </w:tcPr>
          <w:p>
            <w:r>
              <w:t>144</w:t>
            </w:r>
          </w:p>
        </w:tc>
        <w:tc>
          <w:tcPr>
            <w:tcW w:type="dxa" w:w="1405"/>
          </w:tcPr>
          <w:p>
            <w:r>
              <w:t>24</w:t>
            </w:r>
          </w:p>
        </w:tc>
      </w:tr>
      <w:tr>
        <w:tc>
          <w:tcPr>
            <w:tcW w:type="dxa" w:w="1405"/>
          </w:tcPr>
          <w:p>
            <w:r>
              <w:t>T1</w:t>
            </w:r>
          </w:p>
        </w:tc>
        <w:tc>
          <w:tcPr>
            <w:tcW w:type="dxa" w:w="1405"/>
          </w:tcPr>
          <w:p>
            <w:r>
              <w:t>4</w:t>
            </w:r>
          </w:p>
        </w:tc>
        <w:tc>
          <w:tcPr>
            <w:tcW w:type="dxa" w:w="1405"/>
          </w:tcPr>
          <w:p>
            <w:r>
              <w:t>0</w:t>
            </w:r>
          </w:p>
        </w:tc>
        <w:tc>
          <w:tcPr>
            <w:tcW w:type="dxa" w:w="1405"/>
          </w:tcPr>
          <w:p>
            <w:r>
              <w:t>2–6 (heterogeneous)</w:t>
            </w:r>
          </w:p>
        </w:tc>
        <w:tc>
          <w:tcPr>
            <w:tcW w:type="dxa" w:w="1405"/>
          </w:tcPr>
          <w:p>
            <w:r>
              <w:t>480</w:t>
            </w:r>
          </w:p>
        </w:tc>
        <w:tc>
          <w:tcPr>
            <w:tcW w:type="dxa" w:w="1405"/>
          </w:tcPr>
          <w:p>
            <w:r>
              <w:t>144</w:t>
            </w:r>
          </w:p>
        </w:tc>
        <w:tc>
          <w:tcPr>
            <w:tcW w:type="dxa" w:w="1405"/>
          </w:tcPr>
          <w:p>
            <w:r>
              <w:t>24</w:t>
            </w:r>
          </w:p>
        </w:tc>
      </w:tr>
      <w:tr>
        <w:tc>
          <w:tcPr>
            <w:tcW w:type="dxa" w:w="1405"/>
          </w:tcPr>
          <w:p>
            <w:r>
              <w:t>T2</w:t>
            </w:r>
          </w:p>
        </w:tc>
        <w:tc>
          <w:tcPr>
            <w:tcW w:type="dxa" w:w="1405"/>
          </w:tcPr>
          <w:p>
            <w:r>
              <w:t>0</w:t>
            </w:r>
          </w:p>
        </w:tc>
        <w:tc>
          <w:tcPr>
            <w:tcW w:type="dxa" w:w="1405"/>
          </w:tcPr>
          <w:p>
            <w:r>
              <w:t>1</w:t>
            </w:r>
          </w:p>
        </w:tc>
        <w:tc>
          <w:tcPr>
            <w:tcW w:type="dxa" w:w="1405"/>
          </w:tcPr>
          <w:p>
            <w:r>
              <w:t>1–6 (heterogeneous)</w:t>
            </w:r>
          </w:p>
        </w:tc>
        <w:tc>
          <w:tcPr>
            <w:tcW w:type="dxa" w:w="1405"/>
          </w:tcPr>
          <w:p>
            <w:r>
              <w:t>278–341 (heterogeneous)</w:t>
            </w:r>
          </w:p>
        </w:tc>
        <w:tc>
          <w:tcPr>
            <w:tcW w:type="dxa" w:w="1405"/>
          </w:tcPr>
          <w:p>
            <w:r>
              <w:t>100</w:t>
            </w:r>
          </w:p>
        </w:tc>
        <w:tc>
          <w:tcPr>
            <w:tcW w:type="dxa" w:w="1405"/>
          </w:tcPr>
          <w:p>
            <w:r>
              <w:t>24</w:t>
            </w:r>
          </w:p>
        </w:tc>
      </w:tr>
      <w:tr>
        <w:tc>
          <w:tcPr>
            <w:tcW w:type="dxa" w:w="1405"/>
          </w:tcPr>
          <w:p>
            <w:r>
              <w:t>T2</w:t>
            </w:r>
          </w:p>
        </w:tc>
        <w:tc>
          <w:tcPr>
            <w:tcW w:type="dxa" w:w="1405"/>
          </w:tcPr>
          <w:p>
            <w:r>
              <w:t>1</w:t>
            </w:r>
          </w:p>
        </w:tc>
        <w:tc>
          <w:tcPr>
            <w:tcW w:type="dxa" w:w="1405"/>
          </w:tcPr>
          <w:p>
            <w:r>
              <w:t>2</w:t>
            </w:r>
          </w:p>
        </w:tc>
        <w:tc>
          <w:tcPr>
            <w:tcW w:type="dxa" w:w="1405"/>
          </w:tcPr>
          <w:p>
            <w:r>
              <w:t>1–8 (heterogeneous)</w:t>
            </w:r>
          </w:p>
        </w:tc>
        <w:tc>
          <w:tcPr>
            <w:tcW w:type="dxa" w:w="1405"/>
          </w:tcPr>
          <w:p>
            <w:r>
              <w:t>281–346 (heterogeneous)</w:t>
            </w:r>
          </w:p>
        </w:tc>
        <w:tc>
          <w:tcPr>
            <w:tcW w:type="dxa" w:w="1405"/>
          </w:tcPr>
          <w:p>
            <w:r>
              <w:t>97</w:t>
            </w:r>
          </w:p>
        </w:tc>
        <w:tc>
          <w:tcPr>
            <w:tcW w:type="dxa" w:w="1405"/>
          </w:tcPr>
          <w:p>
            <w:r>
              <w:t>24</w:t>
            </w:r>
          </w:p>
        </w:tc>
      </w:tr>
      <w:tr>
        <w:tc>
          <w:tcPr>
            <w:tcW w:type="dxa" w:w="1405"/>
          </w:tcPr>
          <w:p>
            <w:r>
              <w:t>T2</w:t>
            </w:r>
          </w:p>
        </w:tc>
        <w:tc>
          <w:tcPr>
            <w:tcW w:type="dxa" w:w="1405"/>
          </w:tcPr>
          <w:p>
            <w:r>
              <w:t>2</w:t>
            </w:r>
          </w:p>
        </w:tc>
        <w:tc>
          <w:tcPr>
            <w:tcW w:type="dxa" w:w="1405"/>
          </w:tcPr>
          <w:p>
            <w:r>
              <w:t>3</w:t>
            </w:r>
          </w:p>
        </w:tc>
        <w:tc>
          <w:tcPr>
            <w:tcW w:type="dxa" w:w="1405"/>
          </w:tcPr>
          <w:p>
            <w:r>
              <w:t>1–8 (heterogeneous)</w:t>
            </w:r>
          </w:p>
        </w:tc>
        <w:tc>
          <w:tcPr>
            <w:tcW w:type="dxa" w:w="1405"/>
          </w:tcPr>
          <w:p>
            <w:r>
              <w:t>274–343 (heterogeneous)</w:t>
            </w:r>
          </w:p>
        </w:tc>
        <w:tc>
          <w:tcPr>
            <w:tcW w:type="dxa" w:w="1405"/>
          </w:tcPr>
          <w:p>
            <w:r>
              <w:t>104</w:t>
            </w:r>
          </w:p>
        </w:tc>
        <w:tc>
          <w:tcPr>
            <w:tcW w:type="dxa" w:w="1405"/>
          </w:tcPr>
          <w:p>
            <w:r>
              <w:t>24</w:t>
            </w:r>
          </w:p>
        </w:tc>
      </w:tr>
      <w:tr>
        <w:tc>
          <w:tcPr>
            <w:tcW w:type="dxa" w:w="1405"/>
          </w:tcPr>
          <w:p>
            <w:r>
              <w:t>T2</w:t>
            </w:r>
          </w:p>
        </w:tc>
        <w:tc>
          <w:tcPr>
            <w:tcW w:type="dxa" w:w="1405"/>
          </w:tcPr>
          <w:p>
            <w:r>
              <w:t>3</w:t>
            </w:r>
          </w:p>
        </w:tc>
        <w:tc>
          <w:tcPr>
            <w:tcW w:type="dxa" w:w="1405"/>
          </w:tcPr>
          <w:p>
            <w:r>
              <w:t>4</w:t>
            </w:r>
          </w:p>
        </w:tc>
        <w:tc>
          <w:tcPr>
            <w:tcW w:type="dxa" w:w="1405"/>
          </w:tcPr>
          <w:p>
            <w:r>
              <w:t>3–4 (heterogeneous)</w:t>
            </w:r>
          </w:p>
        </w:tc>
        <w:tc>
          <w:tcPr>
            <w:tcW w:type="dxa" w:w="1405"/>
          </w:tcPr>
          <w:p>
            <w:r>
              <w:t>293–357 (heterogeneous)</w:t>
            </w:r>
          </w:p>
        </w:tc>
        <w:tc>
          <w:tcPr>
            <w:tcW w:type="dxa" w:w="1405"/>
          </w:tcPr>
          <w:p>
            <w:r>
              <w:t>85</w:t>
            </w:r>
          </w:p>
        </w:tc>
        <w:tc>
          <w:tcPr>
            <w:tcW w:type="dxa" w:w="1405"/>
          </w:tcPr>
          <w:p>
            <w:r>
              <w:t>24</w:t>
            </w:r>
          </w:p>
        </w:tc>
      </w:tr>
      <w:tr>
        <w:tc>
          <w:tcPr>
            <w:tcW w:type="dxa" w:w="1405"/>
          </w:tcPr>
          <w:p>
            <w:r>
              <w:t>T2</w:t>
            </w:r>
          </w:p>
        </w:tc>
        <w:tc>
          <w:tcPr>
            <w:tcW w:type="dxa" w:w="1405"/>
          </w:tcPr>
          <w:p>
            <w:r>
              <w:t>4</w:t>
            </w:r>
          </w:p>
        </w:tc>
        <w:tc>
          <w:tcPr>
            <w:tcW w:type="dxa" w:w="1405"/>
          </w:tcPr>
          <w:p>
            <w:r>
              <w:t>0</w:t>
            </w:r>
          </w:p>
        </w:tc>
        <w:tc>
          <w:tcPr>
            <w:tcW w:type="dxa" w:w="1405"/>
          </w:tcPr>
          <w:p>
            <w:r>
              <w:t>1–8 (heterogeneous)</w:t>
            </w:r>
          </w:p>
        </w:tc>
        <w:tc>
          <w:tcPr>
            <w:tcW w:type="dxa" w:w="1405"/>
          </w:tcPr>
          <w:p>
            <w:r>
              <w:t>290–353 (heterogeneous)</w:t>
            </w:r>
          </w:p>
        </w:tc>
        <w:tc>
          <w:tcPr>
            <w:tcW w:type="dxa" w:w="1405"/>
          </w:tcPr>
          <w:p>
            <w:r>
              <w:t>88</w:t>
            </w:r>
          </w:p>
        </w:tc>
        <w:tc>
          <w:tcPr>
            <w:tcW w:type="dxa" w:w="1405"/>
          </w:tcPr>
          <w:p>
            <w:r>
              <w:t>24</w:t>
            </w:r>
          </w:p>
        </w:tc>
      </w:tr>
      <w:tr>
        <w:tc>
          <w:tcPr>
            <w:tcW w:type="dxa" w:w="1405"/>
          </w:tcPr>
          <w:p>
            <w:r>
              <w:t>T3</w:t>
            </w:r>
          </w:p>
        </w:tc>
        <w:tc>
          <w:tcPr>
            <w:tcW w:type="dxa" w:w="1405"/>
          </w:tcPr>
          <w:p>
            <w:r>
              <w:t>0</w:t>
            </w:r>
          </w:p>
        </w:tc>
        <w:tc>
          <w:tcPr>
            <w:tcW w:type="dxa" w:w="1405"/>
          </w:tcPr>
          <w:p>
            <w:r>
              <w:t>1</w:t>
            </w:r>
          </w:p>
        </w:tc>
        <w:tc>
          <w:tcPr>
            <w:tcW w:type="dxa" w:w="1405"/>
          </w:tcPr>
          <w:p>
            <w:r>
              <w:t>1–7 (heterogeneous)</w:t>
            </w:r>
          </w:p>
        </w:tc>
        <w:tc>
          <w:tcPr>
            <w:tcW w:type="dxa" w:w="1405"/>
          </w:tcPr>
          <w:p>
            <w:r>
              <w:t>267–332 (heterogeneous)</w:t>
            </w:r>
          </w:p>
        </w:tc>
        <w:tc>
          <w:tcPr>
            <w:tcW w:type="dxa" w:w="1405"/>
          </w:tcPr>
          <w:p>
            <w:r>
              <w:t>97</w:t>
            </w:r>
          </w:p>
        </w:tc>
        <w:tc>
          <w:tcPr>
            <w:tcW w:type="dxa" w:w="1405"/>
          </w:tcPr>
          <w:p>
            <w:r>
              <w:t>24</w:t>
            </w:r>
          </w:p>
        </w:tc>
      </w:tr>
      <w:tr>
        <w:tc>
          <w:tcPr>
            <w:tcW w:type="dxa" w:w="1405"/>
          </w:tcPr>
          <w:p>
            <w:r>
              <w:t>T3</w:t>
            </w:r>
          </w:p>
        </w:tc>
        <w:tc>
          <w:tcPr>
            <w:tcW w:type="dxa" w:w="1405"/>
          </w:tcPr>
          <w:p>
            <w:r>
              <w:t>1</w:t>
            </w:r>
          </w:p>
        </w:tc>
        <w:tc>
          <w:tcPr>
            <w:tcW w:type="dxa" w:w="1405"/>
          </w:tcPr>
          <w:p>
            <w:r>
              <w:t>2</w:t>
            </w:r>
          </w:p>
        </w:tc>
        <w:tc>
          <w:tcPr>
            <w:tcW w:type="dxa" w:w="1405"/>
          </w:tcPr>
          <w:p>
            <w:r>
              <w:t>1–6 (heterogeneous)</w:t>
            </w:r>
          </w:p>
        </w:tc>
        <w:tc>
          <w:tcPr>
            <w:tcW w:type="dxa" w:w="1405"/>
          </w:tcPr>
          <w:p>
            <w:r>
              <w:t>270–336 (heterogeneous)</w:t>
            </w:r>
          </w:p>
        </w:tc>
        <w:tc>
          <w:tcPr>
            <w:tcW w:type="dxa" w:w="1405"/>
          </w:tcPr>
          <w:p>
            <w:r>
              <w:t>94</w:t>
            </w:r>
          </w:p>
        </w:tc>
        <w:tc>
          <w:tcPr>
            <w:tcW w:type="dxa" w:w="1405"/>
          </w:tcPr>
          <w:p>
            <w:r>
              <w:t>24</w:t>
            </w:r>
          </w:p>
        </w:tc>
      </w:tr>
      <w:tr>
        <w:tc>
          <w:tcPr>
            <w:tcW w:type="dxa" w:w="1405"/>
          </w:tcPr>
          <w:p>
            <w:r>
              <w:t>T3</w:t>
            </w:r>
          </w:p>
        </w:tc>
        <w:tc>
          <w:tcPr>
            <w:tcW w:type="dxa" w:w="1405"/>
          </w:tcPr>
          <w:p>
            <w:r>
              <w:t>2</w:t>
            </w:r>
          </w:p>
        </w:tc>
        <w:tc>
          <w:tcPr>
            <w:tcW w:type="dxa" w:w="1405"/>
          </w:tcPr>
          <w:p>
            <w:r>
              <w:t>3</w:t>
            </w:r>
          </w:p>
        </w:tc>
        <w:tc>
          <w:tcPr>
            <w:tcW w:type="dxa" w:w="1405"/>
          </w:tcPr>
          <w:p>
            <w:r>
              <w:t>3–6 (heterogeneous)</w:t>
            </w:r>
          </w:p>
        </w:tc>
        <w:tc>
          <w:tcPr>
            <w:tcW w:type="dxa" w:w="1405"/>
          </w:tcPr>
          <w:p>
            <w:r>
              <w:t>261–332 (heterogeneous)</w:t>
            </w:r>
          </w:p>
        </w:tc>
        <w:tc>
          <w:tcPr>
            <w:tcW w:type="dxa" w:w="1405"/>
          </w:tcPr>
          <w:p>
            <w:r>
              <w:t>103</w:t>
            </w:r>
          </w:p>
        </w:tc>
        <w:tc>
          <w:tcPr>
            <w:tcW w:type="dxa" w:w="1405"/>
          </w:tcPr>
          <w:p>
            <w:r>
              <w:t>24</w:t>
            </w:r>
          </w:p>
        </w:tc>
      </w:tr>
      <w:tr>
        <w:tc>
          <w:tcPr>
            <w:tcW w:type="dxa" w:w="1405"/>
          </w:tcPr>
          <w:p>
            <w:r>
              <w:t>T3</w:t>
            </w:r>
          </w:p>
        </w:tc>
        <w:tc>
          <w:tcPr>
            <w:tcW w:type="dxa" w:w="1405"/>
          </w:tcPr>
          <w:p>
            <w:r>
              <w:t>3</w:t>
            </w:r>
          </w:p>
        </w:tc>
        <w:tc>
          <w:tcPr>
            <w:tcW w:type="dxa" w:w="1405"/>
          </w:tcPr>
          <w:p>
            <w:r>
              <w:t>4</w:t>
            </w:r>
          </w:p>
        </w:tc>
        <w:tc>
          <w:tcPr>
            <w:tcW w:type="dxa" w:w="1405"/>
          </w:tcPr>
          <w:p>
            <w:r>
              <w:t>1–6 (heterogeneous)</w:t>
            </w:r>
          </w:p>
        </w:tc>
        <w:tc>
          <w:tcPr>
            <w:tcW w:type="dxa" w:w="1405"/>
          </w:tcPr>
          <w:p>
            <w:r>
              <w:t>282–348 (heterogeneous)</w:t>
            </w:r>
          </w:p>
        </w:tc>
        <w:tc>
          <w:tcPr>
            <w:tcW w:type="dxa" w:w="1405"/>
          </w:tcPr>
          <w:p>
            <w:r>
              <w:t>82</w:t>
            </w:r>
          </w:p>
        </w:tc>
        <w:tc>
          <w:tcPr>
            <w:tcW w:type="dxa" w:w="1405"/>
          </w:tcPr>
          <w:p>
            <w:r>
              <w:t>24</w:t>
            </w:r>
          </w:p>
        </w:tc>
      </w:tr>
      <w:tr>
        <w:tc>
          <w:tcPr>
            <w:tcW w:type="dxa" w:w="1405"/>
          </w:tcPr>
          <w:p>
            <w:r>
              <w:t>T3</w:t>
            </w:r>
          </w:p>
        </w:tc>
        <w:tc>
          <w:tcPr>
            <w:tcW w:type="dxa" w:w="1405"/>
          </w:tcPr>
          <w:p>
            <w:r>
              <w:t>4</w:t>
            </w:r>
          </w:p>
        </w:tc>
        <w:tc>
          <w:tcPr>
            <w:tcW w:type="dxa" w:w="1405"/>
          </w:tcPr>
          <w:p>
            <w:r>
              <w:t>0</w:t>
            </w:r>
          </w:p>
        </w:tc>
        <w:tc>
          <w:tcPr>
            <w:tcW w:type="dxa" w:w="1405"/>
          </w:tcPr>
          <w:p>
            <w:r>
              <w:t>2–6 (heterogeneous)</w:t>
            </w:r>
          </w:p>
        </w:tc>
        <w:tc>
          <w:tcPr>
            <w:tcW w:type="dxa" w:w="1405"/>
          </w:tcPr>
          <w:p>
            <w:r>
              <w:t>280–344 (heterogeneous)</w:t>
            </w:r>
          </w:p>
        </w:tc>
        <w:tc>
          <w:tcPr>
            <w:tcW w:type="dxa" w:w="1405"/>
          </w:tcPr>
          <w:p>
            <w:r>
              <w:t>84</w:t>
            </w:r>
          </w:p>
        </w:tc>
        <w:tc>
          <w:tcPr>
            <w:tcW w:type="dxa" w:w="1405"/>
          </w:tcPr>
          <w:p>
            <w:r>
              <w:t>24</w:t>
            </w:r>
          </w:p>
        </w:tc>
      </w:tr>
      <w:tr>
        <w:tc>
          <w:tcPr>
            <w:tcW w:type="dxa" w:w="1405"/>
          </w:tcPr>
          <w:p>
            <w:r>
              <w:t>T4</w:t>
            </w:r>
          </w:p>
        </w:tc>
        <w:tc>
          <w:tcPr>
            <w:tcW w:type="dxa" w:w="1405"/>
          </w:tcPr>
          <w:p>
            <w:r>
              <w:t>0</w:t>
            </w:r>
          </w:p>
        </w:tc>
        <w:tc>
          <w:tcPr>
            <w:tcW w:type="dxa" w:w="1405"/>
          </w:tcPr>
          <w:p>
            <w:r>
              <w:t>1</w:t>
            </w:r>
          </w:p>
        </w:tc>
        <w:tc>
          <w:tcPr>
            <w:tcW w:type="dxa" w:w="1405"/>
          </w:tcPr>
          <w:p>
            <w:r>
              <w:t>1–2 (heterogeneous)</w:t>
            </w:r>
          </w:p>
        </w:tc>
        <w:tc>
          <w:tcPr>
            <w:tcW w:type="dxa" w:w="1405"/>
          </w:tcPr>
          <w:p>
            <w:r>
              <w:t>278–341 (heterogeneous)</w:t>
            </w:r>
          </w:p>
        </w:tc>
        <w:tc>
          <w:tcPr>
            <w:tcW w:type="dxa" w:w="1405"/>
          </w:tcPr>
          <w:p>
            <w:r>
              <w:t>100</w:t>
            </w:r>
          </w:p>
        </w:tc>
        <w:tc>
          <w:tcPr>
            <w:tcW w:type="dxa" w:w="1405"/>
          </w:tcPr>
          <w:p>
            <w:r>
              <w:t>24</w:t>
            </w:r>
          </w:p>
        </w:tc>
      </w:tr>
      <w:tr>
        <w:tc>
          <w:tcPr>
            <w:tcW w:type="dxa" w:w="1405"/>
          </w:tcPr>
          <w:p>
            <w:r>
              <w:t>T4</w:t>
            </w:r>
          </w:p>
        </w:tc>
        <w:tc>
          <w:tcPr>
            <w:tcW w:type="dxa" w:w="1405"/>
          </w:tcPr>
          <w:p>
            <w:r>
              <w:t>1</w:t>
            </w:r>
          </w:p>
        </w:tc>
        <w:tc>
          <w:tcPr>
            <w:tcW w:type="dxa" w:w="1405"/>
          </w:tcPr>
          <w:p>
            <w:r>
              <w:t>2</w:t>
            </w:r>
          </w:p>
        </w:tc>
        <w:tc>
          <w:tcPr>
            <w:tcW w:type="dxa" w:w="1405"/>
          </w:tcPr>
          <w:p>
            <w:r>
              <w:t>2–7 (heterogeneous)</w:t>
            </w:r>
          </w:p>
        </w:tc>
        <w:tc>
          <w:tcPr>
            <w:tcW w:type="dxa" w:w="1405"/>
          </w:tcPr>
          <w:p>
            <w:r>
              <w:t>281–346 (heterogeneous)</w:t>
            </w:r>
          </w:p>
        </w:tc>
        <w:tc>
          <w:tcPr>
            <w:tcW w:type="dxa" w:w="1405"/>
          </w:tcPr>
          <w:p>
            <w:r>
              <w:t>97</w:t>
            </w:r>
          </w:p>
        </w:tc>
        <w:tc>
          <w:tcPr>
            <w:tcW w:type="dxa" w:w="1405"/>
          </w:tcPr>
          <w:p>
            <w:r>
              <w:t>24</w:t>
            </w:r>
          </w:p>
        </w:tc>
      </w:tr>
      <w:tr>
        <w:tc>
          <w:tcPr>
            <w:tcW w:type="dxa" w:w="1405"/>
          </w:tcPr>
          <w:p>
            <w:r>
              <w:t>T4</w:t>
            </w:r>
          </w:p>
        </w:tc>
        <w:tc>
          <w:tcPr>
            <w:tcW w:type="dxa" w:w="1405"/>
          </w:tcPr>
          <w:p>
            <w:r>
              <w:t>2</w:t>
            </w:r>
          </w:p>
        </w:tc>
        <w:tc>
          <w:tcPr>
            <w:tcW w:type="dxa" w:w="1405"/>
          </w:tcPr>
          <w:p>
            <w:r>
              <w:t>3</w:t>
            </w:r>
          </w:p>
        </w:tc>
        <w:tc>
          <w:tcPr>
            <w:tcW w:type="dxa" w:w="1405"/>
          </w:tcPr>
          <w:p>
            <w:r>
              <w:t>1–5 (heterogeneous)</w:t>
            </w:r>
          </w:p>
        </w:tc>
        <w:tc>
          <w:tcPr>
            <w:tcW w:type="dxa" w:w="1405"/>
          </w:tcPr>
          <w:p>
            <w:r>
              <w:t>274–343 (heterogeneous)</w:t>
            </w:r>
          </w:p>
        </w:tc>
        <w:tc>
          <w:tcPr>
            <w:tcW w:type="dxa" w:w="1405"/>
          </w:tcPr>
          <w:p>
            <w:r>
              <w:t>104</w:t>
            </w:r>
          </w:p>
        </w:tc>
        <w:tc>
          <w:tcPr>
            <w:tcW w:type="dxa" w:w="1405"/>
          </w:tcPr>
          <w:p>
            <w:r>
              <w:t>24</w:t>
            </w:r>
          </w:p>
        </w:tc>
      </w:tr>
      <w:tr>
        <w:tc>
          <w:tcPr>
            <w:tcW w:type="dxa" w:w="1405"/>
          </w:tcPr>
          <w:p>
            <w:r>
              <w:t>T4</w:t>
            </w:r>
          </w:p>
        </w:tc>
        <w:tc>
          <w:tcPr>
            <w:tcW w:type="dxa" w:w="1405"/>
          </w:tcPr>
          <w:p>
            <w:r>
              <w:t>3</w:t>
            </w:r>
          </w:p>
        </w:tc>
        <w:tc>
          <w:tcPr>
            <w:tcW w:type="dxa" w:w="1405"/>
          </w:tcPr>
          <w:p>
            <w:r>
              <w:t>4</w:t>
            </w:r>
          </w:p>
        </w:tc>
        <w:tc>
          <w:tcPr>
            <w:tcW w:type="dxa" w:w="1405"/>
          </w:tcPr>
          <w:p>
            <w:r>
              <w:t>1–6 (heterogeneous)</w:t>
            </w:r>
          </w:p>
        </w:tc>
        <w:tc>
          <w:tcPr>
            <w:tcW w:type="dxa" w:w="1405"/>
          </w:tcPr>
          <w:p>
            <w:r>
              <w:t>293–357 (heterogeneous)</w:t>
            </w:r>
          </w:p>
        </w:tc>
        <w:tc>
          <w:tcPr>
            <w:tcW w:type="dxa" w:w="1405"/>
          </w:tcPr>
          <w:p>
            <w:r>
              <w:t>85</w:t>
            </w:r>
          </w:p>
        </w:tc>
        <w:tc>
          <w:tcPr>
            <w:tcW w:type="dxa" w:w="1405"/>
          </w:tcPr>
          <w:p>
            <w:r>
              <w:t>24</w:t>
            </w:r>
          </w:p>
        </w:tc>
      </w:tr>
      <w:tr>
        <w:tc>
          <w:tcPr>
            <w:tcW w:type="dxa" w:w="1405"/>
          </w:tcPr>
          <w:p>
            <w:r>
              <w:t>T4</w:t>
            </w:r>
          </w:p>
        </w:tc>
        <w:tc>
          <w:tcPr>
            <w:tcW w:type="dxa" w:w="1405"/>
          </w:tcPr>
          <w:p>
            <w:r>
              <w:t>4</w:t>
            </w:r>
          </w:p>
        </w:tc>
        <w:tc>
          <w:tcPr>
            <w:tcW w:type="dxa" w:w="1405"/>
          </w:tcPr>
          <w:p>
            <w:r>
              <w:t>0</w:t>
            </w:r>
          </w:p>
        </w:tc>
        <w:tc>
          <w:tcPr>
            <w:tcW w:type="dxa" w:w="1405"/>
          </w:tcPr>
          <w:p>
            <w:r>
              <w:t>1–5 (heterogeneous)</w:t>
            </w:r>
          </w:p>
        </w:tc>
        <w:tc>
          <w:tcPr>
            <w:tcW w:type="dxa" w:w="1405"/>
          </w:tcPr>
          <w:p>
            <w:r>
              <w:t>290–353 (heterogeneous)</w:t>
            </w:r>
          </w:p>
        </w:tc>
        <w:tc>
          <w:tcPr>
            <w:tcW w:type="dxa" w:w="1405"/>
          </w:tcPr>
          <w:p>
            <w:r>
              <w:t>88</w:t>
            </w:r>
          </w:p>
        </w:tc>
        <w:tc>
          <w:tcPr>
            <w:tcW w:type="dxa" w:w="1405"/>
          </w:tcPr>
          <w:p>
            <w:r>
              <w:t>24</w:t>
            </w:r>
          </w:p>
        </w:tc>
      </w:tr>
    </w:tbl>
    <w:p>
      <w:r>
        <w:t>Source audit: M3_120_FOLD_EXECUTION_LEDGER.csv (all dual and five size-matched repetitions) and M3_ARCHIVED_SOURCE_MANIFEST.csv (original file identities and SHA-256 hashes). The tabulated fold choices apply to post-hoc completed M3 controls; they do not prove identical configuration for all historical reference training runs.</w:t>
      </w:r>
    </w:p>
    <w:p>
      <w:pPr>
        <w:pStyle w:val="3"/>
      </w:pPr>
      <w:r>
        <w:t>Claim and reproducibility boundaries</w:t>
      </w:r>
    </w:p>
    <w:p>
      <w:r>
        <w:t>The diagnostic targets T2–T4 are adjudicated-GOLD-eligible analyses, not a deployable cascade. Model family, training regime, input evidence condition, and scoring rule are not isolated factors in comparisons between M3 and M4. Dual blocking changes generator support and composition, while the size-matched controls reduce but do not eliminate confounding. Source-level fold metadata documents execution; it does not demonstrate external transportability, fresh-training bitwise determinism, or independent criterion validity.</w:t>
      </w:r>
    </w:p>
    <w:sectPr>
      <w:headerReference r:id="rId7" w:type="first"/>
      <w:footerReference r:id="rId10" w:type="first"/>
      <w:headerReference r:id="rId5" w:type="default"/>
      <w:footerReference r:id="rId8" w:type="default"/>
      <w:headerReference r:id="rId6" w:type="even"/>
      <w:footerReference r:id="rId9" w:type="even"/>
      <w:pgSz w:w="11906" w:h="16838"/>
      <w:pgMar w:top="1008" w:right="1037" w:bottom="1008" w:left="1037" w:header="360"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406502">
    <w:pPr>
      <w:pStyle w:val="18"/>
      <w:jc w:val="center"/>
    </w:pPr>
    <w:r>
      <w:fldChar w:fldCharType="begin"/>
    </w:r>
    <w:r>
      <w:instrText xml:space="preserve"> PAGE </w:instrTex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97EB2E"/>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2BF6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77CA47"/>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36CB7"/>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2729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F0A5EC7"/>
    <w:rsid w:val="7E9D301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76" w:lineRule="auto"/>
      <w:jc w:val="both"/>
    </w:pPr>
    <w:rPr>
      <w:rFonts w:ascii="Times New Roman" w:hAnsi="Times New Roman" w:eastAsiaTheme="minorEastAsia" w:cstheme="minorBidi"/>
      <w:color w:val="000000"/>
      <w:sz w:val="22"/>
      <w:szCs w:val="22"/>
      <w:lang w:val="en-US" w:eastAsia="en-US" w:bidi="ar-SA"/>
    </w:rPr>
  </w:style>
  <w:style w:type="paragraph" w:styleId="2">
    <w:name w:val="heading 1"/>
    <w:basedOn w:val="1"/>
    <w:next w:val="1"/>
    <w:link w:val="138"/>
    <w:qFormat/>
    <w:uiPriority w:val="9"/>
    <w:pPr>
      <w:keepNext/>
      <w:keepLines/>
      <w:spacing w:before="240" w:after="120"/>
      <w:outlineLvl w:val="0"/>
    </w:pPr>
    <w:rPr>
      <w:rFonts w:asciiTheme="majorHAnsi" w:hAnsiTheme="majorHAnsi" w:eastAsiaTheme="majorEastAsia" w:cstheme="majorBidi"/>
      <w:b/>
      <w:bCs/>
      <w:color w:val="000000"/>
      <w:sz w:val="28"/>
      <w:szCs w:val="28"/>
    </w:rPr>
  </w:style>
  <w:style w:type="paragraph" w:styleId="3">
    <w:name w:val="heading 2"/>
    <w:basedOn w:val="1"/>
    <w:next w:val="1"/>
    <w:link w:val="139"/>
    <w:unhideWhenUsed/>
    <w:qFormat/>
    <w:uiPriority w:val="9"/>
    <w:pPr>
      <w:keepNext/>
      <w:keepLines/>
      <w:spacing w:before="180" w:after="80"/>
      <w:outlineLvl w:val="1"/>
    </w:pPr>
    <w:rPr>
      <w:rFonts w:asciiTheme="majorHAnsi" w:hAnsiTheme="majorHAnsi" w:eastAsiaTheme="majorEastAsia" w:cstheme="majorBidi"/>
      <w:b/>
      <w:bCs/>
      <w:color w:val="000000"/>
      <w:sz w:val="24"/>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80"/>
      <w:outlineLvl w:val="2"/>
    </w:pPr>
    <w:rPr>
      <w:rFonts w:asciiTheme="majorHAnsi" w:hAnsiTheme="majorHAnsi" w:eastAsiaTheme="majorEastAsia" w:cstheme="majorBidi"/>
      <w:b/>
      <w:bCs/>
      <w:i/>
      <w:color w:val="000000"/>
      <w:sz w:val="22"/>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14:textFill>
        <w14:solidFill>
          <w14:schemeClr w14:val="accent1"/>
        </w14:solidFill>
      </w14:textFill>
      <w:color w:val="000000"/>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00000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00000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14:textFill>
        <w14:solidFill>
          <w14:schemeClr w14:val="tx1">
            <w14:lumMod w14:val="75000"/>
            <w14:lumOff w14:val="25000"/>
          </w14:schemeClr>
        </w14:solidFill>
      </w14:textFill>
      <w:color w:val="000000"/>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000000"/>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000000"/>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keepNext/>
      <w:spacing w:before="120" w:after="60" w:line="240" w:lineRule="auto"/>
      <w:jc w:val="center"/>
    </w:pPr>
    <w:rPr>
      <w:rFonts w:ascii="Times New Roman" w:hAnsi="Times New Roman" w:eastAsia="Times New Roman"/>
      <w:bCs/>
      <w:color w:val="4F81BD" w:themeColor="accent1"/>
      <w:sz w:val="20"/>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spacing w:after="40"/>
      <w:contextualSpacing/>
    </w:pPr>
    <w:rPr>
      <w:rFonts w:ascii="Arial" w:hAnsi="Arial"/>
      <w:sz w:val="18"/>
    </w:rPr>
  </w:style>
  <w:style w:type="paragraph" w:styleId="24">
    <w:name w:val="List Bullet 2"/>
    <w:basedOn w:val="1"/>
    <w:unhideWhenUsed/>
    <w:qFormat/>
    <w:uiPriority w:val="99"/>
    <w:pPr>
      <w:numPr>
        <w:ilvl w:val="0"/>
        <w:numId w:val="2"/>
      </w:numPr>
      <w:spacing w:after="40"/>
      <w:contextualSpacing/>
    </w:pPr>
    <w:rPr>
      <w:rFonts w:ascii="Arial" w:hAnsi="Arial"/>
      <w:sz w:val="18"/>
    </w:r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spacing w:after="40"/>
      <w:contextualSpacing/>
    </w:pPr>
    <w:rPr>
      <w:rFonts w:ascii="Arial" w:hAnsi="Arial"/>
      <w:sz w:val="18"/>
    </w:r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000000"/>
      <w:spacing w:val="15"/>
      <w:sz w:val="22"/>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before="200" w:after="80" w:line="240" w:lineRule="auto"/>
      <w:contextualSpacing/>
    </w:pPr>
    <w:rPr>
      <w:rFonts w:asciiTheme="majorHAnsi" w:hAnsiTheme="majorHAnsi" w:eastAsiaTheme="majorEastAsia" w:cstheme="majorBidi"/>
      <w:b/>
      <w:color w:val="000000"/>
      <w:spacing w:val="5"/>
      <w:kern w:val="28"/>
      <w:sz w:val="3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1</TotalTime>
  <ScaleCrop>false</ScaleCrop>
  <LinksUpToDate>false</LinksUpToDate>
  <CharactersWithSpaces>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
  <cp:keywords/>
  <cp:lastModifiedBy/>
  <dcterms:modified xsi:type="dcterms:W3CDTF">2026-08-07T17:58:36Z</dcterms:modified>
  <dc:subject>Version 15 citation-audited supplementary materials</dc:subject>
  <dc:title>Reliable Evaluation of Semantic-Coherence Failures in Generated Text: Human Annotation, Computational Recovery, and LLM-Judge Sensitivity</dc:title>
  <cp:revision>1</cp:revision>
  <cp:category/>
  <dc:identifier/>
</cp:coreProperties>
</file>