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36"/>
          <w:szCs w:val="36"/>
        </w:rPr>
        <w:t xml:space="preserve">АНАЛИТИЧЕСКАЯ ЗАПИСКА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Проект «Секреты Тёмнолесья»: выводы по результатам анализа платящих игроков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Автор:  </w:t>
      </w:r>
      <w:r>
        <w:rPr>
          <w:color w:val="595959"/>
          <w:sz w:val="20"/>
          <w:szCs w:val="20"/>
        </w:rPr>
        <w:t xml:space="preserve">Гусак Даниель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Дата:  </w:t>
      </w:r>
      <w:r>
        <w:rPr>
          <w:color w:val="595959"/>
          <w:sz w:val="20"/>
          <w:szCs w:val="20"/>
        </w:rPr>
        <w:t xml:space="preserve">24.05.2026</w:t>
      </w:r>
    </w:p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Цель проекта:  </w:t>
      </w:r>
      <w:r>
        <w:rPr>
          <w:color w:val="595959"/>
          <w:sz w:val="20"/>
          <w:szCs w:val="20"/>
        </w:rPr>
        <w:t xml:space="preserve">изучить влияние характеристик игроков и их персонажей на покупку внутриигровой валюты «райские лепестки», оценить активность игроков при покупках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6"/>
          <w:szCs w:val="26"/>
        </w:rPr>
        <w:t xml:space="preserve">1. Доля платящих игроков и влияние расы персонажа</w:t>
      </w:r>
    </w:p>
    <w:p>
      <w:pPr>
        <w:spacing w:after="160" w:line="300"/>
      </w:pPr>
      <w:r>
        <w:rPr>
          <w:sz w:val="22"/>
          <w:szCs w:val="22"/>
        </w:rPr>
        <w:t xml:space="preserve">Всего в игре зарегистрировано 22 214 игрока, из них платящих — 3 929. Общая доля платящих игроков составляет 0,177 (17,7%).</w:t>
      </w:r>
    </w:p>
    <w:p>
      <w:pPr>
        <w:spacing w:after="160" w:line="300"/>
      </w:pPr>
      <w:r>
        <w:rPr>
          <w:sz w:val="22"/>
          <w:szCs w:val="22"/>
        </w:rPr>
        <w:t xml:space="preserve">В разрезе рас персонажей доля платящих распределена следующим образом: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Раса персонажа</w:t>
            </w:r>
          </w:p>
        </w:tc>
        <w:tc>
          <w:tcPr>
            <w:tcW w:type="dxa" w:w="25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Доля платящих</w:t>
            </w:r>
          </w:p>
        </w:tc>
        <w:tc>
          <w:tcPr>
            <w:tcW w:type="dxa" w:w="25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0.194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Максимум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Hobbit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0.181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Northman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0.176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0.176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0.176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Angel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0.173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Elf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0.171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Минимум</w:t>
            </w:r>
          </w:p>
        </w:tc>
      </w:tr>
    </w:tbl>
    <w:p>
      <w:pPr>
        <w:spacing w:after="160" w:before="200"/>
      </w:pPr>
    </w:p>
    <w:p>
      <w:pPr>
        <w:spacing w:after="160" w:line="300"/>
      </w:pPr>
      <w:r>
        <w:rPr>
          <w:sz w:val="22"/>
          <w:szCs w:val="22"/>
        </w:rPr>
        <w:t xml:space="preserve">Размах между расами — 2,3 п.п. (0,171–0,194), что является незначительной величиной.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Вывод: выбор расы персонажа практически не влияет на вероятность оплаты — конверсия по всем расам держится в узком диапазоне около среднего значения по игре.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6"/>
          <w:szCs w:val="26"/>
        </w:rPr>
        <w:t xml:space="preserve">2. Статистика внутриигровых покупок</w:t>
      </w:r>
    </w:p>
    <w:p>
      <w:pPr>
        <w:spacing w:after="160" w:line="300"/>
      </w:pPr>
      <w:r>
        <w:rPr>
          <w:sz w:val="22"/>
          <w:szCs w:val="22"/>
        </w:rPr>
        <w:t xml:space="preserve">Всего за исследуемый период совершено 1 307 678 покупок. Основные статистические показатели по стоимости покупки: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Всего покупок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1 307 678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Среднее значение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525.69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Медиана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74.86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Стандартное отклонение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2 517.35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Максимум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486 615.1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Доля нулевых покупок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</w:tr>
    </w:tbl>
    <w:p>
      <w:pPr>
        <w:spacing w:after="160" w:before="200"/>
      </w:pPr>
    </w:p>
    <w:p>
      <w:pPr>
        <w:spacing w:after="160" w:line="300"/>
      </w:pPr>
      <w:r>
        <w:rPr>
          <w:sz w:val="22"/>
          <w:szCs w:val="22"/>
        </w:rPr>
        <w:t xml:space="preserve">Среднее значение (525,69) существенно выше медианы (74,86) — разница почти в 7 раз указывает на правостороннее смещение распределения за счёт выбросов. Стандартное отклонение (2 517,35) также значительно превышает медиану, а максимальное значение покупки (486 615,1) кратно больше среднего.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Вывод: в данных преобладают частые покупки небольшой стоимости, но присутствуют отдельные крупные транзакции, которые смещают среднее значение вправо и делают его ненадёжной метрикой для типичной покупки.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6"/>
          <w:szCs w:val="26"/>
        </w:rPr>
        <w:t xml:space="preserve">3. Аномальные покупки</w:t>
      </w:r>
    </w:p>
    <w:p>
      <w:pPr>
        <w:spacing w:after="160" w:line="300"/>
      </w:pPr>
      <w:r>
        <w:rPr>
          <w:sz w:val="22"/>
          <w:szCs w:val="22"/>
        </w:rPr>
        <w:t xml:space="preserve">Аномально дорогие покупки присутствуют, но в небольшом количестве. Об этом свидетельствуют высокое стандартное отклонение (2 517,35) при медиане 74,86 и максимальное значение 486 615,1, кратно превышающее типичный чек. Доля покупок с нулевой стоимостью — 0,1%, то есть системных сбоев с бесплатными транзакциями практически нет.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6"/>
          <w:szCs w:val="26"/>
        </w:rPr>
        <w:t xml:space="preserve">4. Популярность эпических предметов</w:t>
      </w:r>
    </w:p>
    <w:p>
      <w:pPr>
        <w:spacing w:after="160" w:line="300"/>
      </w:pPr>
      <w:r>
        <w:rPr>
          <w:sz w:val="22"/>
          <w:szCs w:val="22"/>
        </w:rPr>
        <w:t xml:space="preserve">Среди эпических предметов выделяются два явных лидера продаж: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00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dxa" w:w="2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Доля продаж</w:t>
            </w:r>
          </w:p>
        </w:tc>
        <w:tc>
          <w:tcPr>
            <w:tcW w:type="dxa" w:w="2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Доля покупателей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 of Legends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76.87%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36.39%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Bag of Holding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20.81%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35.71%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Остальные предметы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1.1% каждый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200"/>
      </w:pPr>
    </w:p>
    <w:p>
      <w:pPr>
        <w:spacing w:after="160" w:line="300"/>
      </w:pPr>
      <w:r>
        <w:rPr>
          <w:sz w:val="22"/>
          <w:szCs w:val="22"/>
        </w:rPr>
        <w:t xml:space="preserve">На эти два предмета приходится порядка 97,7% всех продаж эпических предметов, каждый из них приобрела примерно треть всех покупателей (36,39% и 35,71% соответственно). Остальные предметы — менее 1,1% продаж каждый.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Вывод: два предмета формируют подавляющее большинство продаж. Большая доля охвата пользователей (около 36%) говорит о том, что эти предметы воспринимаются игроками не как ситуативные, а как практически обязательные — возможно, из-за того, что дают ощутимое игровое преимущество. Это может снижать разнообразие билдов и ценность остальных предметов, а в долгосрочной перспективе — интерес к игре.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6"/>
          <w:szCs w:val="26"/>
        </w:rPr>
        <w:t xml:space="preserve">5. Ad hoc-задача: зависимость активности от расы персонажа</w:t>
      </w:r>
    </w:p>
    <w:p>
      <w:pPr>
        <w:spacing w:after="160" w:line="300"/>
      </w:pPr>
      <w:r>
        <w:rPr>
          <w:sz w:val="22"/>
          <w:szCs w:val="22"/>
        </w:rPr>
        <w:t xml:space="preserve">Вопрос: существует ли зависимость активности игроков по внутриигровым покупкам от расы персонажа?</w:t>
      </w:r>
    </w:p>
    <w:p>
      <w:pPr>
        <w:spacing w:after="160" w:line="300"/>
      </w:pPr>
      <w:r>
        <w:rPr>
          <w:sz w:val="22"/>
          <w:szCs w:val="22"/>
        </w:rPr>
        <w:t xml:space="preserve">Данные показывают, что раса влияет на активность покупок слабо: распределение количества покупок, конверсии и использования предметов практически одинаково для разных рас, значимых различий не выявлено.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Вывод: как и в случае с долей платящих игроков, раса персонажа не является значимым фактором активности покупок.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6"/>
          <w:szCs w:val="26"/>
        </w:rPr>
        <w:t xml:space="preserve">6. Общие выводы и рекомендации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sz w:val="22"/>
          <w:szCs w:val="22"/>
        </w:rPr>
        <w:t xml:space="preserve">Общая конверсия в оплату — 17,7%. Разница между расами минимальна (2–3 п.п.), поэтому сегментация по расе не является основным источником монетизации — стоит сделать упор на другие признаки сегментации игроков (поведенческие, платёжные, временные).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sz w:val="22"/>
          <w:szCs w:val="22"/>
        </w:rPr>
        <w:t xml:space="preserve">Распределение стоимости покупок несимметрично: медиана (74,86) значительно ниже среднего (525,69) и тем более максимума (486 615,1). Для отчётности и принятия решений корректнее использовать медиану, либо межквартильный размах, отсекая 25% самых высоких и низких значений и выделяя их в отдельный вид транзакций.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sz w:val="22"/>
          <w:szCs w:val="22"/>
        </w:rPr>
        <w:t xml:space="preserve">Целесообразно выделить отдельный «whale»-сегмент игроков с крупными разовыми покупками и рассмотреть для него отдельную VIP-механику монетизации, отличную от массового сегмента.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sz w:val="22"/>
          <w:szCs w:val="22"/>
        </w:rPr>
        <w:t xml:space="preserve">Усилить контроль за предметами 6010 (Books of Legends) и 6011 (Bag of Holding) — на них приходится 97% всех продаж эпических предметов. Необходимо проверить, не создают ли они дисбаланс в игре, и рассмотреть усиление маркетинга остальных предметов для повышения разнообразия покупок.</w:t>
      </w:r>
    </w:p>
    <w:p>
      <w:pPr>
        <w:pStyle w:val="Heading2"/>
        <w:spacing w:after="100" w:before="220"/>
      </w:pPr>
      <w:r>
        <w:rPr>
          <w:b/>
          <w:bCs/>
          <w:color w:val="1F4E5F"/>
          <w:sz w:val="23"/>
          <w:szCs w:val="23"/>
        </w:rPr>
        <w:t xml:space="preserve">Итоговый вывод</w:t>
      </w:r>
    </w:p>
    <w:p>
      <w:pPr>
        <w:spacing w:after="160" w:line="300"/>
      </w:pPr>
      <w:r>
        <w:rPr>
          <w:sz w:val="22"/>
          <w:szCs w:val="22"/>
        </w:rPr>
        <w:t xml:space="preserve">Выбор расы персонажа не влияет на монетизацию. Основной доход обеспечивают немногочисленные, но крупные покупки на фоне множества мелких стабильных покупок базовых предметов.</w:t>
      </w:r>
    </w:p>
    <w:sectPr>
      <w:headerReference w:type="default" r:id="rId7"/>
      <w:footerReference w:type="default" r:id="rId8"/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Спринт 4. Проект «Секреты Тёмнолесья» — аналитическая записка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2026-07-18T22:22:38.970Z</dcterms:created>
  <dcterms:modified xsi:type="dcterms:W3CDTF">2026-07-18T22:22:38.991Z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