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BB920" w14:textId="77777777" w:rsidR="00DB32E2" w:rsidRDefault="00DB32E2" w:rsidP="00DB32E2">
      <w:pPr>
        <w:spacing w:line="360" w:lineRule="auto"/>
        <w:jc w:val="both"/>
        <w:rPr>
          <w:rFonts w:asciiTheme="majorBidi" w:hAnsiTheme="majorBidi" w:cstheme="majorBidi"/>
          <w:b/>
          <w:bCs/>
          <w:sz w:val="32"/>
          <w:szCs w:val="32"/>
          <w:rtl/>
        </w:rPr>
      </w:pPr>
      <w:r w:rsidRPr="00DB32E2">
        <w:rPr>
          <w:rFonts w:asciiTheme="majorBidi" w:hAnsiTheme="majorBidi" w:cstheme="majorBidi"/>
          <w:b/>
          <w:bCs/>
          <w:sz w:val="32"/>
          <w:szCs w:val="32"/>
        </w:rPr>
        <w:t>Disentangling Generic Drug Persistence from Osimertinib-Associated Resistance Commitment in EGFR-Mutant NSCLC Using Cross-Dataset Interpretable Machine Learning</w:t>
      </w:r>
    </w:p>
    <w:p w14:paraId="1A68D230" w14:textId="64CD4B39" w:rsidR="007A59A6" w:rsidRDefault="00B8304A" w:rsidP="00DB32E2">
      <w:pPr>
        <w:spacing w:line="360" w:lineRule="auto"/>
        <w:jc w:val="both"/>
        <w:rPr>
          <w:rFonts w:asciiTheme="majorBidi" w:hAnsiTheme="majorBidi" w:cstheme="majorBidi"/>
          <w:b/>
          <w:bCs/>
          <w:rtl/>
        </w:rPr>
      </w:pPr>
      <w:r w:rsidRPr="00B8304A">
        <w:rPr>
          <w:rFonts w:asciiTheme="majorBidi" w:hAnsiTheme="majorBidi" w:cstheme="majorBidi"/>
          <w:b/>
          <w:bCs/>
        </w:rPr>
        <w:t>INTRODUCTION</w:t>
      </w:r>
    </w:p>
    <w:p w14:paraId="711377DE" w14:textId="7904D0D0" w:rsidR="00B3173D" w:rsidRDefault="009257E7" w:rsidP="00B3173D">
      <w:pPr>
        <w:spacing w:line="360" w:lineRule="auto"/>
        <w:jc w:val="both"/>
        <w:rPr>
          <w:rFonts w:asciiTheme="majorBidi" w:hAnsiTheme="majorBidi" w:cstheme="majorBidi"/>
          <w:rtl/>
        </w:rPr>
      </w:pPr>
      <w:r w:rsidRPr="009257E7">
        <w:rPr>
          <w:rFonts w:asciiTheme="majorBidi" w:hAnsiTheme="majorBidi" w:cstheme="majorBidi"/>
        </w:rPr>
        <w:t xml:space="preserve">Osimertinib is a third-generation EGFR tyrosine kinase inhibitor widely used for the treatment of EGFR-mutant non-small cell lung cancer (NSCLC). Despite its clinical effectiveness, long-term treatment is frequently limited by drug tolerance and the eventual development of acquired resistance. One population implicated in this process is drug-tolerant </w:t>
      </w:r>
      <w:proofErr w:type="spellStart"/>
      <w:r w:rsidRPr="009257E7">
        <w:rPr>
          <w:rFonts w:asciiTheme="majorBidi" w:hAnsiTheme="majorBidi" w:cstheme="majorBidi"/>
        </w:rPr>
        <w:t>persister</w:t>
      </w:r>
      <w:proofErr w:type="spellEnd"/>
      <w:r w:rsidRPr="009257E7">
        <w:rPr>
          <w:rFonts w:asciiTheme="majorBidi" w:hAnsiTheme="majorBidi" w:cstheme="majorBidi"/>
        </w:rPr>
        <w:t xml:space="preserve"> (DTP) cells, which survive prolonged treatment without necessarily displaying the stable proliferative resistance observed in fully resistant cells. Criscione et al. [1] characterized osimertinib-induced DTP cells and identified transcriptional changes that differed from those observed during acute drug exposure, together with extensive alterations in chromatin accessibility. Importantly, some DTP-associated expression programs remained detectable after drug withdrawal, whereas others moved back toward baseline, indicating that the DTP state contains molecular changes with different degrees of reversibility. The study also identified potential therapeutic vulnerabilities involving MEK, AURKB, BRD4, and TEAD-related pathways. Drug persistence is not restricted to osimertinib or to EGFR-driven tumors. </w:t>
      </w:r>
      <w:proofErr w:type="spellStart"/>
      <w:r w:rsidRPr="009257E7">
        <w:rPr>
          <w:rFonts w:asciiTheme="majorBidi" w:hAnsiTheme="majorBidi" w:cstheme="majorBidi"/>
        </w:rPr>
        <w:t>Haderk</w:t>
      </w:r>
      <w:proofErr w:type="spellEnd"/>
      <w:r w:rsidRPr="009257E7">
        <w:rPr>
          <w:rFonts w:asciiTheme="majorBidi" w:hAnsiTheme="majorBidi" w:cstheme="majorBidi"/>
        </w:rPr>
        <w:t xml:space="preserve"> et al. [2] identified DTP populations across NSCLC models driven by EGFR, ALK, and KRAS alterations and demonstrated a role for FAK-YAP signaling in residual disease. They further observed significant transcriptional differences among acute treatment, DTP, and </w:t>
      </w:r>
      <w:r w:rsidR="00B3173D" w:rsidRPr="00B3173D">
        <w:rPr>
          <w:rFonts w:asciiTheme="majorBidi" w:hAnsiTheme="majorBidi" w:cstheme="majorBidi"/>
        </w:rPr>
        <w:t>acquired resistance states</w:t>
      </w:r>
      <w:r w:rsidRPr="009257E7">
        <w:rPr>
          <w:rFonts w:asciiTheme="majorBidi" w:hAnsiTheme="majorBidi" w:cstheme="majorBidi"/>
        </w:rPr>
        <w:t xml:space="preserve">, supporting the view that these stages represent distinct biological states during treatment response. Additional studies have characterized osimertinib tolerance and resistance at different molecular levels. Hsu et al. [3] used proteomic and </w:t>
      </w:r>
      <w:proofErr w:type="spellStart"/>
      <w:r w:rsidRPr="009257E7">
        <w:rPr>
          <w:rFonts w:asciiTheme="majorBidi" w:hAnsiTheme="majorBidi" w:cstheme="majorBidi"/>
        </w:rPr>
        <w:t>phosphoproteomic</w:t>
      </w:r>
      <w:proofErr w:type="spellEnd"/>
      <w:r w:rsidRPr="009257E7">
        <w:rPr>
          <w:rFonts w:asciiTheme="majorBidi" w:hAnsiTheme="majorBidi" w:cstheme="majorBidi"/>
        </w:rPr>
        <w:t xml:space="preserve"> profiling to examine the transition from acute osimertinib exposure to the DTP state and drug-free recovery. Their analysis revealed dynamic signaling changes and identified CDK1-associated signaling as a potential DTP vulnerability, with genetic or pharmacological inhibition of CDK1 impairing DTP growth and survival. </w:t>
      </w:r>
      <w:proofErr w:type="spellStart"/>
      <w:r w:rsidRPr="009257E7">
        <w:rPr>
          <w:rFonts w:asciiTheme="majorBidi" w:hAnsiTheme="majorBidi" w:cstheme="majorBidi"/>
        </w:rPr>
        <w:t>Ibusuki</w:t>
      </w:r>
      <w:proofErr w:type="spellEnd"/>
      <w:r w:rsidRPr="009257E7">
        <w:rPr>
          <w:rFonts w:asciiTheme="majorBidi" w:hAnsiTheme="majorBidi" w:cstheme="majorBidi"/>
        </w:rPr>
        <w:t xml:space="preserve"> et al. [4] analyzed pretreatment tumor specimens from patients with EGFR-mutant NSCLC and found that increased IFITM3 expression was associated with poorer osimertinib response and shorter progression-free survival. Mechanistic experiments linked IFITM3 to MET interaction and AKT pathway activation during the development of resistance. </w:t>
      </w:r>
      <w:proofErr w:type="spellStart"/>
      <w:r w:rsidRPr="009257E7">
        <w:rPr>
          <w:rFonts w:asciiTheme="majorBidi" w:hAnsiTheme="majorBidi" w:cstheme="majorBidi"/>
        </w:rPr>
        <w:t>Dayanc</w:t>
      </w:r>
      <w:proofErr w:type="spellEnd"/>
      <w:r w:rsidRPr="009257E7">
        <w:rPr>
          <w:rFonts w:asciiTheme="majorBidi" w:hAnsiTheme="majorBidi" w:cstheme="majorBidi"/>
        </w:rPr>
        <w:t xml:space="preserve"> et al. [5] investigated non-genetic acquired osimertinib resistance using transcriptomic and chromatin-accessibility analyses and identified the AP-1 </w:t>
      </w:r>
      <w:r w:rsidRPr="009257E7">
        <w:rPr>
          <w:rFonts w:asciiTheme="majorBidi" w:hAnsiTheme="majorBidi" w:cstheme="majorBidi"/>
        </w:rPr>
        <w:lastRenderedPageBreak/>
        <w:t xml:space="preserve">components FOSL1 and JUN as important regulators of the resistant state. Genetic depletion or pharmacological inhibition of AP-1 restored sensitivity to osimertinib in resistant cells. </w:t>
      </w:r>
      <w:proofErr w:type="gramStart"/>
      <w:r w:rsidRPr="009257E7">
        <w:rPr>
          <w:rFonts w:asciiTheme="majorBidi" w:hAnsiTheme="majorBidi" w:cstheme="majorBidi"/>
        </w:rPr>
        <w:t>Perez-Medina</w:t>
      </w:r>
      <w:proofErr w:type="gramEnd"/>
      <w:r w:rsidRPr="009257E7">
        <w:rPr>
          <w:rFonts w:asciiTheme="majorBidi" w:hAnsiTheme="majorBidi" w:cstheme="majorBidi"/>
        </w:rPr>
        <w:t xml:space="preserve"> et al. [6] focused on earlier treatment-associated changes and identified altered long non-coding RNAs and CD74 in TKI-induced DTP cells, with knockdown of these </w:t>
      </w:r>
      <w:proofErr w:type="gramStart"/>
      <w:r w:rsidRPr="009257E7">
        <w:rPr>
          <w:rFonts w:asciiTheme="majorBidi" w:hAnsiTheme="majorBidi" w:cstheme="majorBidi"/>
        </w:rPr>
        <w:t>candidates</w:t>
      </w:r>
      <w:proofErr w:type="gramEnd"/>
      <w:r w:rsidRPr="009257E7">
        <w:rPr>
          <w:rFonts w:asciiTheme="majorBidi" w:hAnsiTheme="majorBidi" w:cstheme="majorBidi"/>
        </w:rPr>
        <w:t xml:space="preserve"> increasing sensitivity to treatment. Together, these findings support a view of DTP cells as a heterogeneous and often reversible population that can provide a reservoir from which more stable resistance may emerge [7,8]. Computational work has further emphasized that persistence and dormancy should be considered dynamic state-transition processes rather than fixed molecular classes, while also highlighting challenges related to rare-state detection, cross-study incompatibility, and the use of static measurements to investigate temporal biological processes [9]. More broadly, multi-omics and machine-learning approaches provide opportunities for integrating heterogeneous molecular information, although reproducibility and validation across independent populations remain important limitations [10]. Recent studies have further refined this picture. Longitudinal analysis of patients treated with frontline osimertinib across baseline, DTP, and stable-resistance states identified a GSTA1⁺RSPH1⁺ </w:t>
      </w:r>
      <w:proofErr w:type="spellStart"/>
      <w:r w:rsidRPr="009257E7">
        <w:rPr>
          <w:rFonts w:asciiTheme="majorBidi" w:hAnsiTheme="majorBidi" w:cstheme="majorBidi"/>
        </w:rPr>
        <w:t>persister</w:t>
      </w:r>
      <w:proofErr w:type="spellEnd"/>
      <w:r w:rsidRPr="009257E7">
        <w:rPr>
          <w:rFonts w:asciiTheme="majorBidi" w:hAnsiTheme="majorBidi" w:cstheme="majorBidi"/>
        </w:rPr>
        <w:t xml:space="preserve"> population and investigated a specific molecular mechanism linking drug tolerance to resistance [11]. In parallel, Arora et al. [12] integrated multiple public RNA-seq datasets across different cancer and treatment contexts and identified PanDTP-12, a recurrent 12-gene program associated with the DTP state. Their study provides evidence that a component of the DTP transcriptomic response is shared across distinct biological contexts. Recent transcriptomic and network-based work has also examined epigenetic regulators of osimertinib-tolerant DTP populations in EGFR-mutant HCC827 cells [13]. These studies demonstrate both shared features of drug persistence and context-specific mechanisms of osimertinib tolerance and resistance. </w:t>
      </w:r>
      <w:r w:rsidR="00B3173D" w:rsidRPr="00B3173D">
        <w:rPr>
          <w:rFonts w:asciiTheme="majorBidi" w:hAnsiTheme="majorBidi" w:cstheme="majorBidi"/>
        </w:rPr>
        <w:t xml:space="preserve">However, the relationship between broadly shared drug-persistence programs and molecular changes associated with progression toward stable osimertinib resistance remains incompletely resolved. </w:t>
      </w:r>
      <w:proofErr w:type="gramStart"/>
      <w:r w:rsidR="00B3173D" w:rsidRPr="00B3173D">
        <w:rPr>
          <w:rFonts w:asciiTheme="majorBidi" w:hAnsiTheme="majorBidi" w:cstheme="majorBidi"/>
        </w:rPr>
        <w:t>In particular, it</w:t>
      </w:r>
      <w:proofErr w:type="gramEnd"/>
      <w:r w:rsidR="00B3173D" w:rsidRPr="00B3173D">
        <w:rPr>
          <w:rFonts w:asciiTheme="majorBidi" w:hAnsiTheme="majorBidi" w:cstheme="majorBidi"/>
        </w:rPr>
        <w:t xml:space="preserve"> is unclear whether DTP-associated transcriptional changes primarily represent general and reversible responses to targeted therapy or whether a subset of these changes persists after drug withdrawal and subsequently </w:t>
      </w:r>
      <w:proofErr w:type="gramStart"/>
      <w:r w:rsidR="00B3173D" w:rsidRPr="00B3173D">
        <w:rPr>
          <w:rFonts w:asciiTheme="majorBidi" w:hAnsiTheme="majorBidi" w:cstheme="majorBidi"/>
        </w:rPr>
        <w:t>recurs</w:t>
      </w:r>
      <w:proofErr w:type="gramEnd"/>
      <w:r w:rsidR="00B3173D" w:rsidRPr="00B3173D">
        <w:rPr>
          <w:rFonts w:asciiTheme="majorBidi" w:hAnsiTheme="majorBidi" w:cstheme="majorBidi"/>
        </w:rPr>
        <w:t xml:space="preserve"> or intensifies during acquired resistance. We hypothesize that DTP-associated transcriptional changes comprise at least two separable components: a broadly shared and predominantly reversible drug-persistence program, and a more persistent osimertinib-associated program that is retained after drug withdrawal and recurs or intensifies during acquired resistance. To investigate this hypothesis, the present study will integrate transcriptomic data across acute treatment, DTP, drug-withdrawal, and acquired resistance states</w:t>
      </w:r>
      <w:r w:rsidR="00B3173D">
        <w:rPr>
          <w:rFonts w:asciiTheme="majorBidi" w:hAnsiTheme="majorBidi" w:cstheme="majorBidi" w:hint="cs"/>
          <w:rtl/>
        </w:rPr>
        <w:t xml:space="preserve"> </w:t>
      </w:r>
      <w:r w:rsidR="00B3173D" w:rsidRPr="00B3173D">
        <w:rPr>
          <w:rFonts w:asciiTheme="majorBidi" w:hAnsiTheme="majorBidi" w:cstheme="majorBidi"/>
        </w:rPr>
        <w:t xml:space="preserve">from multiple independent </w:t>
      </w:r>
      <w:r w:rsidR="00B3173D" w:rsidRPr="00B3173D">
        <w:rPr>
          <w:rFonts w:asciiTheme="majorBidi" w:hAnsiTheme="majorBidi" w:cstheme="majorBidi"/>
        </w:rPr>
        <w:lastRenderedPageBreak/>
        <w:t>datasets. Cross-dataset and interpretable machine-learning approaches will be used to distinguish these molecular programs and evaluate their persistence, reproducibility across independent experimental models, and potential association with clinical treatment response in patient-derived datasets.</w:t>
      </w:r>
    </w:p>
    <w:p w14:paraId="70D5ED8D" w14:textId="4BCC532E" w:rsidR="00F953CD" w:rsidRDefault="003429AC" w:rsidP="003429AC">
      <w:pPr>
        <w:spacing w:line="360" w:lineRule="auto"/>
        <w:jc w:val="both"/>
        <w:rPr>
          <w:rFonts w:asciiTheme="majorBidi" w:hAnsiTheme="majorBidi" w:cstheme="majorBidi"/>
          <w:b/>
          <w:bCs/>
        </w:rPr>
      </w:pPr>
      <w:proofErr w:type="gramStart"/>
      <w:r w:rsidRPr="003429AC">
        <w:rPr>
          <w:rFonts w:asciiTheme="majorBidi" w:hAnsiTheme="majorBidi" w:cstheme="majorBidi"/>
        </w:rPr>
        <w:t>.</w:t>
      </w:r>
      <w:r w:rsidR="00F953CD" w:rsidRPr="00F953CD">
        <w:rPr>
          <w:rFonts w:asciiTheme="majorBidi" w:hAnsiTheme="majorBidi" w:cstheme="majorBidi"/>
          <w:b/>
          <w:bCs/>
        </w:rPr>
        <w:t>REFERENCES</w:t>
      </w:r>
      <w:proofErr w:type="gramEnd"/>
    </w:p>
    <w:p w14:paraId="5F1D5E97" w14:textId="477FCB56" w:rsidR="00F953CD" w:rsidRPr="00F953CD" w:rsidRDefault="00F953CD" w:rsidP="009257E7">
      <w:pPr>
        <w:pStyle w:val="ListParagraph"/>
        <w:numPr>
          <w:ilvl w:val="0"/>
          <w:numId w:val="1"/>
        </w:numPr>
        <w:spacing w:line="360" w:lineRule="auto"/>
        <w:jc w:val="both"/>
        <w:rPr>
          <w:rFonts w:asciiTheme="majorBidi" w:hAnsiTheme="majorBidi" w:cstheme="majorBidi"/>
          <w:sz w:val="20"/>
          <w:szCs w:val="20"/>
        </w:rPr>
      </w:pPr>
      <w:r w:rsidRPr="00F953CD">
        <w:rPr>
          <w:rFonts w:asciiTheme="majorBidi" w:hAnsiTheme="majorBidi" w:cstheme="majorBidi"/>
          <w:sz w:val="20"/>
          <w:szCs w:val="20"/>
        </w:rPr>
        <w:t xml:space="preserve">Criscione SW, Martin MJ, Oien DB, </w:t>
      </w:r>
      <w:proofErr w:type="spellStart"/>
      <w:r w:rsidRPr="00F953CD">
        <w:rPr>
          <w:rFonts w:asciiTheme="majorBidi" w:hAnsiTheme="majorBidi" w:cstheme="majorBidi"/>
          <w:sz w:val="20"/>
          <w:szCs w:val="20"/>
        </w:rPr>
        <w:t>Gorthi</w:t>
      </w:r>
      <w:proofErr w:type="spellEnd"/>
      <w:r w:rsidRPr="00F953CD">
        <w:rPr>
          <w:rFonts w:asciiTheme="majorBidi" w:hAnsiTheme="majorBidi" w:cstheme="majorBidi"/>
          <w:sz w:val="20"/>
          <w:szCs w:val="20"/>
        </w:rPr>
        <w:t xml:space="preserve"> A, </w:t>
      </w:r>
      <w:proofErr w:type="spellStart"/>
      <w:r w:rsidRPr="00F953CD">
        <w:rPr>
          <w:rFonts w:asciiTheme="majorBidi" w:hAnsiTheme="majorBidi" w:cstheme="majorBidi"/>
          <w:sz w:val="20"/>
          <w:szCs w:val="20"/>
        </w:rPr>
        <w:t>Miragaia</w:t>
      </w:r>
      <w:proofErr w:type="spellEnd"/>
      <w:r w:rsidRPr="00F953CD">
        <w:rPr>
          <w:rFonts w:asciiTheme="majorBidi" w:hAnsiTheme="majorBidi" w:cstheme="majorBidi"/>
          <w:sz w:val="20"/>
          <w:szCs w:val="20"/>
        </w:rPr>
        <w:t xml:space="preserve"> RJ, Zhang J, Chen H, Karl DL, Mendler K, </w:t>
      </w:r>
      <w:proofErr w:type="spellStart"/>
      <w:r w:rsidRPr="00F953CD">
        <w:rPr>
          <w:rFonts w:asciiTheme="majorBidi" w:hAnsiTheme="majorBidi" w:cstheme="majorBidi"/>
          <w:sz w:val="20"/>
          <w:szCs w:val="20"/>
        </w:rPr>
        <w:t>Markovets</w:t>
      </w:r>
      <w:proofErr w:type="spellEnd"/>
      <w:r w:rsidRPr="00F953CD">
        <w:rPr>
          <w:rFonts w:asciiTheme="majorBidi" w:hAnsiTheme="majorBidi" w:cstheme="majorBidi"/>
          <w:sz w:val="20"/>
          <w:szCs w:val="20"/>
        </w:rPr>
        <w:t xml:space="preserve"> A, </w:t>
      </w:r>
      <w:proofErr w:type="spellStart"/>
      <w:r w:rsidRPr="00F953CD">
        <w:rPr>
          <w:rFonts w:asciiTheme="majorBidi" w:hAnsiTheme="majorBidi" w:cstheme="majorBidi"/>
          <w:sz w:val="20"/>
          <w:szCs w:val="20"/>
        </w:rPr>
        <w:t>Gagrica</w:t>
      </w:r>
      <w:proofErr w:type="spellEnd"/>
      <w:r w:rsidRPr="00F953CD">
        <w:rPr>
          <w:rFonts w:asciiTheme="majorBidi" w:hAnsiTheme="majorBidi" w:cstheme="majorBidi"/>
          <w:sz w:val="20"/>
          <w:szCs w:val="20"/>
        </w:rPr>
        <w:t xml:space="preserve"> S. The landscape of therapeutic vulnerabilities in EGFR inhibitor osimertinib drug tolerant </w:t>
      </w:r>
      <w:proofErr w:type="spellStart"/>
      <w:r w:rsidRPr="00F953CD">
        <w:rPr>
          <w:rFonts w:asciiTheme="majorBidi" w:hAnsiTheme="majorBidi" w:cstheme="majorBidi"/>
          <w:sz w:val="20"/>
          <w:szCs w:val="20"/>
        </w:rPr>
        <w:t>persister</w:t>
      </w:r>
      <w:proofErr w:type="spellEnd"/>
      <w:r w:rsidRPr="00F953CD">
        <w:rPr>
          <w:rFonts w:asciiTheme="majorBidi" w:hAnsiTheme="majorBidi" w:cstheme="majorBidi"/>
          <w:sz w:val="20"/>
          <w:szCs w:val="20"/>
        </w:rPr>
        <w:t xml:space="preserve"> cells. NPJ precision oncology. 2022 Dec 27;6(1):95.</w:t>
      </w:r>
    </w:p>
    <w:p w14:paraId="57CBFB98" w14:textId="774CA08D" w:rsidR="00F953CD" w:rsidRDefault="00F953CD" w:rsidP="009257E7">
      <w:pPr>
        <w:pStyle w:val="ListParagraph"/>
        <w:numPr>
          <w:ilvl w:val="0"/>
          <w:numId w:val="1"/>
        </w:numPr>
        <w:spacing w:line="360" w:lineRule="auto"/>
        <w:jc w:val="both"/>
        <w:rPr>
          <w:rFonts w:asciiTheme="majorBidi" w:hAnsiTheme="majorBidi" w:cstheme="majorBidi"/>
          <w:sz w:val="20"/>
          <w:szCs w:val="20"/>
        </w:rPr>
      </w:pPr>
      <w:proofErr w:type="spellStart"/>
      <w:r w:rsidRPr="00F953CD">
        <w:rPr>
          <w:rFonts w:asciiTheme="majorBidi" w:hAnsiTheme="majorBidi" w:cstheme="majorBidi"/>
          <w:sz w:val="20"/>
          <w:szCs w:val="20"/>
        </w:rPr>
        <w:t>Haderk</w:t>
      </w:r>
      <w:proofErr w:type="spellEnd"/>
      <w:r w:rsidRPr="00F953CD">
        <w:rPr>
          <w:rFonts w:asciiTheme="majorBidi" w:hAnsiTheme="majorBidi" w:cstheme="majorBidi"/>
          <w:sz w:val="20"/>
          <w:szCs w:val="20"/>
        </w:rPr>
        <w:t xml:space="preserve"> F, Chou YT, Cech L, Fernández-Méndez C, Yu J, Olivas V, Meraz IM, Barbosa Rabago D, Kerr DL, Gomez C, </w:t>
      </w:r>
      <w:proofErr w:type="spellStart"/>
      <w:r w:rsidRPr="00F953CD">
        <w:rPr>
          <w:rFonts w:asciiTheme="majorBidi" w:hAnsiTheme="majorBidi" w:cstheme="majorBidi"/>
          <w:sz w:val="20"/>
          <w:szCs w:val="20"/>
        </w:rPr>
        <w:t>Allegakoen</w:t>
      </w:r>
      <w:proofErr w:type="spellEnd"/>
      <w:r w:rsidRPr="00F953CD">
        <w:rPr>
          <w:rFonts w:asciiTheme="majorBidi" w:hAnsiTheme="majorBidi" w:cstheme="majorBidi"/>
          <w:sz w:val="20"/>
          <w:szCs w:val="20"/>
        </w:rPr>
        <w:t xml:space="preserve"> DV. Focal adhesion kinase-YAP signaling axis drives drug-tolerant </w:t>
      </w:r>
      <w:proofErr w:type="spellStart"/>
      <w:r w:rsidRPr="00F953CD">
        <w:rPr>
          <w:rFonts w:asciiTheme="majorBidi" w:hAnsiTheme="majorBidi" w:cstheme="majorBidi"/>
          <w:sz w:val="20"/>
          <w:szCs w:val="20"/>
        </w:rPr>
        <w:t>persister</w:t>
      </w:r>
      <w:proofErr w:type="spellEnd"/>
      <w:r w:rsidRPr="00F953CD">
        <w:rPr>
          <w:rFonts w:asciiTheme="majorBidi" w:hAnsiTheme="majorBidi" w:cstheme="majorBidi"/>
          <w:sz w:val="20"/>
          <w:szCs w:val="20"/>
        </w:rPr>
        <w:t xml:space="preserve"> cells and residual disease in lung cancer. Nature communications. 2024 May 3;15(1):3741.</w:t>
      </w:r>
    </w:p>
    <w:p w14:paraId="3E57FE00" w14:textId="5767A6D9" w:rsidR="00F953CD" w:rsidRDefault="00F953CD" w:rsidP="009257E7">
      <w:pPr>
        <w:pStyle w:val="ListParagraph"/>
        <w:numPr>
          <w:ilvl w:val="0"/>
          <w:numId w:val="1"/>
        </w:numPr>
        <w:spacing w:line="360" w:lineRule="auto"/>
        <w:jc w:val="both"/>
        <w:rPr>
          <w:rFonts w:asciiTheme="majorBidi" w:hAnsiTheme="majorBidi" w:cstheme="majorBidi"/>
          <w:sz w:val="20"/>
          <w:szCs w:val="20"/>
        </w:rPr>
      </w:pPr>
      <w:r w:rsidRPr="00F953CD">
        <w:rPr>
          <w:rFonts w:asciiTheme="majorBidi" w:hAnsiTheme="majorBidi" w:cstheme="majorBidi"/>
          <w:sz w:val="20"/>
          <w:szCs w:val="20"/>
        </w:rPr>
        <w:t xml:space="preserve">Hsu HE, Martin MJ, Weng SH, </w:t>
      </w:r>
      <w:proofErr w:type="spellStart"/>
      <w:r w:rsidRPr="00F953CD">
        <w:rPr>
          <w:rFonts w:asciiTheme="majorBidi" w:hAnsiTheme="majorBidi" w:cstheme="majorBidi"/>
          <w:sz w:val="20"/>
          <w:szCs w:val="20"/>
        </w:rPr>
        <w:t>Kitata</w:t>
      </w:r>
      <w:proofErr w:type="spellEnd"/>
      <w:r w:rsidRPr="00F953CD">
        <w:rPr>
          <w:rFonts w:asciiTheme="majorBidi" w:hAnsiTheme="majorBidi" w:cstheme="majorBidi"/>
          <w:sz w:val="20"/>
          <w:szCs w:val="20"/>
        </w:rPr>
        <w:t xml:space="preserve"> RB, </w:t>
      </w:r>
      <w:proofErr w:type="spellStart"/>
      <w:r w:rsidRPr="00F953CD">
        <w:rPr>
          <w:rFonts w:asciiTheme="majorBidi" w:hAnsiTheme="majorBidi" w:cstheme="majorBidi"/>
          <w:sz w:val="20"/>
          <w:szCs w:val="20"/>
        </w:rPr>
        <w:t>Nagelli</w:t>
      </w:r>
      <w:proofErr w:type="spellEnd"/>
      <w:r w:rsidRPr="00F953CD">
        <w:rPr>
          <w:rFonts w:asciiTheme="majorBidi" w:hAnsiTheme="majorBidi" w:cstheme="majorBidi"/>
          <w:sz w:val="20"/>
          <w:szCs w:val="20"/>
        </w:rPr>
        <w:t xml:space="preserve"> S, Chang CY, Hess S, Chen YJ. </w:t>
      </w:r>
      <w:proofErr w:type="spellStart"/>
      <w:r w:rsidRPr="00F953CD">
        <w:rPr>
          <w:rFonts w:asciiTheme="majorBidi" w:hAnsiTheme="majorBidi" w:cstheme="majorBidi"/>
          <w:sz w:val="20"/>
          <w:szCs w:val="20"/>
        </w:rPr>
        <w:t>Phosphoproteomics</w:t>
      </w:r>
      <w:proofErr w:type="spellEnd"/>
      <w:r w:rsidRPr="00F953CD">
        <w:rPr>
          <w:rFonts w:asciiTheme="majorBidi" w:hAnsiTheme="majorBidi" w:cstheme="majorBidi"/>
          <w:sz w:val="20"/>
          <w:szCs w:val="20"/>
        </w:rPr>
        <w:t xml:space="preserve"> of osimertinib-tolerant </w:t>
      </w:r>
      <w:proofErr w:type="spellStart"/>
      <w:r w:rsidRPr="00F953CD">
        <w:rPr>
          <w:rFonts w:asciiTheme="majorBidi" w:hAnsiTheme="majorBidi" w:cstheme="majorBidi"/>
          <w:sz w:val="20"/>
          <w:szCs w:val="20"/>
        </w:rPr>
        <w:t>persister</w:t>
      </w:r>
      <w:proofErr w:type="spellEnd"/>
      <w:r w:rsidRPr="00F953CD">
        <w:rPr>
          <w:rFonts w:asciiTheme="majorBidi" w:hAnsiTheme="majorBidi" w:cstheme="majorBidi"/>
          <w:sz w:val="20"/>
          <w:szCs w:val="20"/>
        </w:rPr>
        <w:t xml:space="preserve"> cells </w:t>
      </w:r>
      <w:proofErr w:type="gramStart"/>
      <w:r w:rsidRPr="00F953CD">
        <w:rPr>
          <w:rFonts w:asciiTheme="majorBidi" w:hAnsiTheme="majorBidi" w:cstheme="majorBidi"/>
          <w:sz w:val="20"/>
          <w:szCs w:val="20"/>
        </w:rPr>
        <w:t>reveals</w:t>
      </w:r>
      <w:proofErr w:type="gramEnd"/>
      <w:r w:rsidRPr="00F953CD">
        <w:rPr>
          <w:rFonts w:asciiTheme="majorBidi" w:hAnsiTheme="majorBidi" w:cstheme="majorBidi"/>
          <w:sz w:val="20"/>
          <w:szCs w:val="20"/>
        </w:rPr>
        <w:t xml:space="preserve"> targetable kinase-substrate signatures. Molecular Systems Biology. 2025 Nov;21(11):1547-62.</w:t>
      </w:r>
    </w:p>
    <w:p w14:paraId="01067DAF" w14:textId="48F624DF" w:rsidR="00F953CD" w:rsidRDefault="00F953CD" w:rsidP="009257E7">
      <w:pPr>
        <w:pStyle w:val="ListParagraph"/>
        <w:numPr>
          <w:ilvl w:val="0"/>
          <w:numId w:val="1"/>
        </w:numPr>
        <w:spacing w:line="360" w:lineRule="auto"/>
        <w:jc w:val="both"/>
        <w:rPr>
          <w:rFonts w:asciiTheme="majorBidi" w:hAnsiTheme="majorBidi" w:cstheme="majorBidi"/>
          <w:sz w:val="20"/>
          <w:szCs w:val="20"/>
        </w:rPr>
      </w:pPr>
      <w:proofErr w:type="spellStart"/>
      <w:r w:rsidRPr="00F953CD">
        <w:rPr>
          <w:rFonts w:asciiTheme="majorBidi" w:hAnsiTheme="majorBidi" w:cstheme="majorBidi"/>
          <w:sz w:val="20"/>
          <w:szCs w:val="20"/>
        </w:rPr>
        <w:t>Ibusuki</w:t>
      </w:r>
      <w:proofErr w:type="spellEnd"/>
      <w:r w:rsidRPr="00F953CD">
        <w:rPr>
          <w:rFonts w:asciiTheme="majorBidi" w:hAnsiTheme="majorBidi" w:cstheme="majorBidi"/>
          <w:sz w:val="20"/>
          <w:szCs w:val="20"/>
        </w:rPr>
        <w:t xml:space="preserve"> R, Iwama E, </w:t>
      </w:r>
      <w:proofErr w:type="spellStart"/>
      <w:r w:rsidRPr="00F953CD">
        <w:rPr>
          <w:rFonts w:asciiTheme="majorBidi" w:hAnsiTheme="majorBidi" w:cstheme="majorBidi"/>
          <w:sz w:val="20"/>
          <w:szCs w:val="20"/>
        </w:rPr>
        <w:t>Shimauchi</w:t>
      </w:r>
      <w:proofErr w:type="spellEnd"/>
      <w:r w:rsidRPr="00F953CD">
        <w:rPr>
          <w:rFonts w:asciiTheme="majorBidi" w:hAnsiTheme="majorBidi" w:cstheme="majorBidi"/>
          <w:sz w:val="20"/>
          <w:szCs w:val="20"/>
        </w:rPr>
        <w:t xml:space="preserve"> A, Kawano H, Mizusaki S, Nakamura S, Miyazaki Y, </w:t>
      </w:r>
      <w:proofErr w:type="spellStart"/>
      <w:r w:rsidRPr="00F953CD">
        <w:rPr>
          <w:rFonts w:asciiTheme="majorBidi" w:hAnsiTheme="majorBidi" w:cstheme="majorBidi"/>
          <w:sz w:val="20"/>
          <w:szCs w:val="20"/>
        </w:rPr>
        <w:t>Inutsuka</w:t>
      </w:r>
      <w:proofErr w:type="spellEnd"/>
      <w:r w:rsidRPr="00F953CD">
        <w:rPr>
          <w:rFonts w:asciiTheme="majorBidi" w:hAnsiTheme="majorBidi" w:cstheme="majorBidi"/>
          <w:sz w:val="20"/>
          <w:szCs w:val="20"/>
        </w:rPr>
        <w:t xml:space="preserve"> Y, </w:t>
      </w:r>
      <w:proofErr w:type="spellStart"/>
      <w:r w:rsidRPr="00F953CD">
        <w:rPr>
          <w:rFonts w:asciiTheme="majorBidi" w:hAnsiTheme="majorBidi" w:cstheme="majorBidi"/>
          <w:sz w:val="20"/>
          <w:szCs w:val="20"/>
        </w:rPr>
        <w:t>Hashisako</w:t>
      </w:r>
      <w:proofErr w:type="spellEnd"/>
      <w:r w:rsidRPr="00F953CD">
        <w:rPr>
          <w:rFonts w:asciiTheme="majorBidi" w:hAnsiTheme="majorBidi" w:cstheme="majorBidi"/>
          <w:sz w:val="20"/>
          <w:szCs w:val="20"/>
        </w:rPr>
        <w:t xml:space="preserve"> M, Harada T, Tsuchiya-Kawano Y. IFITM3-MET interaction drives osimertinib resistance through AKT pathway activation in EGFR-mutant non–small cell lung cancer. Molecular cancer. 2025 Oct 28;24(1):272.</w:t>
      </w:r>
    </w:p>
    <w:p w14:paraId="42E487B3" w14:textId="7D02003D" w:rsidR="00F953CD" w:rsidRDefault="00F953CD" w:rsidP="009257E7">
      <w:pPr>
        <w:pStyle w:val="ListParagraph"/>
        <w:numPr>
          <w:ilvl w:val="0"/>
          <w:numId w:val="1"/>
        </w:numPr>
        <w:spacing w:line="360" w:lineRule="auto"/>
        <w:jc w:val="both"/>
        <w:rPr>
          <w:rFonts w:asciiTheme="majorBidi" w:hAnsiTheme="majorBidi" w:cstheme="majorBidi"/>
          <w:sz w:val="20"/>
          <w:szCs w:val="20"/>
        </w:rPr>
      </w:pPr>
      <w:proofErr w:type="spellStart"/>
      <w:r w:rsidRPr="00F953CD">
        <w:rPr>
          <w:rFonts w:asciiTheme="majorBidi" w:hAnsiTheme="majorBidi" w:cstheme="majorBidi"/>
          <w:sz w:val="20"/>
          <w:szCs w:val="20"/>
        </w:rPr>
        <w:t>Dayanc</w:t>
      </w:r>
      <w:proofErr w:type="spellEnd"/>
      <w:r w:rsidRPr="00F953CD">
        <w:rPr>
          <w:rFonts w:asciiTheme="majorBidi" w:hAnsiTheme="majorBidi" w:cstheme="majorBidi"/>
          <w:sz w:val="20"/>
          <w:szCs w:val="20"/>
        </w:rPr>
        <w:t xml:space="preserve"> B, Eris S, </w:t>
      </w:r>
      <w:proofErr w:type="spellStart"/>
      <w:r w:rsidRPr="00F953CD">
        <w:rPr>
          <w:rFonts w:asciiTheme="majorBidi" w:hAnsiTheme="majorBidi" w:cstheme="majorBidi"/>
          <w:sz w:val="20"/>
          <w:szCs w:val="20"/>
        </w:rPr>
        <w:t>Gulfirat</w:t>
      </w:r>
      <w:proofErr w:type="spellEnd"/>
      <w:r w:rsidRPr="00F953CD">
        <w:rPr>
          <w:rFonts w:asciiTheme="majorBidi" w:hAnsiTheme="majorBidi" w:cstheme="majorBidi"/>
          <w:sz w:val="20"/>
          <w:szCs w:val="20"/>
        </w:rPr>
        <w:t xml:space="preserve"> NE, Ozden-Yilmaz G, </w:t>
      </w:r>
      <w:proofErr w:type="spellStart"/>
      <w:r w:rsidRPr="00F953CD">
        <w:rPr>
          <w:rFonts w:asciiTheme="majorBidi" w:hAnsiTheme="majorBidi" w:cstheme="majorBidi"/>
          <w:sz w:val="20"/>
          <w:szCs w:val="20"/>
        </w:rPr>
        <w:t>Cakiroglu</w:t>
      </w:r>
      <w:proofErr w:type="spellEnd"/>
      <w:r w:rsidRPr="00F953CD">
        <w:rPr>
          <w:rFonts w:asciiTheme="majorBidi" w:hAnsiTheme="majorBidi" w:cstheme="majorBidi"/>
          <w:sz w:val="20"/>
          <w:szCs w:val="20"/>
        </w:rPr>
        <w:t xml:space="preserve"> E, Coskun Deniz OS, </w:t>
      </w:r>
      <w:proofErr w:type="spellStart"/>
      <w:r w:rsidRPr="00F953CD">
        <w:rPr>
          <w:rFonts w:asciiTheme="majorBidi" w:hAnsiTheme="majorBidi" w:cstheme="majorBidi"/>
          <w:sz w:val="20"/>
          <w:szCs w:val="20"/>
        </w:rPr>
        <w:t>Karakülah</w:t>
      </w:r>
      <w:proofErr w:type="spellEnd"/>
      <w:r w:rsidRPr="00F953CD">
        <w:rPr>
          <w:rFonts w:asciiTheme="majorBidi" w:hAnsiTheme="majorBidi" w:cstheme="majorBidi"/>
          <w:sz w:val="20"/>
          <w:szCs w:val="20"/>
        </w:rPr>
        <w:t xml:space="preserve"> G, Erkek-</w:t>
      </w:r>
      <w:proofErr w:type="spellStart"/>
      <w:r w:rsidRPr="00F953CD">
        <w:rPr>
          <w:rFonts w:asciiTheme="majorBidi" w:hAnsiTheme="majorBidi" w:cstheme="majorBidi"/>
          <w:sz w:val="20"/>
          <w:szCs w:val="20"/>
        </w:rPr>
        <w:t>Ozhan</w:t>
      </w:r>
      <w:proofErr w:type="spellEnd"/>
      <w:r w:rsidRPr="00F953CD">
        <w:rPr>
          <w:rFonts w:asciiTheme="majorBidi" w:hAnsiTheme="majorBidi" w:cstheme="majorBidi"/>
          <w:sz w:val="20"/>
          <w:szCs w:val="20"/>
        </w:rPr>
        <w:t xml:space="preserve"> S, Senturk S. Integrative multi-omics identifies AP-1 transcription factor as a targetable mediator of acquired osimertinib resistance in non-small cell lung cancer. Cell Death &amp; Disease. 2025 May 25;16(1):414.</w:t>
      </w:r>
    </w:p>
    <w:p w14:paraId="27E5FEA0" w14:textId="32C3FDC3" w:rsidR="00F953CD" w:rsidRDefault="00F953CD" w:rsidP="009257E7">
      <w:pPr>
        <w:pStyle w:val="ListParagraph"/>
        <w:numPr>
          <w:ilvl w:val="0"/>
          <w:numId w:val="1"/>
        </w:numPr>
        <w:spacing w:line="360" w:lineRule="auto"/>
        <w:jc w:val="both"/>
        <w:rPr>
          <w:rFonts w:asciiTheme="majorBidi" w:hAnsiTheme="majorBidi" w:cstheme="majorBidi"/>
          <w:sz w:val="20"/>
          <w:szCs w:val="20"/>
        </w:rPr>
      </w:pPr>
      <w:r w:rsidRPr="00F953CD">
        <w:rPr>
          <w:rFonts w:asciiTheme="majorBidi" w:hAnsiTheme="majorBidi" w:cstheme="majorBidi"/>
          <w:sz w:val="20"/>
          <w:szCs w:val="20"/>
        </w:rPr>
        <w:t>Perez-Medina M, Lopez-Gonzalez JS, Benito-Lopez JJ, Ávila-Ríos S, Soto-Nava M, Matias-Florentino M, Méndez-Tenorio A, Galicia-Velasco M, Chavez-Dominguez R, Meza-Toledo SE, Aguilar-Cazares D. Transcriptomic analysis reveals early alterations associated with intrinsic resistance to targeted therapy in lung adenocarcinoma cell lines. Cancers. 2024 Jul 8;16(13):2490.</w:t>
      </w:r>
    </w:p>
    <w:p w14:paraId="6832E77C" w14:textId="453C97D1" w:rsidR="00F953CD" w:rsidRDefault="00F953CD" w:rsidP="009257E7">
      <w:pPr>
        <w:pStyle w:val="ListParagraph"/>
        <w:numPr>
          <w:ilvl w:val="0"/>
          <w:numId w:val="1"/>
        </w:numPr>
        <w:spacing w:line="360" w:lineRule="auto"/>
        <w:jc w:val="both"/>
        <w:rPr>
          <w:rFonts w:asciiTheme="majorBidi" w:hAnsiTheme="majorBidi" w:cstheme="majorBidi"/>
          <w:sz w:val="20"/>
          <w:szCs w:val="20"/>
        </w:rPr>
      </w:pPr>
      <w:r w:rsidRPr="00F953CD">
        <w:rPr>
          <w:rFonts w:asciiTheme="majorBidi" w:hAnsiTheme="majorBidi" w:cstheme="majorBidi"/>
          <w:sz w:val="20"/>
          <w:szCs w:val="20"/>
        </w:rPr>
        <w:t xml:space="preserve">Lalla M, Ratnani A, Yang J, Wang M, Cheng H. Drug-tolerant </w:t>
      </w:r>
      <w:proofErr w:type="spellStart"/>
      <w:r w:rsidRPr="00F953CD">
        <w:rPr>
          <w:rFonts w:asciiTheme="majorBidi" w:hAnsiTheme="majorBidi" w:cstheme="majorBidi"/>
          <w:sz w:val="20"/>
          <w:szCs w:val="20"/>
        </w:rPr>
        <w:t>persister</w:t>
      </w:r>
      <w:proofErr w:type="spellEnd"/>
      <w:r w:rsidRPr="00F953CD">
        <w:rPr>
          <w:rFonts w:asciiTheme="majorBidi" w:hAnsiTheme="majorBidi" w:cstheme="majorBidi"/>
          <w:sz w:val="20"/>
          <w:szCs w:val="20"/>
        </w:rPr>
        <w:t xml:space="preserve"> cells and tumor dormancy in NSCLC: a new frontier in overcoming therapeutic resistance. Cancers. 2026 Feb 28;18(5):779.</w:t>
      </w:r>
    </w:p>
    <w:p w14:paraId="5CEBC867" w14:textId="2FC51EF6" w:rsidR="00F953CD" w:rsidRDefault="00F953CD" w:rsidP="009257E7">
      <w:pPr>
        <w:pStyle w:val="ListParagraph"/>
        <w:numPr>
          <w:ilvl w:val="0"/>
          <w:numId w:val="1"/>
        </w:numPr>
        <w:spacing w:line="360" w:lineRule="auto"/>
        <w:jc w:val="both"/>
        <w:rPr>
          <w:rFonts w:asciiTheme="majorBidi" w:hAnsiTheme="majorBidi" w:cstheme="majorBidi"/>
          <w:sz w:val="20"/>
          <w:szCs w:val="20"/>
        </w:rPr>
      </w:pPr>
      <w:proofErr w:type="spellStart"/>
      <w:r w:rsidRPr="00F953CD">
        <w:rPr>
          <w:rFonts w:asciiTheme="majorBidi" w:hAnsiTheme="majorBidi" w:cstheme="majorBidi"/>
          <w:sz w:val="20"/>
          <w:szCs w:val="20"/>
        </w:rPr>
        <w:t>Chhouri</w:t>
      </w:r>
      <w:proofErr w:type="spellEnd"/>
      <w:r w:rsidRPr="00F953CD">
        <w:rPr>
          <w:rFonts w:asciiTheme="majorBidi" w:hAnsiTheme="majorBidi" w:cstheme="majorBidi"/>
          <w:sz w:val="20"/>
          <w:szCs w:val="20"/>
        </w:rPr>
        <w:t xml:space="preserve"> H, Alexandre D, </w:t>
      </w:r>
      <w:proofErr w:type="spellStart"/>
      <w:r w:rsidRPr="00F953CD">
        <w:rPr>
          <w:rFonts w:asciiTheme="majorBidi" w:hAnsiTheme="majorBidi" w:cstheme="majorBidi"/>
          <w:sz w:val="20"/>
          <w:szCs w:val="20"/>
        </w:rPr>
        <w:t>Grumolato</w:t>
      </w:r>
      <w:proofErr w:type="spellEnd"/>
      <w:r w:rsidRPr="00F953CD">
        <w:rPr>
          <w:rFonts w:asciiTheme="majorBidi" w:hAnsiTheme="majorBidi" w:cstheme="majorBidi"/>
          <w:sz w:val="20"/>
          <w:szCs w:val="20"/>
        </w:rPr>
        <w:t xml:space="preserve"> L. Mechanisms of acquired resistance and tolerance to EGFR targeted therapy in non-small cell lung cancer. Cancers. 2023 Jan 13;15(2):504.</w:t>
      </w:r>
    </w:p>
    <w:p w14:paraId="6FF5D4EC" w14:textId="37C7A803" w:rsidR="00EF2AF8" w:rsidRDefault="00EF2AF8" w:rsidP="009257E7">
      <w:pPr>
        <w:pStyle w:val="ListParagraph"/>
        <w:numPr>
          <w:ilvl w:val="0"/>
          <w:numId w:val="1"/>
        </w:numPr>
        <w:spacing w:line="360" w:lineRule="auto"/>
        <w:jc w:val="both"/>
        <w:rPr>
          <w:rFonts w:asciiTheme="majorBidi" w:hAnsiTheme="majorBidi" w:cstheme="majorBidi"/>
          <w:sz w:val="20"/>
          <w:szCs w:val="20"/>
        </w:rPr>
      </w:pPr>
      <w:r w:rsidRPr="00EF2AF8">
        <w:rPr>
          <w:rFonts w:asciiTheme="majorBidi" w:hAnsiTheme="majorBidi" w:cstheme="majorBidi"/>
          <w:sz w:val="20"/>
          <w:szCs w:val="20"/>
        </w:rPr>
        <w:t xml:space="preserve">Spink LG, Pan S, Kim M, Yener B, </w:t>
      </w:r>
      <w:proofErr w:type="spellStart"/>
      <w:r w:rsidRPr="00EF2AF8">
        <w:rPr>
          <w:rFonts w:asciiTheme="majorBidi" w:hAnsiTheme="majorBidi" w:cstheme="majorBidi"/>
          <w:sz w:val="20"/>
          <w:szCs w:val="20"/>
        </w:rPr>
        <w:t>Bánfalvi</w:t>
      </w:r>
      <w:proofErr w:type="spellEnd"/>
      <w:r w:rsidRPr="00EF2AF8">
        <w:rPr>
          <w:rFonts w:asciiTheme="majorBidi" w:hAnsiTheme="majorBidi" w:cstheme="majorBidi"/>
          <w:sz w:val="20"/>
          <w:szCs w:val="20"/>
        </w:rPr>
        <w:t xml:space="preserve"> B, </w:t>
      </w:r>
      <w:proofErr w:type="spellStart"/>
      <w:r w:rsidRPr="00EF2AF8">
        <w:rPr>
          <w:rFonts w:asciiTheme="majorBidi" w:hAnsiTheme="majorBidi" w:cstheme="majorBidi"/>
          <w:sz w:val="20"/>
          <w:szCs w:val="20"/>
        </w:rPr>
        <w:t>Secrier</w:t>
      </w:r>
      <w:proofErr w:type="spellEnd"/>
      <w:r w:rsidRPr="00EF2AF8">
        <w:rPr>
          <w:rFonts w:asciiTheme="majorBidi" w:hAnsiTheme="majorBidi" w:cstheme="majorBidi"/>
          <w:sz w:val="20"/>
          <w:szCs w:val="20"/>
        </w:rPr>
        <w:t xml:space="preserve"> M. Computational Approaches to Cancer Cell Dormancy: From Detection to Dynamic Modelling. Biomolecules. 2026 Apr 24;16(5):633.</w:t>
      </w:r>
    </w:p>
    <w:p w14:paraId="1F61BB50" w14:textId="239BDB16" w:rsidR="00EF2AF8" w:rsidRDefault="00EF2AF8" w:rsidP="009257E7">
      <w:pPr>
        <w:pStyle w:val="ListParagraph"/>
        <w:numPr>
          <w:ilvl w:val="0"/>
          <w:numId w:val="1"/>
        </w:numPr>
        <w:spacing w:line="360" w:lineRule="auto"/>
        <w:jc w:val="both"/>
        <w:rPr>
          <w:rFonts w:asciiTheme="majorBidi" w:hAnsiTheme="majorBidi" w:cstheme="majorBidi"/>
          <w:sz w:val="20"/>
          <w:szCs w:val="20"/>
        </w:rPr>
      </w:pPr>
      <w:r w:rsidRPr="00EF2AF8">
        <w:rPr>
          <w:rFonts w:asciiTheme="majorBidi" w:hAnsiTheme="majorBidi" w:cstheme="majorBidi"/>
          <w:sz w:val="20"/>
          <w:szCs w:val="20"/>
        </w:rPr>
        <w:t>Jiang Z, Zhang H, Gao Y, Sun Y. Multi-omics strategies for biomarker discovery and application in personalized oncology. Molecular biomedicine. 2025 Nov 21;6(1):115.</w:t>
      </w:r>
    </w:p>
    <w:p w14:paraId="02C2F419" w14:textId="375D34E6" w:rsidR="00CF461C" w:rsidRDefault="00AF1072" w:rsidP="009257E7">
      <w:pPr>
        <w:pStyle w:val="ListParagraph"/>
        <w:numPr>
          <w:ilvl w:val="0"/>
          <w:numId w:val="1"/>
        </w:numPr>
        <w:spacing w:line="360" w:lineRule="auto"/>
        <w:jc w:val="both"/>
        <w:rPr>
          <w:rFonts w:asciiTheme="majorBidi" w:hAnsiTheme="majorBidi" w:cstheme="majorBidi"/>
          <w:sz w:val="20"/>
          <w:szCs w:val="20"/>
        </w:rPr>
      </w:pPr>
      <w:r w:rsidRPr="00AF1072">
        <w:rPr>
          <w:rFonts w:asciiTheme="majorBidi" w:hAnsiTheme="majorBidi" w:cstheme="majorBidi"/>
          <w:sz w:val="20"/>
          <w:szCs w:val="20"/>
        </w:rPr>
        <w:t xml:space="preserve">Zhang X, Wen Y, Wu F, Jiang Y, Lin Y, Wang L, Zhou F, Shen Y, Min Z, Li W, Liang W. GSTA1 conferred tolerance to osimertinib and provided strategies to overcome drug-tolerant </w:t>
      </w:r>
      <w:proofErr w:type="spellStart"/>
      <w:r w:rsidRPr="00AF1072">
        <w:rPr>
          <w:rFonts w:asciiTheme="majorBidi" w:hAnsiTheme="majorBidi" w:cstheme="majorBidi"/>
          <w:sz w:val="20"/>
          <w:szCs w:val="20"/>
        </w:rPr>
        <w:t>persister</w:t>
      </w:r>
      <w:proofErr w:type="spellEnd"/>
      <w:r w:rsidRPr="00AF1072">
        <w:rPr>
          <w:rFonts w:asciiTheme="majorBidi" w:hAnsiTheme="majorBidi" w:cstheme="majorBidi"/>
          <w:sz w:val="20"/>
          <w:szCs w:val="20"/>
        </w:rPr>
        <w:t xml:space="preserve"> in EGFR-mutant lung adenocarcinoma. Journal of Thoracic Oncology. 2025 Oct 10.</w:t>
      </w:r>
    </w:p>
    <w:p w14:paraId="25780577" w14:textId="1FDB5DAC" w:rsidR="00CF461C" w:rsidRDefault="00CF461C" w:rsidP="009257E7">
      <w:pPr>
        <w:pStyle w:val="ListParagraph"/>
        <w:numPr>
          <w:ilvl w:val="0"/>
          <w:numId w:val="1"/>
        </w:numPr>
        <w:spacing w:line="360" w:lineRule="auto"/>
        <w:jc w:val="both"/>
        <w:rPr>
          <w:rFonts w:asciiTheme="majorBidi" w:hAnsiTheme="majorBidi" w:cstheme="majorBidi"/>
          <w:sz w:val="20"/>
          <w:szCs w:val="20"/>
        </w:rPr>
      </w:pPr>
      <w:r w:rsidRPr="00CF461C">
        <w:rPr>
          <w:rFonts w:asciiTheme="majorBidi" w:hAnsiTheme="majorBidi" w:cstheme="majorBidi"/>
          <w:sz w:val="20"/>
          <w:szCs w:val="20"/>
        </w:rPr>
        <w:lastRenderedPageBreak/>
        <w:t xml:space="preserve">Arora I, Adam AM, </w:t>
      </w:r>
      <w:proofErr w:type="spellStart"/>
      <w:r w:rsidRPr="00CF461C">
        <w:rPr>
          <w:rFonts w:asciiTheme="majorBidi" w:hAnsiTheme="majorBidi" w:cstheme="majorBidi"/>
          <w:sz w:val="20"/>
          <w:szCs w:val="20"/>
        </w:rPr>
        <w:t>Aljaylani</w:t>
      </w:r>
      <w:proofErr w:type="spellEnd"/>
      <w:r w:rsidRPr="00CF461C">
        <w:rPr>
          <w:rFonts w:asciiTheme="majorBidi" w:hAnsiTheme="majorBidi" w:cstheme="majorBidi"/>
          <w:sz w:val="20"/>
          <w:szCs w:val="20"/>
        </w:rPr>
        <w:t xml:space="preserve"> AO, </w:t>
      </w:r>
      <w:proofErr w:type="spellStart"/>
      <w:r w:rsidRPr="00CF461C">
        <w:rPr>
          <w:rFonts w:asciiTheme="majorBidi" w:hAnsiTheme="majorBidi" w:cstheme="majorBidi"/>
          <w:sz w:val="20"/>
          <w:szCs w:val="20"/>
        </w:rPr>
        <w:t>Alzuhayri</w:t>
      </w:r>
      <w:proofErr w:type="spellEnd"/>
      <w:r w:rsidRPr="00CF461C">
        <w:rPr>
          <w:rFonts w:asciiTheme="majorBidi" w:hAnsiTheme="majorBidi" w:cstheme="majorBidi"/>
          <w:sz w:val="20"/>
          <w:szCs w:val="20"/>
        </w:rPr>
        <w:t xml:space="preserve"> JZ, Ali EM, Alzahrani FA, Khan MI, </w:t>
      </w:r>
      <w:proofErr w:type="spellStart"/>
      <w:r w:rsidRPr="00CF461C">
        <w:rPr>
          <w:rFonts w:asciiTheme="majorBidi" w:hAnsiTheme="majorBidi" w:cstheme="majorBidi"/>
          <w:sz w:val="20"/>
          <w:szCs w:val="20"/>
        </w:rPr>
        <w:t>Yaqinuddin</w:t>
      </w:r>
      <w:proofErr w:type="spellEnd"/>
      <w:r w:rsidRPr="00CF461C">
        <w:rPr>
          <w:rFonts w:asciiTheme="majorBidi" w:hAnsiTheme="majorBidi" w:cstheme="majorBidi"/>
          <w:sz w:val="20"/>
          <w:szCs w:val="20"/>
        </w:rPr>
        <w:t xml:space="preserve"> A. A recurrently perturbed 12-gene program marks drug-tolerant </w:t>
      </w:r>
      <w:proofErr w:type="spellStart"/>
      <w:r w:rsidRPr="00CF461C">
        <w:rPr>
          <w:rFonts w:asciiTheme="majorBidi" w:hAnsiTheme="majorBidi" w:cstheme="majorBidi"/>
          <w:sz w:val="20"/>
          <w:szCs w:val="20"/>
        </w:rPr>
        <w:t>persister</w:t>
      </w:r>
      <w:proofErr w:type="spellEnd"/>
      <w:r w:rsidRPr="00CF461C">
        <w:rPr>
          <w:rFonts w:asciiTheme="majorBidi" w:hAnsiTheme="majorBidi" w:cstheme="majorBidi"/>
          <w:sz w:val="20"/>
          <w:szCs w:val="20"/>
        </w:rPr>
        <w:t xml:space="preserve"> states across cancer types. Frontiers in Bioinformatics. 2026 Aug </w:t>
      </w:r>
      <w:proofErr w:type="gramStart"/>
      <w:r w:rsidRPr="00CF461C">
        <w:rPr>
          <w:rFonts w:asciiTheme="majorBidi" w:hAnsiTheme="majorBidi" w:cstheme="majorBidi"/>
          <w:sz w:val="20"/>
          <w:szCs w:val="20"/>
        </w:rPr>
        <w:t>18;6:1882238</w:t>
      </w:r>
      <w:proofErr w:type="gramEnd"/>
      <w:r w:rsidRPr="00CF461C">
        <w:rPr>
          <w:rFonts w:asciiTheme="majorBidi" w:hAnsiTheme="majorBidi" w:cstheme="majorBidi"/>
          <w:sz w:val="20"/>
          <w:szCs w:val="20"/>
        </w:rPr>
        <w:t>.</w:t>
      </w:r>
    </w:p>
    <w:p w14:paraId="0437D4E8" w14:textId="357E862F" w:rsidR="00CF461C" w:rsidRPr="00F953CD" w:rsidRDefault="00AF1072" w:rsidP="009257E7">
      <w:pPr>
        <w:pStyle w:val="ListParagraph"/>
        <w:numPr>
          <w:ilvl w:val="0"/>
          <w:numId w:val="1"/>
        </w:numPr>
        <w:spacing w:line="360" w:lineRule="auto"/>
        <w:jc w:val="both"/>
        <w:rPr>
          <w:rFonts w:asciiTheme="majorBidi" w:hAnsiTheme="majorBidi" w:cstheme="majorBidi"/>
          <w:sz w:val="20"/>
          <w:szCs w:val="20"/>
        </w:rPr>
      </w:pPr>
      <w:r w:rsidRPr="00AF1072">
        <w:rPr>
          <w:rFonts w:asciiTheme="majorBidi" w:hAnsiTheme="majorBidi" w:cstheme="majorBidi"/>
          <w:sz w:val="20"/>
          <w:szCs w:val="20"/>
        </w:rPr>
        <w:t xml:space="preserve">Han J, Jung E, Shin SY. Transcriptomic and network analyses identify epigenetic regulators of drug-tolerant </w:t>
      </w:r>
      <w:proofErr w:type="spellStart"/>
      <w:r w:rsidRPr="00AF1072">
        <w:rPr>
          <w:rFonts w:asciiTheme="majorBidi" w:hAnsiTheme="majorBidi" w:cstheme="majorBidi"/>
          <w:sz w:val="20"/>
          <w:szCs w:val="20"/>
        </w:rPr>
        <w:t>persister</w:t>
      </w:r>
      <w:proofErr w:type="spellEnd"/>
      <w:r w:rsidRPr="00AF1072">
        <w:rPr>
          <w:rFonts w:asciiTheme="majorBidi" w:hAnsiTheme="majorBidi" w:cstheme="majorBidi"/>
          <w:sz w:val="20"/>
          <w:szCs w:val="20"/>
        </w:rPr>
        <w:t xml:space="preserve"> (DTP) subsets in EGFR-mutant HCC827 non-small cell lung cancer. Genes &amp; Genomics. 2026 Sep 15:1-4.</w:t>
      </w:r>
    </w:p>
    <w:sectPr w:rsidR="00CF461C" w:rsidRPr="00F953CD" w:rsidSect="00B8304A">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C04E0" w14:textId="77777777" w:rsidR="009F5BAD" w:rsidRDefault="009F5BAD" w:rsidP="003429AC">
      <w:pPr>
        <w:spacing w:after="0" w:line="240" w:lineRule="auto"/>
      </w:pPr>
      <w:r>
        <w:separator/>
      </w:r>
    </w:p>
  </w:endnote>
  <w:endnote w:type="continuationSeparator" w:id="0">
    <w:p w14:paraId="55155B60" w14:textId="77777777" w:rsidR="009F5BAD" w:rsidRDefault="009F5BAD" w:rsidP="00342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806DC" w14:textId="77777777" w:rsidR="009F5BAD" w:rsidRDefault="009F5BAD" w:rsidP="003429AC">
      <w:pPr>
        <w:spacing w:after="0" w:line="240" w:lineRule="auto"/>
      </w:pPr>
      <w:r>
        <w:separator/>
      </w:r>
    </w:p>
  </w:footnote>
  <w:footnote w:type="continuationSeparator" w:id="0">
    <w:p w14:paraId="619EE043" w14:textId="77777777" w:rsidR="009F5BAD" w:rsidRDefault="009F5BAD" w:rsidP="003429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838A6"/>
    <w:multiLevelType w:val="hybridMultilevel"/>
    <w:tmpl w:val="3C8AC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0979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24A"/>
    <w:rsid w:val="003429AC"/>
    <w:rsid w:val="004E5067"/>
    <w:rsid w:val="0053324A"/>
    <w:rsid w:val="005A5A71"/>
    <w:rsid w:val="006679E9"/>
    <w:rsid w:val="0069048A"/>
    <w:rsid w:val="007A59A6"/>
    <w:rsid w:val="00900688"/>
    <w:rsid w:val="009257E7"/>
    <w:rsid w:val="009F3C64"/>
    <w:rsid w:val="009F5BAD"/>
    <w:rsid w:val="00A34627"/>
    <w:rsid w:val="00AF1072"/>
    <w:rsid w:val="00B3173D"/>
    <w:rsid w:val="00B8304A"/>
    <w:rsid w:val="00CF461C"/>
    <w:rsid w:val="00DB32E2"/>
    <w:rsid w:val="00DD540E"/>
    <w:rsid w:val="00DF4F08"/>
    <w:rsid w:val="00EF2AF8"/>
    <w:rsid w:val="00F953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0BA49"/>
  <w15:chartTrackingRefBased/>
  <w15:docId w15:val="{3CAE3C46-9B05-4C86-8C53-49B71DFF2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2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2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2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2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2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2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2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2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2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2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24A"/>
    <w:rPr>
      <w:rFonts w:eastAsiaTheme="majorEastAsia" w:cstheme="majorBidi"/>
      <w:color w:val="272727" w:themeColor="text1" w:themeTint="D8"/>
    </w:rPr>
  </w:style>
  <w:style w:type="paragraph" w:styleId="Title">
    <w:name w:val="Title"/>
    <w:basedOn w:val="Normal"/>
    <w:next w:val="Normal"/>
    <w:link w:val="TitleChar"/>
    <w:uiPriority w:val="10"/>
    <w:qFormat/>
    <w:rsid w:val="00533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24A"/>
    <w:pPr>
      <w:spacing w:before="160"/>
      <w:jc w:val="center"/>
    </w:pPr>
    <w:rPr>
      <w:i/>
      <w:iCs/>
      <w:color w:val="404040" w:themeColor="text1" w:themeTint="BF"/>
    </w:rPr>
  </w:style>
  <w:style w:type="character" w:customStyle="1" w:styleId="QuoteChar">
    <w:name w:val="Quote Char"/>
    <w:basedOn w:val="DefaultParagraphFont"/>
    <w:link w:val="Quote"/>
    <w:uiPriority w:val="29"/>
    <w:rsid w:val="0053324A"/>
    <w:rPr>
      <w:i/>
      <w:iCs/>
      <w:color w:val="404040" w:themeColor="text1" w:themeTint="BF"/>
    </w:rPr>
  </w:style>
  <w:style w:type="paragraph" w:styleId="ListParagraph">
    <w:name w:val="List Paragraph"/>
    <w:basedOn w:val="Normal"/>
    <w:uiPriority w:val="34"/>
    <w:qFormat/>
    <w:rsid w:val="0053324A"/>
    <w:pPr>
      <w:ind w:left="720"/>
      <w:contextualSpacing/>
    </w:pPr>
  </w:style>
  <w:style w:type="character" w:styleId="IntenseEmphasis">
    <w:name w:val="Intense Emphasis"/>
    <w:basedOn w:val="DefaultParagraphFont"/>
    <w:uiPriority w:val="21"/>
    <w:qFormat/>
    <w:rsid w:val="0053324A"/>
    <w:rPr>
      <w:i/>
      <w:iCs/>
      <w:color w:val="0F4761" w:themeColor="accent1" w:themeShade="BF"/>
    </w:rPr>
  </w:style>
  <w:style w:type="paragraph" w:styleId="IntenseQuote">
    <w:name w:val="Intense Quote"/>
    <w:basedOn w:val="Normal"/>
    <w:next w:val="Normal"/>
    <w:link w:val="IntenseQuoteChar"/>
    <w:uiPriority w:val="30"/>
    <w:qFormat/>
    <w:rsid w:val="005332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24A"/>
    <w:rPr>
      <w:i/>
      <w:iCs/>
      <w:color w:val="0F4761" w:themeColor="accent1" w:themeShade="BF"/>
    </w:rPr>
  </w:style>
  <w:style w:type="character" w:styleId="IntenseReference">
    <w:name w:val="Intense Reference"/>
    <w:basedOn w:val="DefaultParagraphFont"/>
    <w:uiPriority w:val="32"/>
    <w:qFormat/>
    <w:rsid w:val="0053324A"/>
    <w:rPr>
      <w:b/>
      <w:bCs/>
      <w:smallCaps/>
      <w:color w:val="0F4761" w:themeColor="accent1" w:themeShade="BF"/>
      <w:spacing w:val="5"/>
    </w:rPr>
  </w:style>
  <w:style w:type="paragraph" w:styleId="Header">
    <w:name w:val="header"/>
    <w:basedOn w:val="Normal"/>
    <w:link w:val="HeaderChar"/>
    <w:uiPriority w:val="99"/>
    <w:unhideWhenUsed/>
    <w:rsid w:val="00342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29AC"/>
  </w:style>
  <w:style w:type="paragraph" w:styleId="Footer">
    <w:name w:val="footer"/>
    <w:basedOn w:val="Normal"/>
    <w:link w:val="FooterChar"/>
    <w:uiPriority w:val="99"/>
    <w:unhideWhenUsed/>
    <w:rsid w:val="00342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29AC"/>
  </w:style>
  <w:style w:type="paragraph" w:styleId="NormalWeb">
    <w:name w:val="Normal (Web)"/>
    <w:basedOn w:val="Normal"/>
    <w:uiPriority w:val="99"/>
    <w:semiHidden/>
    <w:unhideWhenUsed/>
    <w:rsid w:val="00DB32E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D1CDD7-C9DC-406A-B465-4186BBDC3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4</Pages>
  <Words>1394</Words>
  <Characters>7952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Fateme Sedighizadeh</dc:creator>
  <cp:keywords/>
  <dc:description/>
  <cp:lastModifiedBy>Fateme Sedighizadeh</cp:lastModifiedBy>
  <cp:revision>9</cp:revision>
  <dcterms:created xsi:type="dcterms:W3CDTF">2026-10-06T16:16:00Z</dcterms:created>
  <dcterms:modified xsi:type="dcterms:W3CDTF">2026-10-08T20:11:00Z</dcterms:modified>
</cp:coreProperties>
</file>