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7C1" w:rsidRDefault="00BF37C1" w:rsidP="00BF37C1">
      <w:pPr>
        <w:jc w:val="center"/>
        <w:outlineLvl w:val="0"/>
        <w:rPr>
          <w:rFonts w:ascii="Courier New" w:hAnsi="Courier New" w:cs="Courier New"/>
          <w:b/>
        </w:rPr>
      </w:pPr>
      <w:r>
        <w:rPr>
          <w:rFonts w:ascii="Courier New" w:hAnsi="Courier New" w:cs="Courier New"/>
          <w:b/>
        </w:rPr>
        <w:t>PROGRESS NOTE</w:t>
      </w:r>
    </w:p>
    <w:p w:rsidR="00BF37C1" w:rsidRDefault="00BF37C1" w:rsidP="00BF37C1">
      <w:pPr>
        <w:jc w:val="center"/>
        <w:rPr>
          <w:rFonts w:ascii="Courier New" w:hAnsi="Courier New" w:cs="Courier New"/>
          <w:b/>
        </w:rPr>
      </w:pPr>
    </w:p>
    <w:p w:rsidR="00BF37C1" w:rsidRDefault="00BF37C1" w:rsidP="00BF37C1">
      <w:pPr>
        <w:pStyle w:val="Titre3"/>
      </w:pPr>
      <w:r>
        <w:t>PROBLEM:</w:t>
      </w:r>
    </w:p>
    <w:p w:rsidR="00BF37C1" w:rsidRDefault="00BF37C1" w:rsidP="00BF37C1">
      <w:pPr>
        <w:numPr>
          <w:ilvl w:val="0"/>
          <w:numId w:val="6"/>
        </w:numPr>
        <w:autoSpaceDE/>
        <w:autoSpaceDN/>
        <w:rPr>
          <w:rFonts w:ascii="Courier New" w:hAnsi="Courier New" w:cs="Courier New"/>
        </w:rPr>
      </w:pPr>
      <w:r>
        <w:rPr>
          <w:rFonts w:ascii="Courier New" w:hAnsi="Courier New" w:cs="Courier New"/>
        </w:rPr>
        <w:t>Internal hemorrhoids confirmed via</w:t>
      </w:r>
      <w:r w:rsidR="00333959">
        <w:rPr>
          <w:rFonts w:ascii="Courier New" w:hAnsi="Courier New" w:cs="Courier New"/>
        </w:rPr>
        <w:t xml:space="preserve"> colonoscopy on January 28, 2016</w:t>
      </w:r>
      <w:r>
        <w:rPr>
          <w:rFonts w:ascii="Courier New" w:hAnsi="Courier New" w:cs="Courier New"/>
        </w:rPr>
        <w:t>.</w:t>
      </w:r>
    </w:p>
    <w:p w:rsidR="00BF37C1" w:rsidRDefault="00BF37C1" w:rsidP="00BF37C1">
      <w:pPr>
        <w:numPr>
          <w:ilvl w:val="0"/>
          <w:numId w:val="6"/>
        </w:numPr>
        <w:autoSpaceDE/>
        <w:autoSpaceDN/>
        <w:rPr>
          <w:rFonts w:ascii="Courier New" w:hAnsi="Courier New" w:cs="Courier New"/>
        </w:rPr>
      </w:pPr>
      <w:r>
        <w:rPr>
          <w:rFonts w:ascii="Courier New" w:hAnsi="Courier New" w:cs="Courier New"/>
        </w:rPr>
        <w:t>Chronic GE reflux disease.</w:t>
      </w:r>
    </w:p>
    <w:p w:rsidR="00BF37C1" w:rsidRDefault="00BF37C1" w:rsidP="00BF37C1">
      <w:pPr>
        <w:numPr>
          <w:ilvl w:val="0"/>
          <w:numId w:val="6"/>
        </w:numPr>
        <w:autoSpaceDE/>
        <w:autoSpaceDN/>
        <w:rPr>
          <w:rFonts w:ascii="Courier New" w:hAnsi="Courier New" w:cs="Courier New"/>
        </w:rPr>
      </w:pPr>
      <w:r>
        <w:rPr>
          <w:rFonts w:ascii="Courier New" w:hAnsi="Courier New" w:cs="Courier New"/>
        </w:rPr>
        <w:t xml:space="preserve">History of intermittent diarrhea of unclear etiology. </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p>
    <w:p w:rsidR="00BF37C1" w:rsidRDefault="00BF37C1" w:rsidP="00BF37C1">
      <w:pPr>
        <w:pStyle w:val="Titre3"/>
      </w:pPr>
      <w:r>
        <w:t xml:space="preserve">SUBJECTIVE:  </w:t>
      </w:r>
    </w:p>
    <w:p w:rsidR="00BF37C1" w:rsidRDefault="00BF37C1" w:rsidP="00BF37C1">
      <w:pPr>
        <w:rPr>
          <w:rFonts w:ascii="Courier New" w:hAnsi="Courier New" w:cs="Courier New"/>
        </w:rPr>
      </w:pPr>
      <w:r>
        <w:rPr>
          <w:rFonts w:ascii="Courier New" w:hAnsi="Courier New" w:cs="Courier New"/>
        </w:rPr>
        <w:t>The patient was prev</w:t>
      </w:r>
      <w:r w:rsidR="00333959">
        <w:rPr>
          <w:rFonts w:ascii="Courier New" w:hAnsi="Courier New" w:cs="Courier New"/>
        </w:rPr>
        <w:t>iously seen on February 25, 2016</w:t>
      </w:r>
      <w:r>
        <w:rPr>
          <w:rFonts w:ascii="Courier New" w:hAnsi="Courier New" w:cs="Courier New"/>
        </w:rPr>
        <w:t xml:space="preserve"> for evaluation of chronic GE reflux disease.  Subsequently, an EG</w:t>
      </w:r>
      <w:r w:rsidR="00333959">
        <w:rPr>
          <w:rFonts w:ascii="Courier New" w:hAnsi="Courier New" w:cs="Courier New"/>
        </w:rPr>
        <w:t>D was performed on March 1, 2016</w:t>
      </w:r>
      <w:bookmarkStart w:id="0" w:name="_GoBack"/>
      <w:bookmarkEnd w:id="0"/>
      <w:r>
        <w:rPr>
          <w:rFonts w:ascii="Courier New" w:hAnsi="Courier New" w:cs="Courier New"/>
        </w:rPr>
        <w:t xml:space="preserve"> concluding a small hiatal hernia and gastritis from which biopsies were obtained.  There is no evidence of peptic ulcer disease or neoplasm.  Pathology findings document no evidence of Barrett’s esophagus or H. pylori infection.</w:t>
      </w:r>
    </w:p>
    <w:p w:rsidR="00BF37C1" w:rsidRDefault="00BF37C1" w:rsidP="00BF37C1">
      <w:pPr>
        <w:rPr>
          <w:rFonts w:ascii="Courier New" w:hAnsi="Courier New" w:cs="Courier New"/>
        </w:rPr>
      </w:pPr>
    </w:p>
    <w:p w:rsidR="00BF37C1" w:rsidRDefault="00BF37C1" w:rsidP="00BF37C1">
      <w:pPr>
        <w:rPr>
          <w:rFonts w:ascii="Courier New" w:hAnsi="Courier New" w:cs="Courier New"/>
        </w:rPr>
      </w:pPr>
      <w:r>
        <w:rPr>
          <w:rFonts w:ascii="Courier New" w:hAnsi="Courier New" w:cs="Courier New"/>
        </w:rPr>
        <w:t xml:space="preserve">The patient returns today voicing that heartburn is well controlled with Nexium PPI therapy.  However, he has developed recurrent intermittent loose stools, which is occurring sporadically.  Recently he has developed right lower quadrant pain and nausea but no vomiting, fevers, chills or significant weight loss.  He voices a very limited intake of dairy and caffeine products and denies administration of laxatives.  A previous colonoscopy in January of 2010 revealed no evidence of colitis.     </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BF37C1" w:rsidRDefault="00BF37C1" w:rsidP="00BF37C1">
      <w:pPr>
        <w:pStyle w:val="Titre3"/>
      </w:pPr>
      <w:r>
        <w:t xml:space="preserve">REVIEW OF SYSTEMS: </w:t>
      </w:r>
    </w:p>
    <w:p w:rsidR="00BF37C1" w:rsidRDefault="00BF37C1" w:rsidP="00BF37C1">
      <w:pPr>
        <w:rPr>
          <w:rFonts w:ascii="Courier New" w:hAnsi="Courier New" w:cs="Courier New"/>
        </w:rPr>
      </w:pPr>
      <w:r>
        <w:rPr>
          <w:rFonts w:ascii="Courier New" w:hAnsi="Courier New" w:cs="Courier New"/>
        </w:rPr>
        <w:t>The patient’s review of systems questionnaire was reviewed and there are no additional pertinent positives.</w:t>
      </w:r>
    </w:p>
    <w:p w:rsidR="00BF37C1" w:rsidRDefault="00BF37C1" w:rsidP="00BF37C1">
      <w:pPr>
        <w:pStyle w:val="Titre3"/>
      </w:pPr>
      <w:r>
        <w:t>PHYSICAL EXAM:</w:t>
      </w:r>
    </w:p>
    <w:p w:rsidR="00BF37C1" w:rsidRDefault="00BF37C1" w:rsidP="00BF37C1">
      <w:pPr>
        <w:tabs>
          <w:tab w:val="left" w:pos="741"/>
          <w:tab w:val="left" w:pos="3933"/>
        </w:tabs>
        <w:ind w:left="3933" w:hanging="3933"/>
        <w:rPr>
          <w:rFonts w:ascii="Courier New" w:hAnsi="Courier New" w:cs="Courier New"/>
        </w:rPr>
      </w:pPr>
      <w:r>
        <w:rPr>
          <w:rFonts w:ascii="Courier New" w:hAnsi="Courier New" w:cs="Courier New"/>
          <w:b/>
        </w:rPr>
        <w:tab/>
        <w:t>VITAL SIGNS:</w:t>
      </w:r>
      <w:r>
        <w:rPr>
          <w:rFonts w:ascii="Courier New" w:hAnsi="Courier New" w:cs="Courier New"/>
          <w:b/>
        </w:rPr>
        <w:tab/>
      </w:r>
      <w:r>
        <w:rPr>
          <w:rFonts w:ascii="Courier New" w:hAnsi="Courier New" w:cs="Courier New"/>
        </w:rPr>
        <w:t>Blood pressure is 124/75</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Temperature is 98.3</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Current weight is 182 pounds</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w:t>
      </w:r>
    </w:p>
    <w:p w:rsidR="00BF37C1" w:rsidRDefault="00BF37C1" w:rsidP="00BF37C1">
      <w:pPr>
        <w:tabs>
          <w:tab w:val="left" w:pos="741"/>
          <w:tab w:val="left" w:pos="3933"/>
        </w:tabs>
        <w:ind w:left="3933" w:hanging="3933"/>
        <w:rPr>
          <w:rFonts w:ascii="Courier New" w:hAnsi="Courier New" w:cs="Courier New"/>
        </w:rPr>
      </w:pPr>
      <w:r>
        <w:rPr>
          <w:rFonts w:ascii="Courier New" w:hAnsi="Courier New" w:cs="Courier New"/>
          <w:b/>
        </w:rPr>
        <w:tab/>
        <w:t>LUNGS:</w:t>
      </w:r>
      <w:r>
        <w:rPr>
          <w:rFonts w:ascii="Courier New" w:hAnsi="Courier New" w:cs="Courier New"/>
        </w:rPr>
        <w:tab/>
        <w:t xml:space="preserve">Clear to auscultation and percussion.  </w:t>
      </w:r>
    </w:p>
    <w:p w:rsidR="00BF37C1" w:rsidRDefault="00BF37C1" w:rsidP="00BF37C1">
      <w:pPr>
        <w:tabs>
          <w:tab w:val="left" w:pos="741"/>
          <w:tab w:val="left" w:pos="3933"/>
        </w:tabs>
        <w:ind w:left="3933" w:hanging="3933"/>
        <w:rPr>
          <w:rFonts w:ascii="Courier New" w:hAnsi="Courier New" w:cs="Courier New"/>
        </w:rPr>
      </w:pPr>
      <w:r>
        <w:rPr>
          <w:rFonts w:ascii="Courier New" w:hAnsi="Courier New" w:cs="Courier New"/>
          <w:b/>
        </w:rPr>
        <w:tab/>
        <w:t>CARDIO:</w:t>
      </w:r>
      <w:r>
        <w:rPr>
          <w:rFonts w:ascii="Courier New" w:hAnsi="Courier New" w:cs="Courier New"/>
        </w:rPr>
        <w:tab/>
        <w:t>S1, S2 within normal limits, without gallops or murmurs.</w:t>
      </w:r>
    </w:p>
    <w:p w:rsidR="00BF37C1" w:rsidRDefault="00BF37C1" w:rsidP="00BF37C1">
      <w:pPr>
        <w:tabs>
          <w:tab w:val="left" w:pos="741"/>
          <w:tab w:val="left" w:pos="3933"/>
        </w:tabs>
        <w:ind w:left="3933" w:hanging="3933"/>
        <w:rPr>
          <w:rFonts w:ascii="Courier New" w:hAnsi="Courier New" w:cs="Courier New"/>
        </w:rPr>
      </w:pPr>
      <w:r>
        <w:rPr>
          <w:rFonts w:ascii="Courier New" w:hAnsi="Courier New" w:cs="Courier New"/>
          <w:b/>
        </w:rPr>
        <w:tab/>
        <w:t>ABDOMEN:</w:t>
      </w:r>
      <w:r>
        <w:rPr>
          <w:rFonts w:ascii="Courier New" w:hAnsi="Courier New" w:cs="Courier New"/>
        </w:rPr>
        <w:tab/>
        <w:t>Soft and nontender without organomegaly, mass or ascites.</w:t>
      </w:r>
    </w:p>
    <w:p w:rsidR="00BF37C1" w:rsidRDefault="00BF37C1" w:rsidP="00BF37C1">
      <w:pPr>
        <w:pStyle w:val="Titre3"/>
      </w:pPr>
      <w:r>
        <w:t>ASSESSMENT:</w:t>
      </w:r>
    </w:p>
    <w:p w:rsidR="00BF37C1" w:rsidRDefault="00BF37C1" w:rsidP="00BF37C1">
      <w:pPr>
        <w:numPr>
          <w:ilvl w:val="0"/>
          <w:numId w:val="5"/>
        </w:numPr>
        <w:tabs>
          <w:tab w:val="clear" w:pos="720"/>
          <w:tab w:val="left" w:pos="1083"/>
          <w:tab w:val="left" w:pos="3933"/>
        </w:tabs>
        <w:autoSpaceDE/>
        <w:autoSpaceDN/>
        <w:ind w:left="1083" w:hanging="723"/>
        <w:rPr>
          <w:rFonts w:ascii="Courier New" w:hAnsi="Courier New" w:cs="Courier New"/>
        </w:rPr>
      </w:pPr>
      <w:r>
        <w:rPr>
          <w:rFonts w:ascii="Courier New" w:hAnsi="Courier New" w:cs="Courier New"/>
        </w:rPr>
        <w:t>GE reflux disease, currently well controlled with PPI therapy.  Upper endoscopy concluded no evidence of Barrett’s esophagus.</w:t>
      </w:r>
    </w:p>
    <w:p w:rsidR="00BF37C1" w:rsidRDefault="00BF37C1" w:rsidP="00BF37C1">
      <w:pPr>
        <w:numPr>
          <w:ilvl w:val="0"/>
          <w:numId w:val="5"/>
        </w:numPr>
        <w:tabs>
          <w:tab w:val="clear" w:pos="720"/>
          <w:tab w:val="left" w:pos="1083"/>
          <w:tab w:val="left" w:pos="3933"/>
        </w:tabs>
        <w:autoSpaceDE/>
        <w:autoSpaceDN/>
        <w:ind w:left="1083" w:hanging="723"/>
        <w:rPr>
          <w:rFonts w:ascii="Courier New" w:hAnsi="Courier New" w:cs="Courier New"/>
        </w:rPr>
      </w:pPr>
      <w:r>
        <w:rPr>
          <w:rFonts w:ascii="Courier New" w:hAnsi="Courier New" w:cs="Courier New"/>
        </w:rPr>
        <w:lastRenderedPageBreak/>
        <w:t>Intermittent loose stools of unclear etiology.  Clinical features favor probable irritable bowel syndrome with diarrhea predominance versus increased stool frequency from dietary factors.</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BF37C1" w:rsidRDefault="00BF37C1" w:rsidP="00BF37C1">
      <w:pPr>
        <w:pStyle w:val="Titre3"/>
      </w:pPr>
      <w:r>
        <w:t xml:space="preserve">PLAN:  </w:t>
      </w:r>
    </w:p>
    <w:p w:rsidR="00BF37C1" w:rsidRDefault="00BF37C1" w:rsidP="00BF37C1">
      <w:pPr>
        <w:tabs>
          <w:tab w:val="left" w:pos="1083"/>
          <w:tab w:val="left" w:pos="3933"/>
        </w:tabs>
        <w:rPr>
          <w:rFonts w:ascii="Courier New" w:hAnsi="Courier New" w:cs="Courier New"/>
        </w:rPr>
      </w:pPr>
      <w:r>
        <w:rPr>
          <w:rFonts w:ascii="Courier New" w:hAnsi="Courier New" w:cs="Courier New"/>
        </w:rPr>
        <w:t xml:space="preserve">The patient will avoid dairy, caffeine and sorbitol.  A trial of Bentyl antispasmodic therapy will be added for suspected irritable bowel syndrome.  In addition, laboratory data to include celiac panel will be ordered.  If clinical symptoms fail to improve, then a CT scan of the abdomen may be considered.  Follow up in two weeks.  Additional recommendations to follow. </w:t>
      </w:r>
    </w:p>
    <w:p w:rsidR="00950D40" w:rsidRDefault="00333959" w:rsidP="00BF37C1"/>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1A6F4275"/>
    <w:multiLevelType w:val="hybridMultilevel"/>
    <w:tmpl w:val="80723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696A9F"/>
    <w:multiLevelType w:val="hybridMultilevel"/>
    <w:tmpl w:val="68702FA8"/>
    <w:lvl w:ilvl="0" w:tplc="0409000F">
      <w:start w:val="1"/>
      <w:numFmt w:val="decimal"/>
      <w:lvlText w:val="%1."/>
      <w:lvlJc w:val="left"/>
      <w:pPr>
        <w:tabs>
          <w:tab w:val="num" w:pos="1020"/>
        </w:tabs>
        <w:ind w:left="1020" w:hanging="360"/>
      </w:p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3"/>
  </w:num>
  <w:num w:numId="2">
    <w:abstractNumId w:val="3"/>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C1"/>
    <w:rsid w:val="000E48B3"/>
    <w:rsid w:val="000F1651"/>
    <w:rsid w:val="00162A81"/>
    <w:rsid w:val="00173B9F"/>
    <w:rsid w:val="001C4A01"/>
    <w:rsid w:val="0024146C"/>
    <w:rsid w:val="002545E5"/>
    <w:rsid w:val="00333959"/>
    <w:rsid w:val="003707D4"/>
    <w:rsid w:val="003A6EA0"/>
    <w:rsid w:val="003D07CD"/>
    <w:rsid w:val="003F1743"/>
    <w:rsid w:val="0047685C"/>
    <w:rsid w:val="004E3D4C"/>
    <w:rsid w:val="004E56C0"/>
    <w:rsid w:val="00654C02"/>
    <w:rsid w:val="006D1805"/>
    <w:rsid w:val="00740806"/>
    <w:rsid w:val="007C5D4C"/>
    <w:rsid w:val="009A548D"/>
    <w:rsid w:val="00BF37C1"/>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A2242181-6C62-0849-B285-E426A415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37C1"/>
    <w:pPr>
      <w:autoSpaceDE w:val="0"/>
      <w:autoSpaceDN w:val="0"/>
    </w:pPr>
    <w:rPr>
      <w:rFonts w:ascii="Times New Roman" w:eastAsia="Times New Roman" w:hAnsi="Times New Roman" w:cs="Arial"/>
      <w:lang w:val="en-US"/>
    </w:rPr>
  </w:style>
  <w:style w:type="paragraph" w:styleId="Titre3">
    <w:name w:val="heading 3"/>
    <w:basedOn w:val="Normal"/>
    <w:next w:val="Normal"/>
    <w:link w:val="Titre3Car"/>
    <w:unhideWhenUsed/>
    <w:qFormat/>
    <w:rsid w:val="00BF37C1"/>
    <w:pPr>
      <w:keepNext/>
      <w:keepLines/>
      <w:spacing w:before="20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cs="Times New Roman"/>
      <w:sz w:val="20"/>
      <w:szCs w:val="20"/>
      <w:lang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cs="Times New Roman"/>
      <w:sz w:val="20"/>
      <w:szCs w:val="20"/>
      <w:lang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hAnsi="Arial" w:cs="Times New Roman"/>
      <w:b/>
      <w:color w:val="2019A3"/>
      <w:sz w:val="20"/>
      <w:szCs w:val="20"/>
      <w:lang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hAnsi="Arial" w:cs="Times New Roman"/>
      <w:b/>
      <w:i/>
      <w:color w:val="2019A3"/>
      <w:sz w:val="20"/>
      <w:szCs w:val="20"/>
      <w:lang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hAnsi="Arial" w:cs="Times New Roman"/>
      <w:i/>
      <w:color w:val="2019A3"/>
      <w:sz w:val="20"/>
      <w:szCs w:val="20"/>
      <w:lang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eastAsiaTheme="minorEastAsia"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cs="Times New Roman"/>
      <w:sz w:val="20"/>
      <w:szCs w:val="20"/>
      <w:lang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hAnsi="Arial" w:cs="Times New Roman"/>
      <w:b/>
      <w:color w:val="2019A3"/>
      <w:sz w:val="20"/>
      <w:szCs w:val="20"/>
      <w:lang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hAnsi="Arial" w:cs="Times New Roman"/>
      <w:b/>
      <w:i/>
      <w:color w:val="2019A3"/>
      <w:sz w:val="20"/>
      <w:szCs w:val="20"/>
      <w:lang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hAnsi="Arial" w:cs="Times New Roman"/>
      <w:i/>
      <w:color w:val="2019A3"/>
      <w:sz w:val="20"/>
      <w:szCs w:val="20"/>
      <w:lang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djustRightInd w:val="0"/>
      <w:textAlignment w:val="baseline"/>
    </w:pPr>
    <w:rPr>
      <w:rFonts w:ascii="Arial" w:hAnsi="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djustRightInd w:val="0"/>
      <w:jc w:val="right"/>
      <w:textAlignment w:val="baseline"/>
    </w:pPr>
    <w:rPr>
      <w:rFonts w:ascii="Arial" w:hAnsi="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cs="Times New Roman"/>
      <w:sz w:val="18"/>
      <w:szCs w:val="20"/>
      <w:lang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Titre3Car">
    <w:name w:val="Titre 3 Car"/>
    <w:basedOn w:val="Policepardfaut"/>
    <w:link w:val="Titre3"/>
    <w:rsid w:val="00BF37C1"/>
    <w:rPr>
      <w:rFonts w:ascii="Cambria" w:eastAsia="Times New Roman" w:hAnsi="Cambria" w:cs="Times New Roman"/>
      <w:b/>
      <w:bCs/>
      <w:color w:val="4F81B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1878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2</cp:revision>
  <dcterms:created xsi:type="dcterms:W3CDTF">2018-08-05T17:55:00Z</dcterms:created>
  <dcterms:modified xsi:type="dcterms:W3CDTF">2018-08-05T17:57:00Z</dcterms:modified>
</cp:coreProperties>
</file>