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D4F590F" w:rsidR="005D4500" w:rsidRPr="00FA75AB" w:rsidRDefault="00F124DA" w:rsidP="00F25F3D">
      <w:pPr>
        <w:pStyle w:val="Title"/>
      </w:pPr>
      <w:r>
        <w:t xml:space="preserve">Pandemic </w:t>
      </w:r>
      <w:r w:rsidR="00B70D78">
        <w:t>Classification:</w:t>
      </w:r>
      <w:r>
        <w:t xml:space="preserve"> </w:t>
      </w:r>
      <w:r w:rsidR="00F02B4A">
        <w:t>A study in New York State Graduation Rates</w:t>
      </w:r>
    </w:p>
    <w:p w14:paraId="0AFE45A7" w14:textId="77777777" w:rsidR="0017154C" w:rsidRPr="00FA75AB" w:rsidRDefault="0017154C" w:rsidP="00F25F3D">
      <w:pPr>
        <w:tabs>
          <w:tab w:val="clear" w:pos="3068"/>
        </w:tabs>
        <w:jc w:val="center"/>
        <w:rPr>
          <w:rFonts w:asciiTheme="minorHAnsi" w:hAnsiTheme="minorHAnsi" w:cstheme="minorHAnsi"/>
          <w:szCs w:val="22"/>
        </w:rPr>
      </w:pPr>
    </w:p>
    <w:p w14:paraId="3280E417" w14:textId="096D0E06" w:rsidR="00B47D2F" w:rsidRDefault="000E1C65" w:rsidP="00F25F3D">
      <w:pPr>
        <w:tabs>
          <w:tab w:val="clear" w:pos="3068"/>
        </w:tabs>
        <w:ind w:firstLine="0"/>
        <w:jc w:val="center"/>
        <w:rPr>
          <w:rFonts w:asciiTheme="minorHAnsi" w:hAnsiTheme="minorHAnsi" w:cstheme="minorHAnsi"/>
          <w:szCs w:val="22"/>
        </w:rPr>
      </w:pPr>
      <w:r>
        <w:rPr>
          <w:rFonts w:asciiTheme="minorHAnsi" w:hAnsiTheme="minorHAnsi" w:cstheme="minorHAnsi"/>
          <w:szCs w:val="22"/>
        </w:rPr>
        <w:t>Jiaqi He</w:t>
      </w:r>
    </w:p>
    <w:p w14:paraId="66D7052B" w14:textId="61EE2E24" w:rsidR="00B47D2F" w:rsidRDefault="000E1C65" w:rsidP="00F25F3D">
      <w:pPr>
        <w:tabs>
          <w:tab w:val="clear" w:pos="3068"/>
        </w:tabs>
        <w:ind w:firstLine="0"/>
        <w:jc w:val="center"/>
        <w:rPr>
          <w:rFonts w:asciiTheme="minorHAnsi" w:hAnsiTheme="minorHAnsi" w:cstheme="minorHAnsi"/>
          <w:szCs w:val="22"/>
        </w:rPr>
      </w:pPr>
      <w:r>
        <w:rPr>
          <w:rFonts w:asciiTheme="minorHAnsi" w:hAnsiTheme="minorHAnsi" w:cstheme="minorHAnsi"/>
          <w:szCs w:val="22"/>
        </w:rPr>
        <w:t>Lane Whitmore</w:t>
      </w:r>
    </w:p>
    <w:p w14:paraId="57C2CFDD" w14:textId="443CAD74" w:rsidR="0017154C" w:rsidRPr="00FA75AB" w:rsidRDefault="00FC6444" w:rsidP="00F25F3D">
      <w:pPr>
        <w:tabs>
          <w:tab w:val="clear" w:pos="3068"/>
        </w:tabs>
        <w:ind w:firstLine="0"/>
        <w:jc w:val="center"/>
        <w:rPr>
          <w:rFonts w:asciiTheme="minorHAnsi" w:hAnsiTheme="minorHAnsi" w:cstheme="minorHAnsi"/>
          <w:szCs w:val="22"/>
        </w:rPr>
      </w:pPr>
      <w:r>
        <w:rPr>
          <w:rFonts w:asciiTheme="minorHAnsi" w:hAnsiTheme="minorHAnsi" w:cstheme="minorHAnsi"/>
          <w:szCs w:val="22"/>
        </w:rPr>
        <w:t>Azucena Faus</w:t>
      </w:r>
    </w:p>
    <w:p w14:paraId="67AD33F7" w14:textId="5B66EB19" w:rsidR="0017154C" w:rsidRPr="00FA75AB" w:rsidRDefault="00FC6444" w:rsidP="00F25F3D">
      <w:pPr>
        <w:tabs>
          <w:tab w:val="clear" w:pos="3068"/>
        </w:tabs>
        <w:jc w:val="center"/>
        <w:rPr>
          <w:rFonts w:asciiTheme="minorHAnsi" w:hAnsiTheme="minorHAnsi" w:cstheme="minorHAnsi"/>
          <w:szCs w:val="22"/>
        </w:rPr>
      </w:pPr>
      <w:r>
        <w:rPr>
          <w:rFonts w:asciiTheme="minorHAnsi" w:hAnsiTheme="minorHAnsi" w:cstheme="minorHAnsi"/>
          <w:szCs w:val="22"/>
        </w:rPr>
        <w:t>Shiley-Marcos Engineering Department,</w:t>
      </w:r>
      <w:r w:rsidR="0017154C" w:rsidRPr="00FA75AB">
        <w:rPr>
          <w:rFonts w:asciiTheme="minorHAnsi" w:hAnsiTheme="minorHAnsi" w:cstheme="minorHAnsi"/>
          <w:szCs w:val="22"/>
        </w:rPr>
        <w:t xml:space="preserve"> </w:t>
      </w:r>
      <w:r>
        <w:rPr>
          <w:rFonts w:asciiTheme="minorHAnsi" w:hAnsiTheme="minorHAnsi" w:cstheme="minorHAnsi"/>
          <w:szCs w:val="22"/>
        </w:rPr>
        <w:t>San Diego University</w:t>
      </w:r>
    </w:p>
    <w:p w14:paraId="36F6D819" w14:textId="4E043E9D" w:rsidR="0017154C" w:rsidRPr="00FA75AB" w:rsidRDefault="00B47D2F" w:rsidP="00F25F3D">
      <w:pPr>
        <w:tabs>
          <w:tab w:val="clear" w:pos="3068"/>
        </w:tabs>
        <w:jc w:val="center"/>
        <w:rPr>
          <w:rFonts w:asciiTheme="minorHAnsi" w:hAnsiTheme="minorHAnsi" w:cstheme="minorHAnsi"/>
          <w:szCs w:val="22"/>
        </w:rPr>
      </w:pPr>
      <w:r>
        <w:t>Master of Applied Data Science</w:t>
      </w: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57E6D86E" w14:textId="2E442AC6"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bookmarkStart w:id="0" w:name="_Toc99544064"/>
      <w:bookmarkStart w:id="1" w:name="_Toc99544442"/>
      <w:r w:rsidRPr="00CC186E">
        <w:lastRenderedPageBreak/>
        <w:t>Abstract</w:t>
      </w:r>
      <w:bookmarkEnd w:id="0"/>
      <w:bookmarkEnd w:id="1"/>
    </w:p>
    <w:p w14:paraId="32356649" w14:textId="47A0DCC0" w:rsidR="00D71841" w:rsidRDefault="00D71841" w:rsidP="00D71841">
      <w:pPr>
        <w:tabs>
          <w:tab w:val="clear" w:pos="3068"/>
        </w:tabs>
        <w:ind w:firstLine="0"/>
        <w:rPr>
          <w:rFonts w:asciiTheme="minorHAnsi" w:hAnsiTheme="minorHAnsi" w:cstheme="minorHAnsi"/>
          <w:color w:val="4472C4" w:themeColor="accent1"/>
          <w:szCs w:val="22"/>
        </w:rPr>
      </w:pPr>
      <w:r w:rsidRPr="00B405EF">
        <w:rPr>
          <w:rFonts w:asciiTheme="minorHAnsi" w:hAnsiTheme="minorHAnsi" w:cstheme="minorHAnsi"/>
          <w:szCs w:val="22"/>
        </w:rPr>
        <w:t xml:space="preserve">The intention of this study was to find a model that could </w:t>
      </w:r>
      <w:r>
        <w:rPr>
          <w:rFonts w:asciiTheme="minorHAnsi" w:hAnsiTheme="minorHAnsi" w:cstheme="minorHAnsi"/>
          <w:szCs w:val="22"/>
        </w:rPr>
        <w:t>classify the state of New York’s graduation rate data records as either pre-pandemic or pandemic from</w:t>
      </w:r>
      <w:r w:rsidRPr="00B405EF">
        <w:rPr>
          <w:rFonts w:asciiTheme="minorHAnsi" w:hAnsiTheme="minorHAnsi" w:cstheme="minorHAnsi"/>
          <w:szCs w:val="22"/>
        </w:rPr>
        <w:t xml:space="preserve"> </w:t>
      </w:r>
      <w:r>
        <w:rPr>
          <w:rFonts w:asciiTheme="minorHAnsi" w:hAnsiTheme="minorHAnsi" w:cstheme="minorHAnsi"/>
          <w:szCs w:val="22"/>
        </w:rPr>
        <w:t>a set of features</w:t>
      </w:r>
      <w:r w:rsidRPr="00B405EF">
        <w:rPr>
          <w:rFonts w:asciiTheme="minorHAnsi" w:hAnsiTheme="minorHAnsi" w:cstheme="minorHAnsi"/>
          <w:szCs w:val="22"/>
        </w:rPr>
        <w:t xml:space="preserve">, so </w:t>
      </w:r>
      <w:r>
        <w:rPr>
          <w:rFonts w:asciiTheme="minorHAnsi" w:hAnsiTheme="minorHAnsi" w:cstheme="minorHAnsi"/>
          <w:szCs w:val="22"/>
        </w:rPr>
        <w:t>that further insights and research can develop regarding the shut-down of in-person instruction</w:t>
      </w:r>
      <w:r w:rsidRPr="00B405EF">
        <w:rPr>
          <w:rFonts w:asciiTheme="minorHAnsi" w:hAnsiTheme="minorHAnsi" w:cstheme="minorHAnsi"/>
          <w:szCs w:val="22"/>
        </w:rPr>
        <w:t xml:space="preserve">. The characteristics of importance were </w:t>
      </w:r>
      <w:r>
        <w:rPr>
          <w:rFonts w:asciiTheme="minorHAnsi" w:hAnsiTheme="minorHAnsi" w:cstheme="minorHAnsi"/>
          <w:szCs w:val="22"/>
        </w:rPr>
        <w:t xml:space="preserve">the subgroup names, percentage numbers regarding dropout rate, still enrolled rate, </w:t>
      </w:r>
      <w:r w:rsidR="00DE2C71">
        <w:rPr>
          <w:rFonts w:asciiTheme="minorHAnsi" w:hAnsiTheme="minorHAnsi" w:cstheme="minorHAnsi"/>
          <w:szCs w:val="22"/>
        </w:rPr>
        <w:t>l</w:t>
      </w:r>
      <w:r>
        <w:rPr>
          <w:rFonts w:asciiTheme="minorHAnsi" w:hAnsiTheme="minorHAnsi" w:cstheme="minorHAnsi"/>
          <w:szCs w:val="22"/>
        </w:rPr>
        <w:t xml:space="preserve">ocal diploma percentage, graduation diploma (which is a sum of the local and regents diploma), GED credential, </w:t>
      </w:r>
      <w:r w:rsidR="00DE2C71">
        <w:rPr>
          <w:rFonts w:asciiTheme="minorHAnsi" w:hAnsiTheme="minorHAnsi" w:cstheme="minorHAnsi"/>
          <w:szCs w:val="22"/>
        </w:rPr>
        <w:t>n</w:t>
      </w:r>
      <w:r>
        <w:rPr>
          <w:rFonts w:asciiTheme="minorHAnsi" w:hAnsiTheme="minorHAnsi" w:cstheme="minorHAnsi"/>
          <w:szCs w:val="22"/>
        </w:rPr>
        <w:t>on-</w:t>
      </w:r>
      <w:r w:rsidR="00DE2C71">
        <w:rPr>
          <w:rFonts w:asciiTheme="minorHAnsi" w:hAnsiTheme="minorHAnsi" w:cstheme="minorHAnsi"/>
          <w:szCs w:val="22"/>
        </w:rPr>
        <w:t>d</w:t>
      </w:r>
      <w:r>
        <w:rPr>
          <w:rFonts w:asciiTheme="minorHAnsi" w:hAnsiTheme="minorHAnsi" w:cstheme="minorHAnsi"/>
          <w:szCs w:val="22"/>
        </w:rPr>
        <w:t xml:space="preserve">iploma </w:t>
      </w:r>
      <w:r w:rsidR="00DE2C71">
        <w:rPr>
          <w:rFonts w:asciiTheme="minorHAnsi" w:hAnsiTheme="minorHAnsi" w:cstheme="minorHAnsi"/>
          <w:szCs w:val="22"/>
        </w:rPr>
        <w:t>c</w:t>
      </w:r>
      <w:r>
        <w:rPr>
          <w:rFonts w:asciiTheme="minorHAnsi" w:hAnsiTheme="minorHAnsi" w:cstheme="minorHAnsi"/>
          <w:szCs w:val="22"/>
        </w:rPr>
        <w:t xml:space="preserve">redential, </w:t>
      </w:r>
      <w:r w:rsidR="00DE2C71">
        <w:rPr>
          <w:rFonts w:asciiTheme="minorHAnsi" w:hAnsiTheme="minorHAnsi" w:cstheme="minorHAnsi"/>
          <w:szCs w:val="22"/>
        </w:rPr>
        <w:t>r</w:t>
      </w:r>
      <w:r>
        <w:rPr>
          <w:rFonts w:asciiTheme="minorHAnsi" w:hAnsiTheme="minorHAnsi" w:cstheme="minorHAnsi"/>
          <w:szCs w:val="22"/>
        </w:rPr>
        <w:t xml:space="preserve">egent diplomas and </w:t>
      </w:r>
      <w:r w:rsidR="00DE2C71">
        <w:rPr>
          <w:rFonts w:asciiTheme="minorHAnsi" w:hAnsiTheme="minorHAnsi" w:cstheme="minorHAnsi"/>
          <w:szCs w:val="22"/>
        </w:rPr>
        <w:t>r</w:t>
      </w:r>
      <w:r>
        <w:rPr>
          <w:rFonts w:asciiTheme="minorHAnsi" w:hAnsiTheme="minorHAnsi" w:cstheme="minorHAnsi"/>
          <w:szCs w:val="22"/>
        </w:rPr>
        <w:t>egent diplomas with Advanced designation.</w:t>
      </w:r>
      <w:r w:rsidRPr="009D6702">
        <w:rPr>
          <w:rFonts w:asciiTheme="minorHAnsi" w:hAnsiTheme="minorHAnsi" w:cstheme="minorHAnsi"/>
          <w:szCs w:val="22"/>
        </w:rPr>
        <w:t xml:space="preserve"> The hypothesis postulated that graduation rates </w:t>
      </w:r>
      <w:r>
        <w:rPr>
          <w:rFonts w:asciiTheme="minorHAnsi" w:hAnsiTheme="minorHAnsi" w:cstheme="minorHAnsi"/>
          <w:szCs w:val="22"/>
        </w:rPr>
        <w:t>would probably increase for the COVID timeframe, given the ease of working from home</w:t>
      </w:r>
      <w:r w:rsidRPr="009D6702">
        <w:rPr>
          <w:rFonts w:asciiTheme="minorHAnsi" w:hAnsiTheme="minorHAnsi" w:cstheme="minorHAnsi"/>
          <w:szCs w:val="22"/>
        </w:rPr>
        <w:t>.</w:t>
      </w:r>
      <w:r>
        <w:rPr>
          <w:rFonts w:asciiTheme="minorHAnsi" w:hAnsiTheme="minorHAnsi" w:cstheme="minorHAnsi"/>
          <w:szCs w:val="22"/>
        </w:rPr>
        <w:t xml:space="preserve"> However, there was the doubt that low-income households without access to internet or technology might counter this hypothesis.</w:t>
      </w:r>
      <w:r w:rsidRPr="009D6702">
        <w:rPr>
          <w:rFonts w:asciiTheme="minorHAnsi" w:hAnsiTheme="minorHAnsi" w:cstheme="minorHAnsi"/>
          <w:szCs w:val="22"/>
        </w:rPr>
        <w:t xml:space="preserve"> Data analysis was conducted on information collected by the New York State Department of Education, available on https://data.nysed.gov/downloads.php. It was determined that graduation rates exhibited a</w:t>
      </w:r>
      <w:r>
        <w:rPr>
          <w:rFonts w:asciiTheme="minorHAnsi" w:hAnsiTheme="minorHAnsi" w:cstheme="minorHAnsi"/>
          <w:szCs w:val="22"/>
        </w:rPr>
        <w:t>n overall</w:t>
      </w:r>
      <w:r w:rsidRPr="009D6702">
        <w:rPr>
          <w:rFonts w:asciiTheme="minorHAnsi" w:hAnsiTheme="minorHAnsi" w:cstheme="minorHAnsi"/>
          <w:szCs w:val="22"/>
        </w:rPr>
        <w:t xml:space="preserve"> mean of </w:t>
      </w:r>
      <w:r w:rsidRPr="002B654B">
        <w:rPr>
          <w:rFonts w:asciiTheme="minorHAnsi" w:hAnsiTheme="minorHAnsi" w:cstheme="minorHAnsi"/>
          <w:szCs w:val="22"/>
        </w:rPr>
        <w:t xml:space="preserve">about </w:t>
      </w:r>
      <w:r>
        <w:rPr>
          <w:rFonts w:asciiTheme="minorHAnsi" w:hAnsiTheme="minorHAnsi" w:cstheme="minorHAnsi"/>
          <w:szCs w:val="22"/>
        </w:rPr>
        <w:t>85.3%</w:t>
      </w:r>
      <w:r w:rsidRPr="002B654B">
        <w:rPr>
          <w:rFonts w:asciiTheme="minorHAnsi" w:hAnsiTheme="minorHAnsi" w:cstheme="minorHAnsi"/>
          <w:szCs w:val="22"/>
        </w:rPr>
        <w:t xml:space="preserve">, </w:t>
      </w:r>
      <w:r>
        <w:rPr>
          <w:rFonts w:asciiTheme="minorHAnsi" w:hAnsiTheme="minorHAnsi" w:cstheme="minorHAnsi"/>
          <w:szCs w:val="22"/>
        </w:rPr>
        <w:t>with a</w:t>
      </w:r>
      <w:r w:rsidRPr="009D6702">
        <w:rPr>
          <w:rFonts w:asciiTheme="minorHAnsi" w:hAnsiTheme="minorHAnsi" w:cstheme="minorHAnsi"/>
          <w:szCs w:val="22"/>
        </w:rPr>
        <w:t xml:space="preserve"> standard deviation </w:t>
      </w:r>
      <w:r>
        <w:rPr>
          <w:rFonts w:asciiTheme="minorHAnsi" w:hAnsiTheme="minorHAnsi" w:cstheme="minorHAnsi"/>
          <w:szCs w:val="22"/>
        </w:rPr>
        <w:t>of 8.4</w:t>
      </w:r>
      <w:r w:rsidRPr="00EC73D4">
        <w:rPr>
          <w:rFonts w:asciiTheme="minorHAnsi" w:hAnsiTheme="minorHAnsi" w:cstheme="minorHAnsi"/>
          <w:color w:val="4472C4" w:themeColor="accent1"/>
          <w:szCs w:val="22"/>
        </w:rPr>
        <w:t xml:space="preserve">. </w:t>
      </w:r>
      <w:r w:rsidRPr="009D6702">
        <w:rPr>
          <w:rFonts w:asciiTheme="minorHAnsi" w:hAnsiTheme="minorHAnsi" w:cstheme="minorHAnsi"/>
          <w:szCs w:val="22"/>
        </w:rPr>
        <w:t xml:space="preserve">Additionally, strong correlations were found between graduation rates and </w:t>
      </w:r>
      <w:r w:rsidR="00C532C1">
        <w:rPr>
          <w:rFonts w:asciiTheme="minorHAnsi" w:hAnsiTheme="minorHAnsi" w:cstheme="minorHAnsi"/>
          <w:szCs w:val="22"/>
        </w:rPr>
        <w:t>r</w:t>
      </w:r>
      <w:r w:rsidRPr="00293710">
        <w:rPr>
          <w:rFonts w:asciiTheme="minorHAnsi" w:hAnsiTheme="minorHAnsi" w:cstheme="minorHAnsi"/>
          <w:szCs w:val="22"/>
        </w:rPr>
        <w:t xml:space="preserve">egent </w:t>
      </w:r>
      <w:r w:rsidR="00C532C1">
        <w:rPr>
          <w:rFonts w:asciiTheme="minorHAnsi" w:hAnsiTheme="minorHAnsi" w:cstheme="minorHAnsi"/>
          <w:szCs w:val="22"/>
        </w:rPr>
        <w:t>d</w:t>
      </w:r>
      <w:r w:rsidRPr="00293710">
        <w:rPr>
          <w:rFonts w:asciiTheme="minorHAnsi" w:hAnsiTheme="minorHAnsi" w:cstheme="minorHAnsi"/>
          <w:szCs w:val="22"/>
        </w:rPr>
        <w:t xml:space="preserve">iplomas with Advanced </w:t>
      </w:r>
      <w:r w:rsidR="00C532C1">
        <w:rPr>
          <w:rFonts w:asciiTheme="minorHAnsi" w:hAnsiTheme="minorHAnsi" w:cstheme="minorHAnsi"/>
          <w:szCs w:val="22"/>
        </w:rPr>
        <w:t>d</w:t>
      </w:r>
      <w:r w:rsidRPr="00293710">
        <w:rPr>
          <w:rFonts w:asciiTheme="minorHAnsi" w:hAnsiTheme="minorHAnsi" w:cstheme="minorHAnsi"/>
          <w:szCs w:val="22"/>
        </w:rPr>
        <w:t>esignation</w:t>
      </w:r>
      <w:r w:rsidRPr="009D6702">
        <w:rPr>
          <w:rFonts w:asciiTheme="minorHAnsi" w:hAnsiTheme="minorHAnsi" w:cstheme="minorHAnsi"/>
          <w:szCs w:val="22"/>
        </w:rPr>
        <w:t xml:space="preserve">. It was also found that </w:t>
      </w:r>
      <w:r>
        <w:rPr>
          <w:rFonts w:asciiTheme="minorHAnsi" w:hAnsiTheme="minorHAnsi" w:cstheme="minorHAnsi"/>
          <w:szCs w:val="22"/>
        </w:rPr>
        <w:t>count</w:t>
      </w:r>
      <w:r w:rsidRPr="009D6702">
        <w:rPr>
          <w:rFonts w:asciiTheme="minorHAnsi" w:hAnsiTheme="minorHAnsi" w:cstheme="minorHAnsi"/>
          <w:szCs w:val="22"/>
        </w:rPr>
        <w:t xml:space="preserve"> variables had strong associations between each other. The final model chosen revealed the most significant variables that effect gradu</w:t>
      </w:r>
      <w:r w:rsidRPr="008A3571">
        <w:rPr>
          <w:rFonts w:asciiTheme="minorHAnsi" w:hAnsiTheme="minorHAnsi" w:cstheme="minorHAnsi"/>
          <w:szCs w:val="22"/>
        </w:rPr>
        <w:t>ation rates pre and during pandemic were subgroup name and all the percentage rates for each record</w:t>
      </w:r>
      <w:r w:rsidRPr="009D6702">
        <w:rPr>
          <w:rFonts w:asciiTheme="minorHAnsi" w:hAnsiTheme="minorHAnsi" w:cstheme="minorHAnsi"/>
          <w:szCs w:val="22"/>
        </w:rPr>
        <w:t xml:space="preserve">. </w:t>
      </w:r>
      <w:r w:rsidRPr="002B654B">
        <w:rPr>
          <w:rFonts w:asciiTheme="minorHAnsi" w:hAnsiTheme="minorHAnsi" w:cstheme="minorHAnsi"/>
          <w:szCs w:val="22"/>
        </w:rPr>
        <w:t>The final model revealed that graduation rates did, in fact, increase slightly for the one-year schools were in the middle of COVID pandemic shutdown, and the key performance indicators for each record were able to accurately classify each record as being Pre-COVID or COVID, with use of a proven ensemble classifier.</w:t>
      </w:r>
    </w:p>
    <w:p w14:paraId="7807DD40" w14:textId="77777777" w:rsidR="004340E0" w:rsidRDefault="004340E0" w:rsidP="00B405EF">
      <w:pPr>
        <w:tabs>
          <w:tab w:val="clear" w:pos="3068"/>
        </w:tabs>
        <w:ind w:firstLine="0"/>
        <w:rPr>
          <w:rFonts w:asciiTheme="minorHAnsi" w:hAnsiTheme="minorHAnsi" w:cstheme="minorHAnsi"/>
          <w:color w:val="4472C4" w:themeColor="accent1"/>
          <w:szCs w:val="22"/>
        </w:rPr>
      </w:pPr>
    </w:p>
    <w:p w14:paraId="597E695A" w14:textId="0A11EC32" w:rsidR="00FC755C" w:rsidRPr="00FC755C" w:rsidRDefault="004340E0" w:rsidP="00FC755C">
      <w:pPr>
        <w:tabs>
          <w:tab w:val="clear" w:pos="3068"/>
        </w:tabs>
        <w:spacing w:after="160" w:line="259" w:lineRule="auto"/>
        <w:ind w:firstLine="0"/>
        <w:rPr>
          <w:rFonts w:asciiTheme="minorHAnsi" w:hAnsiTheme="minorHAnsi" w:cstheme="minorHAnsi"/>
          <w:color w:val="4472C4" w:themeColor="accent1"/>
          <w:szCs w:val="22"/>
        </w:rPr>
      </w:pPr>
      <w:r>
        <w:rPr>
          <w:rFonts w:asciiTheme="minorHAnsi" w:hAnsiTheme="minorHAnsi" w:cstheme="minorHAnsi"/>
          <w:color w:val="4472C4" w:themeColor="accent1"/>
          <w:szCs w:val="22"/>
        </w:rPr>
        <w:br w:type="page"/>
      </w:r>
      <w:r w:rsidR="00FC755C">
        <w:rPr>
          <w:rFonts w:asciiTheme="minorHAnsi" w:hAnsiTheme="minorHAnsi" w:cstheme="minorHAnsi"/>
          <w:color w:val="4472C4" w:themeColor="accent1"/>
          <w:szCs w:val="22"/>
        </w:rPr>
        <w:fldChar w:fldCharType="begin"/>
      </w:r>
      <w:r w:rsidR="00FC755C">
        <w:rPr>
          <w:rFonts w:asciiTheme="minorHAnsi" w:hAnsiTheme="minorHAnsi" w:cstheme="minorHAnsi"/>
          <w:color w:val="4472C4" w:themeColor="accent1"/>
          <w:szCs w:val="22"/>
        </w:rPr>
        <w:instrText xml:space="preserve"> TOC \o "1-2" \f \h \z \u </w:instrText>
      </w:r>
      <w:r w:rsidR="00FC755C">
        <w:rPr>
          <w:rFonts w:asciiTheme="minorHAnsi" w:hAnsiTheme="minorHAnsi" w:cstheme="minorHAnsi"/>
          <w:color w:val="4472C4" w:themeColor="accent1"/>
          <w:szCs w:val="22"/>
        </w:rPr>
        <w:fldChar w:fldCharType="separate"/>
      </w:r>
    </w:p>
    <w:p w14:paraId="619C9502" w14:textId="6614665F"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42" w:history="1">
        <w:r w:rsidR="00FC755C" w:rsidRPr="009E7872">
          <w:rPr>
            <w:rStyle w:val="Hyperlink"/>
            <w:noProof/>
          </w:rPr>
          <w:t>Abstract</w:t>
        </w:r>
        <w:r w:rsidR="00FC755C">
          <w:rPr>
            <w:noProof/>
            <w:webHidden/>
          </w:rPr>
          <w:tab/>
        </w:r>
        <w:r w:rsidR="00FC755C">
          <w:rPr>
            <w:noProof/>
            <w:webHidden/>
          </w:rPr>
          <w:fldChar w:fldCharType="begin"/>
        </w:r>
        <w:r w:rsidR="00FC755C">
          <w:rPr>
            <w:noProof/>
            <w:webHidden/>
          </w:rPr>
          <w:instrText xml:space="preserve"> PAGEREF _Toc99544442 \h </w:instrText>
        </w:r>
        <w:r w:rsidR="00FC755C">
          <w:rPr>
            <w:noProof/>
            <w:webHidden/>
          </w:rPr>
        </w:r>
        <w:r w:rsidR="00FC755C">
          <w:rPr>
            <w:noProof/>
            <w:webHidden/>
          </w:rPr>
          <w:fldChar w:fldCharType="separate"/>
        </w:r>
        <w:r w:rsidR="00FC755C">
          <w:rPr>
            <w:noProof/>
            <w:webHidden/>
          </w:rPr>
          <w:t>2</w:t>
        </w:r>
        <w:r w:rsidR="00FC755C">
          <w:rPr>
            <w:noProof/>
            <w:webHidden/>
          </w:rPr>
          <w:fldChar w:fldCharType="end"/>
        </w:r>
      </w:hyperlink>
    </w:p>
    <w:p w14:paraId="4F0D5C78" w14:textId="1F65C17F"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43" w:history="1">
        <w:r w:rsidR="00FC755C" w:rsidRPr="009E7872">
          <w:rPr>
            <w:rStyle w:val="Hyperlink"/>
            <w:noProof/>
          </w:rPr>
          <w:t>Introduction</w:t>
        </w:r>
        <w:r w:rsidR="00FC755C">
          <w:rPr>
            <w:noProof/>
            <w:webHidden/>
          </w:rPr>
          <w:tab/>
        </w:r>
        <w:r w:rsidR="00FC755C">
          <w:rPr>
            <w:noProof/>
            <w:webHidden/>
          </w:rPr>
          <w:fldChar w:fldCharType="begin"/>
        </w:r>
        <w:r w:rsidR="00FC755C">
          <w:rPr>
            <w:noProof/>
            <w:webHidden/>
          </w:rPr>
          <w:instrText xml:space="preserve"> PAGEREF _Toc99544443 \h </w:instrText>
        </w:r>
        <w:r w:rsidR="00FC755C">
          <w:rPr>
            <w:noProof/>
            <w:webHidden/>
          </w:rPr>
        </w:r>
        <w:r w:rsidR="00FC755C">
          <w:rPr>
            <w:noProof/>
            <w:webHidden/>
          </w:rPr>
          <w:fldChar w:fldCharType="separate"/>
        </w:r>
        <w:r w:rsidR="00FC755C">
          <w:rPr>
            <w:noProof/>
            <w:webHidden/>
          </w:rPr>
          <w:t>5</w:t>
        </w:r>
        <w:r w:rsidR="00FC755C">
          <w:rPr>
            <w:noProof/>
            <w:webHidden/>
          </w:rPr>
          <w:fldChar w:fldCharType="end"/>
        </w:r>
      </w:hyperlink>
    </w:p>
    <w:p w14:paraId="4EA15344" w14:textId="469329D0"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44" w:history="1">
        <w:r w:rsidR="00FC755C" w:rsidRPr="009E7872">
          <w:rPr>
            <w:rStyle w:val="Hyperlink"/>
            <w:noProof/>
          </w:rPr>
          <w:t>Objective</w:t>
        </w:r>
        <w:r w:rsidR="00FC755C">
          <w:rPr>
            <w:noProof/>
            <w:webHidden/>
          </w:rPr>
          <w:tab/>
        </w:r>
        <w:r w:rsidR="00FC755C">
          <w:rPr>
            <w:noProof/>
            <w:webHidden/>
          </w:rPr>
          <w:fldChar w:fldCharType="begin"/>
        </w:r>
        <w:r w:rsidR="00FC755C">
          <w:rPr>
            <w:noProof/>
            <w:webHidden/>
          </w:rPr>
          <w:instrText xml:space="preserve"> PAGEREF _Toc99544444 \h </w:instrText>
        </w:r>
        <w:r w:rsidR="00FC755C">
          <w:rPr>
            <w:noProof/>
            <w:webHidden/>
          </w:rPr>
        </w:r>
        <w:r w:rsidR="00FC755C">
          <w:rPr>
            <w:noProof/>
            <w:webHidden/>
          </w:rPr>
          <w:fldChar w:fldCharType="separate"/>
        </w:r>
        <w:r w:rsidR="00FC755C">
          <w:rPr>
            <w:noProof/>
            <w:webHidden/>
          </w:rPr>
          <w:t>5</w:t>
        </w:r>
        <w:r w:rsidR="00FC755C">
          <w:rPr>
            <w:noProof/>
            <w:webHidden/>
          </w:rPr>
          <w:fldChar w:fldCharType="end"/>
        </w:r>
      </w:hyperlink>
    </w:p>
    <w:p w14:paraId="1E043238" w14:textId="2681DBFE"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45" w:history="1">
        <w:r w:rsidR="00FC755C" w:rsidRPr="009E7872">
          <w:rPr>
            <w:rStyle w:val="Hyperlink"/>
            <w:noProof/>
          </w:rPr>
          <w:t>General Formula</w:t>
        </w:r>
        <w:r w:rsidR="00FC755C">
          <w:rPr>
            <w:noProof/>
            <w:webHidden/>
          </w:rPr>
          <w:tab/>
        </w:r>
        <w:r w:rsidR="00FC755C">
          <w:rPr>
            <w:noProof/>
            <w:webHidden/>
          </w:rPr>
          <w:fldChar w:fldCharType="begin"/>
        </w:r>
        <w:r w:rsidR="00FC755C">
          <w:rPr>
            <w:noProof/>
            <w:webHidden/>
          </w:rPr>
          <w:instrText xml:space="preserve"> PAGEREF _Toc99544445 \h </w:instrText>
        </w:r>
        <w:r w:rsidR="00FC755C">
          <w:rPr>
            <w:noProof/>
            <w:webHidden/>
          </w:rPr>
        </w:r>
        <w:r w:rsidR="00FC755C">
          <w:rPr>
            <w:noProof/>
            <w:webHidden/>
          </w:rPr>
          <w:fldChar w:fldCharType="separate"/>
        </w:r>
        <w:r w:rsidR="00FC755C">
          <w:rPr>
            <w:noProof/>
            <w:webHidden/>
          </w:rPr>
          <w:t>6</w:t>
        </w:r>
        <w:r w:rsidR="00FC755C">
          <w:rPr>
            <w:noProof/>
            <w:webHidden/>
          </w:rPr>
          <w:fldChar w:fldCharType="end"/>
        </w:r>
      </w:hyperlink>
    </w:p>
    <w:p w14:paraId="22075202" w14:textId="440E31E3"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46" w:history="1">
        <w:r w:rsidR="00FC755C" w:rsidRPr="009E7872">
          <w:rPr>
            <w:rStyle w:val="Hyperlink"/>
            <w:noProof/>
          </w:rPr>
          <w:t>Method</w:t>
        </w:r>
        <w:r w:rsidR="00FC755C">
          <w:rPr>
            <w:noProof/>
            <w:webHidden/>
          </w:rPr>
          <w:tab/>
        </w:r>
        <w:r w:rsidR="00FC755C">
          <w:rPr>
            <w:noProof/>
            <w:webHidden/>
          </w:rPr>
          <w:fldChar w:fldCharType="begin"/>
        </w:r>
        <w:r w:rsidR="00FC755C">
          <w:rPr>
            <w:noProof/>
            <w:webHidden/>
          </w:rPr>
          <w:instrText xml:space="preserve"> PAGEREF _Toc99544446 \h </w:instrText>
        </w:r>
        <w:r w:rsidR="00FC755C">
          <w:rPr>
            <w:noProof/>
            <w:webHidden/>
          </w:rPr>
        </w:r>
        <w:r w:rsidR="00FC755C">
          <w:rPr>
            <w:noProof/>
            <w:webHidden/>
          </w:rPr>
          <w:fldChar w:fldCharType="separate"/>
        </w:r>
        <w:r w:rsidR="00FC755C">
          <w:rPr>
            <w:noProof/>
            <w:webHidden/>
          </w:rPr>
          <w:t>6</w:t>
        </w:r>
        <w:r w:rsidR="00FC755C">
          <w:rPr>
            <w:noProof/>
            <w:webHidden/>
          </w:rPr>
          <w:fldChar w:fldCharType="end"/>
        </w:r>
      </w:hyperlink>
    </w:p>
    <w:p w14:paraId="0DE1CB08" w14:textId="01237F2B"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47" w:history="1">
        <w:r w:rsidR="00FC755C" w:rsidRPr="009E7872">
          <w:rPr>
            <w:rStyle w:val="Hyperlink"/>
            <w:noProof/>
          </w:rPr>
          <w:t>Bivariate Relationships</w:t>
        </w:r>
        <w:r w:rsidR="00FC755C">
          <w:rPr>
            <w:noProof/>
            <w:webHidden/>
          </w:rPr>
          <w:tab/>
        </w:r>
        <w:r w:rsidR="00FC755C">
          <w:rPr>
            <w:noProof/>
            <w:webHidden/>
          </w:rPr>
          <w:fldChar w:fldCharType="begin"/>
        </w:r>
        <w:r w:rsidR="00FC755C">
          <w:rPr>
            <w:noProof/>
            <w:webHidden/>
          </w:rPr>
          <w:instrText xml:space="preserve"> PAGEREF _Toc99544447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2A369D24" w14:textId="791CC82D"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48" w:history="1">
        <w:r w:rsidR="00FC755C" w:rsidRPr="009E7872">
          <w:rPr>
            <w:rStyle w:val="Hyperlink"/>
            <w:noProof/>
          </w:rPr>
          <w:t>Correlation</w:t>
        </w:r>
        <w:r w:rsidR="00FC755C">
          <w:rPr>
            <w:noProof/>
            <w:webHidden/>
          </w:rPr>
          <w:tab/>
        </w:r>
        <w:r w:rsidR="00FC755C">
          <w:rPr>
            <w:noProof/>
            <w:webHidden/>
          </w:rPr>
          <w:fldChar w:fldCharType="begin"/>
        </w:r>
        <w:r w:rsidR="00FC755C">
          <w:rPr>
            <w:noProof/>
            <w:webHidden/>
          </w:rPr>
          <w:instrText xml:space="preserve"> PAGEREF _Toc99544448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0C374081" w14:textId="3BDBC41B"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49" w:history="1">
        <w:r w:rsidR="00FC755C" w:rsidRPr="009E7872">
          <w:rPr>
            <w:rStyle w:val="Hyperlink"/>
            <w:noProof/>
          </w:rPr>
          <w:t>PCA Analysis</w:t>
        </w:r>
        <w:r w:rsidR="00FC755C">
          <w:rPr>
            <w:noProof/>
            <w:webHidden/>
          </w:rPr>
          <w:tab/>
        </w:r>
        <w:r w:rsidR="00FC755C">
          <w:rPr>
            <w:noProof/>
            <w:webHidden/>
          </w:rPr>
          <w:fldChar w:fldCharType="begin"/>
        </w:r>
        <w:r w:rsidR="00FC755C">
          <w:rPr>
            <w:noProof/>
            <w:webHidden/>
          </w:rPr>
          <w:instrText xml:space="preserve"> PAGEREF _Toc99544449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3EB240D9" w14:textId="0427ECD7"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50" w:history="1">
        <w:r w:rsidR="00FC755C" w:rsidRPr="009E7872">
          <w:rPr>
            <w:rStyle w:val="Hyperlink"/>
            <w:noProof/>
          </w:rPr>
          <w:t>Modeling</w:t>
        </w:r>
        <w:r w:rsidR="00FC755C">
          <w:rPr>
            <w:noProof/>
            <w:webHidden/>
          </w:rPr>
          <w:tab/>
        </w:r>
        <w:r w:rsidR="00FC755C">
          <w:rPr>
            <w:noProof/>
            <w:webHidden/>
          </w:rPr>
          <w:fldChar w:fldCharType="begin"/>
        </w:r>
        <w:r w:rsidR="00FC755C">
          <w:rPr>
            <w:noProof/>
            <w:webHidden/>
          </w:rPr>
          <w:instrText xml:space="preserve"> PAGEREF _Toc99544450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576E9035" w14:textId="68A9293C"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1" w:history="1">
        <w:r w:rsidR="00E26482">
          <w:rPr>
            <w:rStyle w:val="Hyperlink"/>
            <w:noProof/>
          </w:rPr>
          <w:t>CART</w:t>
        </w:r>
        <w:r w:rsidR="00FC755C" w:rsidRPr="009E7872">
          <w:rPr>
            <w:rStyle w:val="Hyperlink"/>
            <w:noProof/>
          </w:rPr>
          <w:t xml:space="preserve"> Classifier</w:t>
        </w:r>
        <w:r w:rsidR="00FC755C">
          <w:rPr>
            <w:noProof/>
            <w:webHidden/>
          </w:rPr>
          <w:tab/>
        </w:r>
        <w:r w:rsidR="00FC755C">
          <w:rPr>
            <w:noProof/>
            <w:webHidden/>
          </w:rPr>
          <w:fldChar w:fldCharType="begin"/>
        </w:r>
        <w:r w:rsidR="00FC755C">
          <w:rPr>
            <w:noProof/>
            <w:webHidden/>
          </w:rPr>
          <w:instrText xml:space="preserve"> PAGEREF _Toc99544451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479F371E" w14:textId="466140F2"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2" w:history="1">
        <w:r w:rsidR="00FC755C" w:rsidRPr="009E7872">
          <w:rPr>
            <w:rStyle w:val="Hyperlink"/>
            <w:noProof/>
          </w:rPr>
          <w:t>Logistic Regression Classifier</w:t>
        </w:r>
        <w:r w:rsidR="00FC755C">
          <w:rPr>
            <w:noProof/>
            <w:webHidden/>
          </w:rPr>
          <w:tab/>
        </w:r>
        <w:r w:rsidR="00FC755C">
          <w:rPr>
            <w:noProof/>
            <w:webHidden/>
          </w:rPr>
          <w:fldChar w:fldCharType="begin"/>
        </w:r>
        <w:r w:rsidR="00FC755C">
          <w:rPr>
            <w:noProof/>
            <w:webHidden/>
          </w:rPr>
          <w:instrText xml:space="preserve"> PAGEREF _Toc99544452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42124906" w14:textId="33E8ACA3"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3" w:history="1">
        <w:r w:rsidR="00FC755C" w:rsidRPr="009E7872">
          <w:rPr>
            <w:rStyle w:val="Hyperlink"/>
            <w:noProof/>
          </w:rPr>
          <w:t>Random Forest Tree Classifier</w:t>
        </w:r>
        <w:r w:rsidR="00FC755C">
          <w:rPr>
            <w:noProof/>
            <w:webHidden/>
          </w:rPr>
          <w:tab/>
        </w:r>
        <w:r w:rsidR="00FC755C">
          <w:rPr>
            <w:noProof/>
            <w:webHidden/>
          </w:rPr>
          <w:fldChar w:fldCharType="begin"/>
        </w:r>
        <w:r w:rsidR="00FC755C">
          <w:rPr>
            <w:noProof/>
            <w:webHidden/>
          </w:rPr>
          <w:instrText xml:space="preserve"> PAGEREF _Toc99544453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52883DD3" w14:textId="3F574FA0"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4" w:history="1">
        <w:r w:rsidR="00FC755C" w:rsidRPr="009E7872">
          <w:rPr>
            <w:rStyle w:val="Hyperlink"/>
            <w:noProof/>
          </w:rPr>
          <w:t>Naïve Bayes Classifier</w:t>
        </w:r>
        <w:r w:rsidR="00FC755C">
          <w:rPr>
            <w:noProof/>
            <w:webHidden/>
          </w:rPr>
          <w:tab/>
        </w:r>
        <w:r w:rsidR="00FC755C">
          <w:rPr>
            <w:noProof/>
            <w:webHidden/>
          </w:rPr>
          <w:fldChar w:fldCharType="begin"/>
        </w:r>
        <w:r w:rsidR="00FC755C">
          <w:rPr>
            <w:noProof/>
            <w:webHidden/>
          </w:rPr>
          <w:instrText xml:space="preserve"> PAGEREF _Toc99544454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4FB8AEE7" w14:textId="4D08757D"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5" w:history="1">
        <w:r w:rsidR="00FC755C" w:rsidRPr="009E7872">
          <w:rPr>
            <w:rStyle w:val="Hyperlink"/>
            <w:noProof/>
          </w:rPr>
          <w:t>Neural Network Classifier</w:t>
        </w:r>
        <w:r w:rsidR="00FC755C">
          <w:rPr>
            <w:noProof/>
            <w:webHidden/>
          </w:rPr>
          <w:tab/>
        </w:r>
        <w:r w:rsidR="00FC755C">
          <w:rPr>
            <w:noProof/>
            <w:webHidden/>
          </w:rPr>
          <w:fldChar w:fldCharType="begin"/>
        </w:r>
        <w:r w:rsidR="00FC755C">
          <w:rPr>
            <w:noProof/>
            <w:webHidden/>
          </w:rPr>
          <w:instrText xml:space="preserve"> PAGEREF _Toc99544455 \h </w:instrText>
        </w:r>
        <w:r w:rsidR="00FC755C">
          <w:rPr>
            <w:noProof/>
            <w:webHidden/>
          </w:rPr>
        </w:r>
        <w:r w:rsidR="00FC755C">
          <w:rPr>
            <w:noProof/>
            <w:webHidden/>
          </w:rPr>
          <w:fldChar w:fldCharType="separate"/>
        </w:r>
        <w:r w:rsidR="00FC755C">
          <w:rPr>
            <w:noProof/>
            <w:webHidden/>
          </w:rPr>
          <w:t>7</w:t>
        </w:r>
        <w:r w:rsidR="00FC755C">
          <w:rPr>
            <w:noProof/>
            <w:webHidden/>
          </w:rPr>
          <w:fldChar w:fldCharType="end"/>
        </w:r>
      </w:hyperlink>
    </w:p>
    <w:p w14:paraId="7B1AB94B" w14:textId="3256D77C"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56" w:history="1">
        <w:r w:rsidR="00FC755C" w:rsidRPr="009E7872">
          <w:rPr>
            <w:rStyle w:val="Hyperlink"/>
            <w:noProof/>
          </w:rPr>
          <w:t>Results</w:t>
        </w:r>
        <w:r w:rsidR="00FC755C">
          <w:rPr>
            <w:noProof/>
            <w:webHidden/>
          </w:rPr>
          <w:tab/>
        </w:r>
        <w:r w:rsidR="00FC755C">
          <w:rPr>
            <w:noProof/>
            <w:webHidden/>
          </w:rPr>
          <w:fldChar w:fldCharType="begin"/>
        </w:r>
        <w:r w:rsidR="00FC755C">
          <w:rPr>
            <w:noProof/>
            <w:webHidden/>
          </w:rPr>
          <w:instrText xml:space="preserve"> PAGEREF _Toc99544456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4B43693B" w14:textId="78502D0E"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7" w:history="1">
        <w:r w:rsidR="00FC755C" w:rsidRPr="009E7872">
          <w:rPr>
            <w:rStyle w:val="Hyperlink"/>
            <w:noProof/>
          </w:rPr>
          <w:t>Final Model</w:t>
        </w:r>
        <w:r w:rsidR="00FC755C">
          <w:rPr>
            <w:noProof/>
            <w:webHidden/>
          </w:rPr>
          <w:tab/>
        </w:r>
        <w:r w:rsidR="00FC755C">
          <w:rPr>
            <w:noProof/>
            <w:webHidden/>
          </w:rPr>
          <w:fldChar w:fldCharType="begin"/>
        </w:r>
        <w:r w:rsidR="00FC755C">
          <w:rPr>
            <w:noProof/>
            <w:webHidden/>
          </w:rPr>
          <w:instrText xml:space="preserve"> PAGEREF _Toc99544457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7428E75A" w14:textId="514582C7"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58" w:history="1">
        <w:r w:rsidR="00FC755C" w:rsidRPr="009E7872">
          <w:rPr>
            <w:rStyle w:val="Hyperlink"/>
            <w:noProof/>
          </w:rPr>
          <w:t>Discussion</w:t>
        </w:r>
        <w:r w:rsidR="00FC755C">
          <w:rPr>
            <w:noProof/>
            <w:webHidden/>
          </w:rPr>
          <w:tab/>
        </w:r>
        <w:r w:rsidR="00FC755C">
          <w:rPr>
            <w:noProof/>
            <w:webHidden/>
          </w:rPr>
          <w:fldChar w:fldCharType="begin"/>
        </w:r>
        <w:r w:rsidR="00FC755C">
          <w:rPr>
            <w:noProof/>
            <w:webHidden/>
          </w:rPr>
          <w:instrText xml:space="preserve"> PAGEREF _Toc99544458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60406F9D" w14:textId="559A59D0"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59" w:history="1">
        <w:r w:rsidR="00FC755C" w:rsidRPr="009E7872">
          <w:rPr>
            <w:rStyle w:val="Hyperlink"/>
            <w:noProof/>
          </w:rPr>
          <w:t>Weaknesses/Strengths</w:t>
        </w:r>
        <w:r w:rsidR="00FC755C">
          <w:rPr>
            <w:noProof/>
            <w:webHidden/>
          </w:rPr>
          <w:tab/>
        </w:r>
        <w:r w:rsidR="00FC755C">
          <w:rPr>
            <w:noProof/>
            <w:webHidden/>
          </w:rPr>
          <w:fldChar w:fldCharType="begin"/>
        </w:r>
        <w:r w:rsidR="00FC755C">
          <w:rPr>
            <w:noProof/>
            <w:webHidden/>
          </w:rPr>
          <w:instrText xml:space="preserve"> PAGEREF _Toc99544459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2306C70F" w14:textId="024E205C"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60" w:history="1">
        <w:r w:rsidR="00FC755C" w:rsidRPr="009E7872">
          <w:rPr>
            <w:rStyle w:val="Hyperlink"/>
            <w:noProof/>
          </w:rPr>
          <w:t>Conclusion</w:t>
        </w:r>
        <w:r w:rsidR="00FC755C">
          <w:rPr>
            <w:noProof/>
            <w:webHidden/>
          </w:rPr>
          <w:tab/>
        </w:r>
        <w:r w:rsidR="00FC755C">
          <w:rPr>
            <w:noProof/>
            <w:webHidden/>
          </w:rPr>
          <w:fldChar w:fldCharType="begin"/>
        </w:r>
        <w:r w:rsidR="00FC755C">
          <w:rPr>
            <w:noProof/>
            <w:webHidden/>
          </w:rPr>
          <w:instrText xml:space="preserve"> PAGEREF _Toc99544460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560F48F0" w14:textId="0AC13E99" w:rsidR="00FC755C" w:rsidRDefault="0080798F">
      <w:pPr>
        <w:pStyle w:val="TOC2"/>
        <w:tabs>
          <w:tab w:val="right" w:pos="9350"/>
        </w:tabs>
        <w:rPr>
          <w:rFonts w:asciiTheme="minorHAnsi" w:eastAsiaTheme="minorEastAsia" w:hAnsiTheme="minorHAnsi" w:cstheme="minorBidi"/>
          <w:noProof/>
          <w:szCs w:val="22"/>
          <w:shd w:val="clear" w:color="auto" w:fill="auto"/>
        </w:rPr>
      </w:pPr>
      <w:hyperlink w:anchor="_Toc99544461" w:history="1">
        <w:r w:rsidR="00FC755C" w:rsidRPr="009E7872">
          <w:rPr>
            <w:rStyle w:val="Hyperlink"/>
            <w:noProof/>
          </w:rPr>
          <w:t>Future Research</w:t>
        </w:r>
        <w:r w:rsidR="00FC755C">
          <w:rPr>
            <w:noProof/>
            <w:webHidden/>
          </w:rPr>
          <w:tab/>
        </w:r>
        <w:r w:rsidR="00FC755C">
          <w:rPr>
            <w:noProof/>
            <w:webHidden/>
          </w:rPr>
          <w:fldChar w:fldCharType="begin"/>
        </w:r>
        <w:r w:rsidR="00FC755C">
          <w:rPr>
            <w:noProof/>
            <w:webHidden/>
          </w:rPr>
          <w:instrText xml:space="preserve"> PAGEREF _Toc99544461 \h </w:instrText>
        </w:r>
        <w:r w:rsidR="00FC755C">
          <w:rPr>
            <w:noProof/>
            <w:webHidden/>
          </w:rPr>
        </w:r>
        <w:r w:rsidR="00FC755C">
          <w:rPr>
            <w:noProof/>
            <w:webHidden/>
          </w:rPr>
          <w:fldChar w:fldCharType="separate"/>
        </w:r>
        <w:r w:rsidR="00FC755C">
          <w:rPr>
            <w:noProof/>
            <w:webHidden/>
          </w:rPr>
          <w:t>8</w:t>
        </w:r>
        <w:r w:rsidR="00FC755C">
          <w:rPr>
            <w:noProof/>
            <w:webHidden/>
          </w:rPr>
          <w:fldChar w:fldCharType="end"/>
        </w:r>
      </w:hyperlink>
    </w:p>
    <w:p w14:paraId="236E0BC3" w14:textId="4A79946E" w:rsidR="00FC755C" w:rsidRDefault="0080798F">
      <w:pPr>
        <w:pStyle w:val="TOC1"/>
        <w:tabs>
          <w:tab w:val="right" w:pos="9350"/>
        </w:tabs>
        <w:rPr>
          <w:rFonts w:asciiTheme="minorHAnsi" w:eastAsiaTheme="minorEastAsia" w:hAnsiTheme="minorHAnsi" w:cstheme="minorBidi"/>
          <w:noProof/>
          <w:szCs w:val="22"/>
          <w:shd w:val="clear" w:color="auto" w:fill="auto"/>
        </w:rPr>
      </w:pPr>
      <w:hyperlink w:anchor="_Toc99544462" w:history="1">
        <w:r w:rsidR="00FC755C" w:rsidRPr="009E7872">
          <w:rPr>
            <w:rStyle w:val="Hyperlink"/>
            <w:noProof/>
          </w:rPr>
          <w:t>References</w:t>
        </w:r>
        <w:r w:rsidR="00FC755C">
          <w:rPr>
            <w:noProof/>
            <w:webHidden/>
          </w:rPr>
          <w:tab/>
        </w:r>
        <w:r w:rsidR="00FC755C">
          <w:rPr>
            <w:noProof/>
            <w:webHidden/>
          </w:rPr>
          <w:fldChar w:fldCharType="begin"/>
        </w:r>
        <w:r w:rsidR="00FC755C">
          <w:rPr>
            <w:noProof/>
            <w:webHidden/>
          </w:rPr>
          <w:instrText xml:space="preserve"> PAGEREF _Toc99544462 \h </w:instrText>
        </w:r>
        <w:r w:rsidR="00FC755C">
          <w:rPr>
            <w:noProof/>
            <w:webHidden/>
          </w:rPr>
        </w:r>
        <w:r w:rsidR="00FC755C">
          <w:rPr>
            <w:noProof/>
            <w:webHidden/>
          </w:rPr>
          <w:fldChar w:fldCharType="separate"/>
        </w:r>
        <w:r w:rsidR="00FC755C">
          <w:rPr>
            <w:noProof/>
            <w:webHidden/>
          </w:rPr>
          <w:t>9</w:t>
        </w:r>
        <w:r w:rsidR="00FC755C">
          <w:rPr>
            <w:noProof/>
            <w:webHidden/>
          </w:rPr>
          <w:fldChar w:fldCharType="end"/>
        </w:r>
      </w:hyperlink>
    </w:p>
    <w:p w14:paraId="2FED3746" w14:textId="4FC5F2E2" w:rsidR="00E102C3" w:rsidRPr="00EC73D4" w:rsidRDefault="00FC755C" w:rsidP="00B405EF">
      <w:pPr>
        <w:tabs>
          <w:tab w:val="clear" w:pos="3068"/>
        </w:tabs>
        <w:ind w:firstLine="0"/>
        <w:rPr>
          <w:rFonts w:asciiTheme="minorHAnsi" w:hAnsiTheme="minorHAnsi" w:cstheme="minorHAnsi"/>
          <w:color w:val="4472C4" w:themeColor="accent1"/>
          <w:szCs w:val="22"/>
        </w:rPr>
      </w:pPr>
      <w:r>
        <w:rPr>
          <w:rFonts w:asciiTheme="minorHAnsi" w:hAnsiTheme="minorHAnsi" w:cstheme="minorHAnsi"/>
          <w:color w:val="4472C4" w:themeColor="accent1"/>
          <w:szCs w:val="22"/>
        </w:rPr>
        <w:fldChar w:fldCharType="end"/>
      </w:r>
      <w:r w:rsidR="00E102C3" w:rsidRPr="00EC73D4">
        <w:rPr>
          <w:rFonts w:asciiTheme="minorHAnsi" w:hAnsiTheme="minorHAnsi" w:cstheme="minorHAnsi"/>
          <w:color w:val="4472C4" w:themeColor="accent1"/>
          <w:szCs w:val="22"/>
        </w:rPr>
        <w:br w:type="page"/>
      </w:r>
    </w:p>
    <w:p w14:paraId="7E9776EE" w14:textId="144A7D3F" w:rsidR="00DB74BC" w:rsidRPr="00DB74BC" w:rsidRDefault="00DB74BC" w:rsidP="00DB74BC">
      <w:pPr>
        <w:tabs>
          <w:tab w:val="clear" w:pos="3068"/>
        </w:tabs>
        <w:jc w:val="center"/>
        <w:rPr>
          <w:rFonts w:asciiTheme="minorHAnsi" w:hAnsiTheme="minorHAnsi" w:cstheme="minorHAnsi"/>
          <w:b/>
          <w:bCs/>
          <w:szCs w:val="22"/>
        </w:rPr>
      </w:pPr>
      <w:r>
        <w:rPr>
          <w:rFonts w:asciiTheme="minorHAnsi" w:hAnsiTheme="minorHAnsi" w:cstheme="minorHAnsi"/>
          <w:szCs w:val="22"/>
        </w:rPr>
        <w:lastRenderedPageBreak/>
        <w:br/>
      </w:r>
      <w:r>
        <w:rPr>
          <w:rFonts w:asciiTheme="minorHAnsi" w:hAnsiTheme="minorHAnsi" w:cstheme="minorHAnsi"/>
          <w:b/>
          <w:bCs/>
          <w:szCs w:val="22"/>
        </w:rPr>
        <w:t>Introduction</w:t>
      </w:r>
    </w:p>
    <w:p w14:paraId="5A7ECB93" w14:textId="48A590D2" w:rsidR="00F025DC" w:rsidRPr="00BC06D7" w:rsidRDefault="00F025DC" w:rsidP="00F025DC">
      <w:pPr>
        <w:tabs>
          <w:tab w:val="clear" w:pos="3068"/>
        </w:tabs>
        <w:rPr>
          <w:rFonts w:asciiTheme="minorHAnsi" w:hAnsiTheme="minorHAnsi" w:cstheme="minorHAnsi"/>
          <w:szCs w:val="22"/>
        </w:rPr>
      </w:pPr>
      <w:bookmarkStart w:id="2" w:name="_Toc99544066"/>
      <w:bookmarkStart w:id="3" w:name="_Toc99544444"/>
      <w:r w:rsidRPr="00BC06D7">
        <w:rPr>
          <w:rFonts w:asciiTheme="minorHAnsi" w:hAnsiTheme="minorHAnsi" w:cstheme="minorHAnsi"/>
          <w:szCs w:val="22"/>
        </w:rPr>
        <w:t>Amid international news about a deadly variant of the SARS virus later named COVID-19, on March 7, 2020 as confirmed cases grew in the state of New York, Governor Andrew Cuomo declared a state of emergency. On March 15, 2020, New York, along with the much of the country and world, made the unprecedented move to shut down all public schools for in-person instruction. From there, several families chose to either keep their children in online learning, or pursue home schooling options, as well as private schools that remained open for much of the pandemic. Data has been gathered for graduation rates both before the pandemic shutdown of 2020, and during, as well as the tentative opening of schools where children had the option to come back. This data is used to compare graduation rates and look for any patterns regarding the COVID-19 shutdown. Because online learning requires access to technology and internet</w:t>
      </w:r>
      <w:r w:rsidR="004F377C">
        <w:rPr>
          <w:rFonts w:asciiTheme="minorHAnsi" w:hAnsiTheme="minorHAnsi" w:cstheme="minorHAnsi"/>
          <w:szCs w:val="22"/>
        </w:rPr>
        <w:t xml:space="preserve"> </w:t>
      </w:r>
      <w:r w:rsidRPr="00BC06D7">
        <w:rPr>
          <w:rFonts w:asciiTheme="minorHAnsi" w:hAnsiTheme="minorHAnsi" w:cstheme="minorHAnsi"/>
          <w:szCs w:val="22"/>
        </w:rPr>
        <w:t>and</w:t>
      </w:r>
      <w:r w:rsidR="004F377C">
        <w:rPr>
          <w:rFonts w:asciiTheme="minorHAnsi" w:hAnsiTheme="minorHAnsi" w:cstheme="minorHAnsi"/>
          <w:szCs w:val="22"/>
        </w:rPr>
        <w:t xml:space="preserve">, according to Friedman et al., </w:t>
      </w:r>
      <w:r w:rsidR="00FF6CFB">
        <w:rPr>
          <w:rFonts w:asciiTheme="minorHAnsi" w:hAnsiTheme="minorHAnsi" w:cstheme="minorHAnsi"/>
          <w:szCs w:val="22"/>
        </w:rPr>
        <w:t xml:space="preserve">about </w:t>
      </w:r>
      <w:r w:rsidR="00AE62CA">
        <w:rPr>
          <w:rFonts w:asciiTheme="minorHAnsi" w:hAnsiTheme="minorHAnsi" w:cstheme="minorHAnsi"/>
          <w:szCs w:val="22"/>
        </w:rPr>
        <w:t>10</w:t>
      </w:r>
      <w:r w:rsidRPr="00BC06D7">
        <w:rPr>
          <w:rFonts w:asciiTheme="minorHAnsi" w:hAnsiTheme="minorHAnsi" w:cstheme="minorHAnsi"/>
          <w:szCs w:val="22"/>
        </w:rPr>
        <w:t xml:space="preserve">% of </w:t>
      </w:r>
      <w:r w:rsidR="00AE62CA">
        <w:rPr>
          <w:rFonts w:asciiTheme="minorHAnsi" w:hAnsiTheme="minorHAnsi" w:cstheme="minorHAnsi"/>
          <w:szCs w:val="22"/>
        </w:rPr>
        <w:t xml:space="preserve">children </w:t>
      </w:r>
      <w:r w:rsidR="00FF6CFB">
        <w:rPr>
          <w:rFonts w:asciiTheme="minorHAnsi" w:hAnsiTheme="minorHAnsi" w:cstheme="minorHAnsi"/>
          <w:szCs w:val="22"/>
        </w:rPr>
        <w:t xml:space="preserve">that </w:t>
      </w:r>
      <w:r w:rsidR="004F377C">
        <w:rPr>
          <w:rFonts w:asciiTheme="minorHAnsi" w:hAnsiTheme="minorHAnsi" w:cstheme="minorHAnsi"/>
          <w:szCs w:val="22"/>
        </w:rPr>
        <w:t>participated</w:t>
      </w:r>
      <w:r w:rsidR="00AE62CA">
        <w:rPr>
          <w:rFonts w:asciiTheme="minorHAnsi" w:hAnsiTheme="minorHAnsi" w:cstheme="minorHAnsi"/>
          <w:szCs w:val="22"/>
        </w:rPr>
        <w:t xml:space="preserve"> in online learning </w:t>
      </w:r>
      <w:r w:rsidR="004F377C">
        <w:rPr>
          <w:rFonts w:asciiTheme="minorHAnsi" w:hAnsiTheme="minorHAnsi" w:cstheme="minorHAnsi"/>
          <w:szCs w:val="22"/>
        </w:rPr>
        <w:t>were found to</w:t>
      </w:r>
      <w:r w:rsidR="00AE62CA">
        <w:rPr>
          <w:rFonts w:asciiTheme="minorHAnsi" w:hAnsiTheme="minorHAnsi" w:cstheme="minorHAnsi"/>
          <w:szCs w:val="22"/>
        </w:rPr>
        <w:t xml:space="preserve"> not have adequate access to internet</w:t>
      </w:r>
      <w:r w:rsidR="00FF6CFB">
        <w:rPr>
          <w:rFonts w:asciiTheme="minorHAnsi" w:hAnsiTheme="minorHAnsi" w:cstheme="minorHAnsi"/>
          <w:szCs w:val="22"/>
        </w:rPr>
        <w:t xml:space="preserve">, </w:t>
      </w:r>
      <w:r w:rsidRPr="00BC06D7">
        <w:rPr>
          <w:rFonts w:asciiTheme="minorHAnsi" w:hAnsiTheme="minorHAnsi" w:cstheme="minorHAnsi"/>
          <w:szCs w:val="22"/>
        </w:rPr>
        <w:t xml:space="preserve">it is possible that </w:t>
      </w:r>
      <w:r w:rsidR="004F377C">
        <w:rPr>
          <w:rFonts w:asciiTheme="minorHAnsi" w:hAnsiTheme="minorHAnsi" w:cstheme="minorHAnsi"/>
          <w:szCs w:val="22"/>
        </w:rPr>
        <w:t xml:space="preserve">this affects the study </w:t>
      </w:r>
      <w:r w:rsidR="00FF6CFB">
        <w:rPr>
          <w:rFonts w:asciiTheme="minorHAnsi" w:hAnsiTheme="minorHAnsi" w:cstheme="minorHAnsi"/>
          <w:szCs w:val="22"/>
        </w:rPr>
        <w:t>(2021)</w:t>
      </w:r>
      <w:r w:rsidRPr="00BC06D7">
        <w:rPr>
          <w:rFonts w:asciiTheme="minorHAnsi" w:hAnsiTheme="minorHAnsi" w:cstheme="minorHAnsi"/>
          <w:szCs w:val="22"/>
        </w:rPr>
        <w:t>. Additionally, perhaps online learning helped boost education in some children who perhaps performed better without distractions from classmates.</w:t>
      </w:r>
    </w:p>
    <w:p w14:paraId="4D54BC7D" w14:textId="77777777" w:rsidR="00F025DC" w:rsidRPr="00872AED" w:rsidRDefault="00F025DC" w:rsidP="00F025DC">
      <w:pPr>
        <w:tabs>
          <w:tab w:val="clear" w:pos="3068"/>
        </w:tabs>
        <w:rPr>
          <w:rFonts w:asciiTheme="minorHAnsi" w:hAnsiTheme="minorHAnsi" w:cstheme="minorHAnsi"/>
          <w:szCs w:val="22"/>
        </w:rPr>
      </w:pPr>
      <w:r>
        <w:rPr>
          <w:rFonts w:asciiTheme="minorHAnsi" w:hAnsiTheme="minorHAnsi" w:cstheme="minorHAnsi"/>
          <w:szCs w:val="22"/>
        </w:rPr>
        <w:t xml:space="preserve">The data on these characteristics was obtained from the New York State Department of Education website (2020) on graduation rates for New York State schools for the years 2018, 2019, 2020, and 2021, 788,342 records to be exact, along with various other parameters such as </w:t>
      </w:r>
      <w:r w:rsidRPr="002A27E5">
        <w:rPr>
          <w:rFonts w:asciiTheme="minorHAnsi" w:hAnsiTheme="minorHAnsi" w:cstheme="minorHAnsi"/>
          <w:szCs w:val="22"/>
        </w:rPr>
        <w:t xml:space="preserve">Report School Year, Aggregation Index, Aggregation Type, Aggregation Code, County Code, County Name, NYC index, Boces Code, Membership Code, Subgroup Code, Enroll count, Graduation percentage. </w:t>
      </w:r>
      <w:r>
        <w:rPr>
          <w:rFonts w:asciiTheme="minorHAnsi" w:hAnsiTheme="minorHAnsi" w:cstheme="minorHAnsi"/>
          <w:szCs w:val="22"/>
        </w:rPr>
        <w:t>With this information, perhaps a relationship can be found between these parameters and COVID-19 related graduation rates such that this study can add understandings to the effects of the school shutdown in New York State</w:t>
      </w:r>
      <w:r w:rsidRPr="00872AED">
        <w:rPr>
          <w:rFonts w:asciiTheme="minorHAnsi" w:hAnsiTheme="minorHAnsi" w:cstheme="minorHAnsi"/>
          <w:szCs w:val="22"/>
        </w:rPr>
        <w:t>.</w:t>
      </w:r>
    </w:p>
    <w:p w14:paraId="71D51E3E" w14:textId="780EC6E4" w:rsidR="00874378" w:rsidRDefault="00874378" w:rsidP="002D6EC1">
      <w:pPr>
        <w:pStyle w:val="Heading2"/>
      </w:pPr>
      <w:r w:rsidRPr="00FA75AB">
        <w:t>O</w:t>
      </w:r>
      <w:r w:rsidR="002E7469">
        <w:t>bjective</w:t>
      </w:r>
      <w:bookmarkEnd w:id="2"/>
      <w:bookmarkEnd w:id="3"/>
    </w:p>
    <w:p w14:paraId="69F10F4A" w14:textId="2801E347" w:rsidR="003C2D59" w:rsidRPr="003C2D59" w:rsidRDefault="005D324E" w:rsidP="00B70D78">
      <w:pPr>
        <w:tabs>
          <w:tab w:val="clear" w:pos="3068"/>
        </w:tabs>
      </w:pPr>
      <w:r>
        <w:lastRenderedPageBreak/>
        <w:t>It is likely</w:t>
      </w:r>
      <w:r w:rsidR="002E0C27">
        <w:t xml:space="preserve"> that </w:t>
      </w:r>
      <w:r>
        <w:t>this study will reveal</w:t>
      </w:r>
      <w:r w:rsidR="002206DD">
        <w:t xml:space="preserve"> a relationship between</w:t>
      </w:r>
      <w:r w:rsidR="00883CF0">
        <w:t xml:space="preserve"> statistic</w:t>
      </w:r>
      <w:r w:rsidR="00E26482">
        <w:t>al</w:t>
      </w:r>
      <w:r w:rsidR="00883CF0">
        <w:t xml:space="preserve"> performance of students </w:t>
      </w:r>
      <w:r w:rsidR="002206DD">
        <w:t xml:space="preserve">and </w:t>
      </w:r>
      <w:r w:rsidR="00AF7251">
        <w:t xml:space="preserve">the </w:t>
      </w:r>
      <w:r w:rsidR="002206DD">
        <w:t>pandemic timeframe of Pre-COVID or COVID.</w:t>
      </w:r>
      <w:r w:rsidR="00493609">
        <w:t xml:space="preserve"> This information can later be used to compare future performance of students post-pandemic.</w:t>
      </w:r>
    </w:p>
    <w:p w14:paraId="121C2B86" w14:textId="759B46B1" w:rsidR="00AA4A24" w:rsidRPr="00FA75AB" w:rsidRDefault="0040672C" w:rsidP="002D6EC1">
      <w:pPr>
        <w:pStyle w:val="Heading1"/>
      </w:pPr>
      <w:bookmarkStart w:id="4" w:name="_Toc99544068"/>
      <w:bookmarkStart w:id="5" w:name="_Toc99544446"/>
      <w:r>
        <w:t>Method</w:t>
      </w:r>
      <w:bookmarkEnd w:id="4"/>
      <w:bookmarkEnd w:id="5"/>
      <w:r w:rsidR="00E237F8">
        <w:t>ology</w:t>
      </w:r>
    </w:p>
    <w:p w14:paraId="3C89A233" w14:textId="0200B5C6" w:rsidR="00E102C3" w:rsidRDefault="006C2D17" w:rsidP="002D6EC1">
      <w:pPr>
        <w:tabs>
          <w:tab w:val="clear" w:pos="3068"/>
        </w:tabs>
        <w:rPr>
          <w:rFonts w:asciiTheme="minorHAnsi" w:hAnsiTheme="minorHAnsi" w:cstheme="minorHAnsi"/>
          <w:szCs w:val="22"/>
        </w:rPr>
      </w:pPr>
      <w:r>
        <w:rPr>
          <w:rFonts w:asciiTheme="minorHAnsi" w:hAnsiTheme="minorHAnsi" w:cstheme="minorHAnsi"/>
          <w:szCs w:val="22"/>
        </w:rPr>
        <w:t xml:space="preserve">The study consists </w:t>
      </w:r>
      <w:r w:rsidR="00962318">
        <w:rPr>
          <w:rFonts w:asciiTheme="minorHAnsi" w:hAnsiTheme="minorHAnsi" w:cstheme="minorHAnsi"/>
          <w:szCs w:val="22"/>
        </w:rPr>
        <w:t xml:space="preserve">of </w:t>
      </w:r>
      <w:r w:rsidR="00E237F8">
        <w:rPr>
          <w:rFonts w:asciiTheme="minorHAnsi" w:hAnsiTheme="minorHAnsi" w:cstheme="minorHAnsi"/>
          <w:szCs w:val="22"/>
        </w:rPr>
        <w:t xml:space="preserve">10,587 </w:t>
      </w:r>
      <w:r w:rsidR="001B1FCA">
        <w:rPr>
          <w:rFonts w:asciiTheme="minorHAnsi" w:hAnsiTheme="minorHAnsi" w:cstheme="minorHAnsi"/>
          <w:szCs w:val="22"/>
        </w:rPr>
        <w:t>county</w:t>
      </w:r>
      <w:r w:rsidR="007B7C94">
        <w:rPr>
          <w:rFonts w:asciiTheme="minorHAnsi" w:hAnsiTheme="minorHAnsi" w:cstheme="minorHAnsi"/>
          <w:szCs w:val="22"/>
        </w:rPr>
        <w:t xml:space="preserve"> r</w:t>
      </w:r>
      <w:r w:rsidR="00962318">
        <w:rPr>
          <w:rFonts w:asciiTheme="minorHAnsi" w:hAnsiTheme="minorHAnsi" w:cstheme="minorHAnsi"/>
          <w:szCs w:val="22"/>
        </w:rPr>
        <w:t xml:space="preserve">ecords </w:t>
      </w:r>
      <w:r w:rsidR="00786940">
        <w:rPr>
          <w:rFonts w:asciiTheme="minorHAnsi" w:hAnsiTheme="minorHAnsi" w:cstheme="minorHAnsi"/>
          <w:szCs w:val="22"/>
        </w:rPr>
        <w:t>on</w:t>
      </w:r>
      <w:r w:rsidR="00A230DD">
        <w:rPr>
          <w:rFonts w:asciiTheme="minorHAnsi" w:hAnsiTheme="minorHAnsi" w:cstheme="minorHAnsi"/>
          <w:szCs w:val="22"/>
        </w:rPr>
        <w:t xml:space="preserve"> graduation rates and other related features </w:t>
      </w:r>
      <w:r w:rsidR="0055789F">
        <w:rPr>
          <w:rFonts w:asciiTheme="minorHAnsi" w:hAnsiTheme="minorHAnsi" w:cstheme="minorHAnsi"/>
          <w:szCs w:val="22"/>
        </w:rPr>
        <w:t xml:space="preserve">from </w:t>
      </w:r>
      <w:r w:rsidR="00A230DD">
        <w:rPr>
          <w:rFonts w:asciiTheme="minorHAnsi" w:hAnsiTheme="minorHAnsi" w:cstheme="minorHAnsi"/>
          <w:szCs w:val="22"/>
        </w:rPr>
        <w:t>school years 2017-</w:t>
      </w:r>
      <w:r w:rsidR="002B5784">
        <w:rPr>
          <w:rFonts w:asciiTheme="minorHAnsi" w:hAnsiTheme="minorHAnsi" w:cstheme="minorHAnsi"/>
          <w:szCs w:val="22"/>
        </w:rPr>
        <w:t>2018</w:t>
      </w:r>
      <w:r w:rsidR="00A230DD">
        <w:rPr>
          <w:rFonts w:asciiTheme="minorHAnsi" w:hAnsiTheme="minorHAnsi" w:cstheme="minorHAnsi"/>
          <w:szCs w:val="22"/>
        </w:rPr>
        <w:t>, 2018-2019, 2019-2020, and 20</w:t>
      </w:r>
      <w:r w:rsidR="00E237F8">
        <w:rPr>
          <w:rFonts w:asciiTheme="minorHAnsi" w:hAnsiTheme="minorHAnsi" w:cstheme="minorHAnsi"/>
          <w:szCs w:val="22"/>
        </w:rPr>
        <w:t>20</w:t>
      </w:r>
      <w:r w:rsidR="00A230DD">
        <w:rPr>
          <w:rFonts w:asciiTheme="minorHAnsi" w:hAnsiTheme="minorHAnsi" w:cstheme="minorHAnsi"/>
          <w:szCs w:val="22"/>
        </w:rPr>
        <w:t>-</w:t>
      </w:r>
      <w:r w:rsidR="002B5784">
        <w:rPr>
          <w:rFonts w:asciiTheme="minorHAnsi" w:hAnsiTheme="minorHAnsi" w:cstheme="minorHAnsi"/>
          <w:szCs w:val="22"/>
        </w:rPr>
        <w:t>2021</w:t>
      </w:r>
      <w:r w:rsidR="00786940">
        <w:rPr>
          <w:rFonts w:asciiTheme="minorHAnsi" w:hAnsiTheme="minorHAnsi" w:cstheme="minorHAnsi"/>
          <w:szCs w:val="22"/>
        </w:rPr>
        <w:t xml:space="preserve">. These records were obtained from </w:t>
      </w:r>
      <w:r w:rsidR="000231C1">
        <w:rPr>
          <w:rFonts w:asciiTheme="minorHAnsi" w:hAnsiTheme="minorHAnsi" w:cstheme="minorHAnsi"/>
          <w:szCs w:val="22"/>
        </w:rPr>
        <w:t xml:space="preserve">the </w:t>
      </w:r>
      <w:r w:rsidR="002B5784">
        <w:rPr>
          <w:rFonts w:asciiTheme="minorHAnsi" w:hAnsiTheme="minorHAnsi" w:cstheme="minorHAnsi"/>
          <w:szCs w:val="22"/>
        </w:rPr>
        <w:t>State of New York Department of Education</w:t>
      </w:r>
      <w:r w:rsidR="000231C1">
        <w:rPr>
          <w:rFonts w:asciiTheme="minorHAnsi" w:hAnsiTheme="minorHAnsi" w:cstheme="minorHAnsi"/>
          <w:szCs w:val="22"/>
        </w:rPr>
        <w:t xml:space="preserve"> </w:t>
      </w:r>
      <w:r w:rsidR="00F670F1">
        <w:rPr>
          <w:rFonts w:asciiTheme="minorHAnsi" w:hAnsiTheme="minorHAnsi" w:cstheme="minorHAnsi"/>
          <w:szCs w:val="22"/>
        </w:rPr>
        <w:t xml:space="preserve">Data </w:t>
      </w:r>
      <w:r w:rsidR="000231C1">
        <w:rPr>
          <w:rFonts w:asciiTheme="minorHAnsi" w:hAnsiTheme="minorHAnsi" w:cstheme="minorHAnsi"/>
          <w:szCs w:val="22"/>
        </w:rPr>
        <w:t xml:space="preserve">website </w:t>
      </w:r>
      <w:r w:rsidR="00F670F1">
        <w:rPr>
          <w:rFonts w:asciiTheme="minorHAnsi" w:hAnsiTheme="minorHAnsi" w:cstheme="minorHAnsi"/>
          <w:szCs w:val="22"/>
        </w:rPr>
        <w:t xml:space="preserve">(Data </w:t>
      </w:r>
      <w:r w:rsidR="002B5784">
        <w:rPr>
          <w:rFonts w:asciiTheme="minorHAnsi" w:hAnsiTheme="minorHAnsi" w:cstheme="minorHAnsi"/>
          <w:szCs w:val="22"/>
        </w:rPr>
        <w:t>N</w:t>
      </w:r>
      <w:r w:rsidR="00F670F1">
        <w:rPr>
          <w:rFonts w:asciiTheme="minorHAnsi" w:hAnsiTheme="minorHAnsi" w:cstheme="minorHAnsi"/>
          <w:szCs w:val="22"/>
        </w:rPr>
        <w:t>YSED</w:t>
      </w:r>
      <w:r w:rsidR="000231C1">
        <w:rPr>
          <w:rFonts w:asciiTheme="minorHAnsi" w:hAnsiTheme="minorHAnsi" w:cstheme="minorHAnsi"/>
          <w:szCs w:val="22"/>
        </w:rPr>
        <w:t>, 2020)</w:t>
      </w:r>
      <w:r w:rsidR="001E48ED">
        <w:rPr>
          <w:rFonts w:asciiTheme="minorHAnsi" w:hAnsiTheme="minorHAnsi" w:cstheme="minorHAnsi"/>
          <w:szCs w:val="22"/>
        </w:rPr>
        <w:t xml:space="preserve">. </w:t>
      </w:r>
      <w:r w:rsidR="00E237F8">
        <w:rPr>
          <w:rFonts w:asciiTheme="minorHAnsi" w:hAnsiTheme="minorHAnsi" w:cstheme="minorHAnsi"/>
          <w:szCs w:val="22"/>
        </w:rPr>
        <w:t xml:space="preserve">The records were also imported from four files into a single file csv file for Python. </w:t>
      </w:r>
      <w:r w:rsidR="001E48ED">
        <w:rPr>
          <w:rFonts w:asciiTheme="minorHAnsi" w:hAnsiTheme="minorHAnsi" w:cstheme="minorHAnsi"/>
          <w:szCs w:val="22"/>
        </w:rPr>
        <w:t>The data include</w:t>
      </w:r>
      <w:r w:rsidR="0048046C">
        <w:rPr>
          <w:rFonts w:asciiTheme="minorHAnsi" w:hAnsiTheme="minorHAnsi" w:cstheme="minorHAnsi"/>
          <w:szCs w:val="22"/>
        </w:rPr>
        <w:t>d</w:t>
      </w:r>
      <w:r w:rsidR="001E48ED">
        <w:rPr>
          <w:rFonts w:asciiTheme="minorHAnsi" w:hAnsiTheme="minorHAnsi" w:cstheme="minorHAnsi"/>
          <w:szCs w:val="22"/>
        </w:rPr>
        <w:t xml:space="preserve"> </w:t>
      </w:r>
      <w:r w:rsidR="00B078E3">
        <w:rPr>
          <w:rFonts w:asciiTheme="minorHAnsi" w:hAnsiTheme="minorHAnsi" w:cstheme="minorHAnsi"/>
          <w:szCs w:val="22"/>
        </w:rPr>
        <w:t>G</w:t>
      </w:r>
      <w:r w:rsidR="00F670F1">
        <w:rPr>
          <w:rFonts w:asciiTheme="minorHAnsi" w:hAnsiTheme="minorHAnsi" w:cstheme="minorHAnsi"/>
          <w:szCs w:val="22"/>
        </w:rPr>
        <w:t xml:space="preserve">raduation </w:t>
      </w:r>
      <w:r w:rsidR="00B078E3">
        <w:rPr>
          <w:rFonts w:asciiTheme="minorHAnsi" w:hAnsiTheme="minorHAnsi" w:cstheme="minorHAnsi"/>
          <w:szCs w:val="22"/>
        </w:rPr>
        <w:t>Y</w:t>
      </w:r>
      <w:r w:rsidR="00F670F1">
        <w:rPr>
          <w:rFonts w:asciiTheme="minorHAnsi" w:hAnsiTheme="minorHAnsi" w:cstheme="minorHAnsi"/>
          <w:szCs w:val="22"/>
        </w:rPr>
        <w:t xml:space="preserve">ear, County Codes, </w:t>
      </w:r>
      <w:r w:rsidR="001B1FCA">
        <w:rPr>
          <w:rFonts w:asciiTheme="minorHAnsi" w:hAnsiTheme="minorHAnsi" w:cstheme="minorHAnsi"/>
          <w:szCs w:val="22"/>
        </w:rPr>
        <w:t>County Names</w:t>
      </w:r>
      <w:r w:rsidR="00F670F1">
        <w:rPr>
          <w:rFonts w:asciiTheme="minorHAnsi" w:hAnsiTheme="minorHAnsi" w:cstheme="minorHAnsi"/>
          <w:szCs w:val="22"/>
        </w:rPr>
        <w:t xml:space="preserve">, Membership Code, </w:t>
      </w:r>
      <w:r w:rsidR="00B078E3">
        <w:rPr>
          <w:rFonts w:asciiTheme="minorHAnsi" w:hAnsiTheme="minorHAnsi" w:cstheme="minorHAnsi"/>
          <w:szCs w:val="22"/>
        </w:rPr>
        <w:t>Su</w:t>
      </w:r>
      <w:r w:rsidR="00F124DA">
        <w:rPr>
          <w:rFonts w:asciiTheme="minorHAnsi" w:hAnsiTheme="minorHAnsi" w:cstheme="minorHAnsi"/>
          <w:szCs w:val="22"/>
        </w:rPr>
        <w:t>b</w:t>
      </w:r>
      <w:r w:rsidR="00B078E3">
        <w:rPr>
          <w:rFonts w:asciiTheme="minorHAnsi" w:hAnsiTheme="minorHAnsi" w:cstheme="minorHAnsi"/>
          <w:szCs w:val="22"/>
        </w:rPr>
        <w:t xml:space="preserve">group </w:t>
      </w:r>
      <w:r w:rsidR="00253A73">
        <w:rPr>
          <w:rFonts w:asciiTheme="minorHAnsi" w:hAnsiTheme="minorHAnsi" w:cstheme="minorHAnsi"/>
          <w:szCs w:val="22"/>
        </w:rPr>
        <w:t>Code</w:t>
      </w:r>
      <w:r w:rsidR="00B078E3">
        <w:rPr>
          <w:rFonts w:asciiTheme="minorHAnsi" w:hAnsiTheme="minorHAnsi" w:cstheme="minorHAnsi"/>
          <w:szCs w:val="22"/>
        </w:rPr>
        <w:t>,</w:t>
      </w:r>
      <w:r w:rsidR="001B1FCA">
        <w:rPr>
          <w:rFonts w:asciiTheme="minorHAnsi" w:hAnsiTheme="minorHAnsi" w:cstheme="minorHAnsi"/>
          <w:szCs w:val="22"/>
        </w:rPr>
        <w:t xml:space="preserve"> and Subgroup Name. Additionally, the data has numerical variables that includes count and percentages based of</w:t>
      </w:r>
      <w:r w:rsidR="00803343">
        <w:rPr>
          <w:rFonts w:asciiTheme="minorHAnsi" w:hAnsiTheme="minorHAnsi" w:cstheme="minorHAnsi"/>
          <w:szCs w:val="22"/>
        </w:rPr>
        <w:t>f</w:t>
      </w:r>
      <w:r w:rsidR="001B1FCA">
        <w:rPr>
          <w:rFonts w:asciiTheme="minorHAnsi" w:hAnsiTheme="minorHAnsi" w:cstheme="minorHAnsi"/>
          <w:szCs w:val="22"/>
        </w:rPr>
        <w:t xml:space="preserve"> </w:t>
      </w:r>
      <w:r w:rsidR="00803343">
        <w:rPr>
          <w:rFonts w:asciiTheme="minorHAnsi" w:hAnsiTheme="minorHAnsi" w:cstheme="minorHAnsi"/>
          <w:szCs w:val="22"/>
        </w:rPr>
        <w:t>T</w:t>
      </w:r>
      <w:r w:rsidR="001B1FCA">
        <w:rPr>
          <w:rFonts w:asciiTheme="minorHAnsi" w:hAnsiTheme="minorHAnsi" w:cstheme="minorHAnsi"/>
          <w:szCs w:val="22"/>
        </w:rPr>
        <w:t xml:space="preserve">otal </w:t>
      </w:r>
      <w:r w:rsidR="00803343">
        <w:rPr>
          <w:rFonts w:asciiTheme="minorHAnsi" w:hAnsiTheme="minorHAnsi" w:cstheme="minorHAnsi"/>
          <w:szCs w:val="22"/>
        </w:rPr>
        <w:t>E</w:t>
      </w:r>
      <w:r w:rsidR="001B1FCA">
        <w:rPr>
          <w:rFonts w:asciiTheme="minorHAnsi" w:hAnsiTheme="minorHAnsi" w:cstheme="minorHAnsi"/>
          <w:szCs w:val="22"/>
        </w:rPr>
        <w:t xml:space="preserve">nrollment that </w:t>
      </w:r>
      <w:r w:rsidR="00C3620E">
        <w:rPr>
          <w:rFonts w:asciiTheme="minorHAnsi" w:hAnsiTheme="minorHAnsi" w:cstheme="minorHAnsi"/>
          <w:szCs w:val="22"/>
        </w:rPr>
        <w:t>includes</w:t>
      </w:r>
      <w:r w:rsidR="00803343">
        <w:rPr>
          <w:rFonts w:asciiTheme="minorHAnsi" w:hAnsiTheme="minorHAnsi" w:cstheme="minorHAnsi"/>
          <w:szCs w:val="22"/>
        </w:rPr>
        <w:t xml:space="preserve"> </w:t>
      </w:r>
      <w:r w:rsidR="0099506F">
        <w:rPr>
          <w:rFonts w:asciiTheme="minorHAnsi" w:hAnsiTheme="minorHAnsi" w:cstheme="minorHAnsi"/>
          <w:szCs w:val="22"/>
        </w:rPr>
        <w:t>Non-Diploma</w:t>
      </w:r>
      <w:r w:rsidR="00B078E3">
        <w:rPr>
          <w:rFonts w:asciiTheme="minorHAnsi" w:hAnsiTheme="minorHAnsi" w:cstheme="minorHAnsi"/>
          <w:szCs w:val="22"/>
        </w:rPr>
        <w:t xml:space="preserve"> Credential, GED, Dropout</w:t>
      </w:r>
      <w:r w:rsidR="00803343">
        <w:rPr>
          <w:rFonts w:asciiTheme="minorHAnsi" w:hAnsiTheme="minorHAnsi" w:cstheme="minorHAnsi"/>
          <w:szCs w:val="22"/>
        </w:rPr>
        <w:t xml:space="preserve">, Still Enrolled, </w:t>
      </w:r>
      <w:r w:rsidR="008372F2">
        <w:rPr>
          <w:rFonts w:asciiTheme="minorHAnsi" w:hAnsiTheme="minorHAnsi" w:cstheme="minorHAnsi"/>
          <w:szCs w:val="22"/>
        </w:rPr>
        <w:t>Regents</w:t>
      </w:r>
      <w:r w:rsidR="00803343">
        <w:rPr>
          <w:rFonts w:asciiTheme="minorHAnsi" w:hAnsiTheme="minorHAnsi" w:cstheme="minorHAnsi"/>
          <w:szCs w:val="22"/>
        </w:rPr>
        <w:t xml:space="preserve"> Degree, </w:t>
      </w:r>
      <w:r w:rsidR="008372F2">
        <w:rPr>
          <w:rFonts w:asciiTheme="minorHAnsi" w:hAnsiTheme="minorHAnsi" w:cstheme="minorHAnsi"/>
          <w:szCs w:val="22"/>
        </w:rPr>
        <w:t xml:space="preserve">Regents </w:t>
      </w:r>
      <w:r w:rsidR="00803343">
        <w:rPr>
          <w:rFonts w:asciiTheme="minorHAnsi" w:hAnsiTheme="minorHAnsi" w:cstheme="minorHAnsi"/>
          <w:szCs w:val="22"/>
        </w:rPr>
        <w:t xml:space="preserve">Advanced Degree, </w:t>
      </w:r>
      <w:r w:rsidR="00B078E3">
        <w:rPr>
          <w:rFonts w:asciiTheme="minorHAnsi" w:hAnsiTheme="minorHAnsi" w:cstheme="minorHAnsi"/>
          <w:szCs w:val="22"/>
        </w:rPr>
        <w:t>and Graduation</w:t>
      </w:r>
      <w:r w:rsidR="004A157A">
        <w:rPr>
          <w:rFonts w:asciiTheme="minorHAnsi" w:hAnsiTheme="minorHAnsi" w:cstheme="minorHAnsi"/>
          <w:szCs w:val="22"/>
        </w:rPr>
        <w:t>.</w:t>
      </w:r>
    </w:p>
    <w:p w14:paraId="4CBFF661" w14:textId="01938A12" w:rsidR="00C3620E" w:rsidRDefault="00E237F8" w:rsidP="00DB74BC">
      <w:pPr>
        <w:tabs>
          <w:tab w:val="clear" w:pos="3068"/>
        </w:tabs>
        <w:rPr>
          <w:rFonts w:asciiTheme="minorHAnsi" w:hAnsiTheme="minorHAnsi" w:cstheme="minorHAnsi"/>
          <w:szCs w:val="22"/>
        </w:rPr>
      </w:pPr>
      <w:r>
        <w:rPr>
          <w:rFonts w:asciiTheme="minorHAnsi" w:hAnsiTheme="minorHAnsi" w:cstheme="minorHAnsi"/>
          <w:szCs w:val="22"/>
        </w:rPr>
        <w:t xml:space="preserve">Null values from unreported parts of the state were forced to be removed </w:t>
      </w:r>
      <w:r w:rsidR="00C3620E">
        <w:rPr>
          <w:rFonts w:asciiTheme="minorHAnsi" w:hAnsiTheme="minorHAnsi" w:cstheme="minorHAnsi"/>
          <w:szCs w:val="22"/>
        </w:rPr>
        <w:t xml:space="preserve">from the data as there was no way to replace that data. This took the overall dataset count down to 9,229 records. </w:t>
      </w:r>
      <w:r w:rsidR="00C24F84">
        <w:rPr>
          <w:rFonts w:asciiTheme="minorHAnsi" w:hAnsiTheme="minorHAnsi" w:cstheme="minorHAnsi"/>
          <w:szCs w:val="22"/>
        </w:rPr>
        <w:t>A Pandemic variable was also constructed by classifying the school years 2017-2020 as Pre-</w:t>
      </w:r>
      <w:r w:rsidR="00AF39B6">
        <w:rPr>
          <w:rFonts w:asciiTheme="minorHAnsi" w:hAnsiTheme="minorHAnsi" w:cstheme="minorHAnsi"/>
          <w:szCs w:val="22"/>
        </w:rPr>
        <w:t>COVID</w:t>
      </w:r>
      <w:r w:rsidR="00C24F84">
        <w:rPr>
          <w:rFonts w:asciiTheme="minorHAnsi" w:hAnsiTheme="minorHAnsi" w:cstheme="minorHAnsi"/>
          <w:szCs w:val="22"/>
        </w:rPr>
        <w:t xml:space="preserve"> and the final year, 2020-2021, as </w:t>
      </w:r>
      <w:r w:rsidR="00AF39B6">
        <w:rPr>
          <w:rFonts w:asciiTheme="minorHAnsi" w:hAnsiTheme="minorHAnsi" w:cstheme="minorHAnsi"/>
          <w:szCs w:val="22"/>
        </w:rPr>
        <w:t>COVID</w:t>
      </w:r>
      <w:r w:rsidR="00C24F84">
        <w:rPr>
          <w:rFonts w:asciiTheme="minorHAnsi" w:hAnsiTheme="minorHAnsi" w:cstheme="minorHAnsi"/>
          <w:szCs w:val="22"/>
        </w:rPr>
        <w:t xml:space="preserve">. In addition to this, </w:t>
      </w:r>
      <w:r w:rsidR="00E0436C">
        <w:rPr>
          <w:rFonts w:asciiTheme="minorHAnsi" w:hAnsiTheme="minorHAnsi" w:cstheme="minorHAnsi"/>
          <w:szCs w:val="22"/>
        </w:rPr>
        <w:t xml:space="preserve">a numerical binary version of Pandemic was created. </w:t>
      </w:r>
      <w:r w:rsidR="007503EA">
        <w:rPr>
          <w:rFonts w:asciiTheme="minorHAnsi" w:hAnsiTheme="minorHAnsi" w:cstheme="minorHAnsi"/>
          <w:szCs w:val="22"/>
        </w:rPr>
        <w:t xml:space="preserve">Other cleaning involved included fixing Subgroup </w:t>
      </w:r>
      <w:r w:rsidR="000A2667">
        <w:rPr>
          <w:rFonts w:asciiTheme="minorHAnsi" w:hAnsiTheme="minorHAnsi" w:cstheme="minorHAnsi"/>
          <w:szCs w:val="22"/>
        </w:rPr>
        <w:t>N</w:t>
      </w:r>
      <w:r w:rsidR="007503EA">
        <w:rPr>
          <w:rFonts w:asciiTheme="minorHAnsi" w:hAnsiTheme="minorHAnsi" w:cstheme="minorHAnsi"/>
          <w:szCs w:val="22"/>
        </w:rPr>
        <w:t>ames</w:t>
      </w:r>
      <w:r w:rsidR="000A2667">
        <w:rPr>
          <w:rFonts w:asciiTheme="minorHAnsi" w:hAnsiTheme="minorHAnsi" w:cstheme="minorHAnsi"/>
          <w:szCs w:val="22"/>
        </w:rPr>
        <w:t xml:space="preserve"> and County Names</w:t>
      </w:r>
      <w:r w:rsidR="007503EA">
        <w:rPr>
          <w:rFonts w:asciiTheme="minorHAnsi" w:hAnsiTheme="minorHAnsi" w:cstheme="minorHAnsi"/>
          <w:szCs w:val="22"/>
        </w:rPr>
        <w:t xml:space="preserve"> </w:t>
      </w:r>
      <w:r w:rsidR="00AF39B6">
        <w:rPr>
          <w:rFonts w:asciiTheme="minorHAnsi" w:hAnsiTheme="minorHAnsi" w:cstheme="minorHAnsi"/>
          <w:szCs w:val="22"/>
        </w:rPr>
        <w:t>since</w:t>
      </w:r>
      <w:r w:rsidR="00427025">
        <w:rPr>
          <w:rFonts w:asciiTheme="minorHAnsi" w:hAnsiTheme="minorHAnsi" w:cstheme="minorHAnsi"/>
          <w:szCs w:val="22"/>
        </w:rPr>
        <w:t xml:space="preserve"> </w:t>
      </w:r>
      <w:r w:rsidR="000A2667">
        <w:rPr>
          <w:rFonts w:asciiTheme="minorHAnsi" w:hAnsiTheme="minorHAnsi" w:cstheme="minorHAnsi"/>
          <w:szCs w:val="22"/>
        </w:rPr>
        <w:t xml:space="preserve">both </w:t>
      </w:r>
      <w:r w:rsidR="00427025">
        <w:rPr>
          <w:rFonts w:asciiTheme="minorHAnsi" w:hAnsiTheme="minorHAnsi" w:cstheme="minorHAnsi"/>
          <w:szCs w:val="22"/>
        </w:rPr>
        <w:t xml:space="preserve">had </w:t>
      </w:r>
      <w:r w:rsidR="00AF39B6">
        <w:rPr>
          <w:rFonts w:asciiTheme="minorHAnsi" w:hAnsiTheme="minorHAnsi" w:cstheme="minorHAnsi"/>
          <w:szCs w:val="22"/>
        </w:rPr>
        <w:t>some</w:t>
      </w:r>
      <w:r w:rsidR="00427025">
        <w:rPr>
          <w:rFonts w:asciiTheme="minorHAnsi" w:hAnsiTheme="minorHAnsi" w:cstheme="minorHAnsi"/>
          <w:szCs w:val="22"/>
        </w:rPr>
        <w:t xml:space="preserve"> </w:t>
      </w:r>
      <w:r w:rsidR="000A2667">
        <w:rPr>
          <w:rFonts w:asciiTheme="minorHAnsi" w:hAnsiTheme="minorHAnsi" w:cstheme="minorHAnsi"/>
          <w:szCs w:val="22"/>
        </w:rPr>
        <w:t xml:space="preserve">differences between years. </w:t>
      </w:r>
    </w:p>
    <w:p w14:paraId="2C302B38" w14:textId="130D50B7" w:rsidR="00DB74BC" w:rsidRDefault="00DB74BC" w:rsidP="00DB74BC">
      <w:pPr>
        <w:tabs>
          <w:tab w:val="clear" w:pos="3068"/>
        </w:tabs>
        <w:rPr>
          <w:rFonts w:asciiTheme="minorHAnsi" w:hAnsiTheme="minorHAnsi" w:cstheme="minorHAnsi"/>
          <w:szCs w:val="22"/>
        </w:rPr>
      </w:pPr>
      <w:r>
        <w:rPr>
          <w:rFonts w:asciiTheme="minorHAnsi" w:hAnsiTheme="minorHAnsi" w:cstheme="minorHAnsi"/>
          <w:szCs w:val="22"/>
        </w:rPr>
        <w:t>EDA</w:t>
      </w:r>
    </w:p>
    <w:p w14:paraId="5EA0D0F4" w14:textId="77777777" w:rsidR="00EF3987" w:rsidRDefault="00EF3987" w:rsidP="00EF3987">
      <w:pPr>
        <w:tabs>
          <w:tab w:val="clear" w:pos="3068"/>
        </w:tabs>
        <w:rPr>
          <w:rFonts w:asciiTheme="minorHAnsi" w:hAnsiTheme="minorHAnsi" w:cstheme="minorHAnsi"/>
          <w:szCs w:val="22"/>
        </w:rPr>
      </w:pPr>
      <w:r>
        <w:rPr>
          <w:rFonts w:asciiTheme="minorHAnsi" w:hAnsiTheme="minorHAnsi" w:cstheme="minorHAnsi"/>
          <w:szCs w:val="22"/>
        </w:rPr>
        <w:t>Descriptive statistics were gathered on the data. A categorical variable that was found to be useful was subgroup name. The mode for this categorical variable was tied between Male and Female.</w:t>
      </w:r>
    </w:p>
    <w:p w14:paraId="5A7D01F9" w14:textId="77777777" w:rsidR="00EF3987" w:rsidRDefault="00EF3987" w:rsidP="00EF3987">
      <w:pPr>
        <w:tabs>
          <w:tab w:val="clear" w:pos="3068"/>
        </w:tabs>
        <w:rPr>
          <w:rFonts w:asciiTheme="minorHAnsi" w:hAnsiTheme="minorHAnsi" w:cstheme="minorHAnsi"/>
          <w:szCs w:val="22"/>
        </w:rPr>
      </w:pPr>
      <w:r>
        <w:rPr>
          <w:rFonts w:asciiTheme="minorHAnsi" w:hAnsiTheme="minorHAnsi" w:cstheme="minorHAnsi"/>
          <w:szCs w:val="22"/>
        </w:rPr>
        <w:t xml:space="preserve">Numerical characteristics included </w:t>
      </w:r>
      <w:r w:rsidRPr="007E2F80">
        <w:rPr>
          <w:rFonts w:asciiTheme="minorHAnsi" w:hAnsiTheme="minorHAnsi" w:cstheme="minorHAnsi"/>
          <w:szCs w:val="22"/>
        </w:rPr>
        <w:t>Graduation Percentage, Non-Diploma Credential Percentage, Sill Enrolled Percentage, Dropout Percentage, GED percentage, Regents Diploma Percentage, Regents Diploma with Advanced Designation, Local Diploma Percentage</w:t>
      </w:r>
      <w:r>
        <w:rPr>
          <w:rFonts w:asciiTheme="minorHAnsi" w:hAnsiTheme="minorHAnsi" w:cstheme="minorHAnsi"/>
          <w:szCs w:val="22"/>
        </w:rPr>
        <w:t>.</w:t>
      </w:r>
      <w:r w:rsidRPr="007E2F80">
        <w:rPr>
          <w:rFonts w:asciiTheme="minorHAnsi" w:hAnsiTheme="minorHAnsi" w:cstheme="minorHAnsi"/>
          <w:szCs w:val="22"/>
        </w:rPr>
        <w:t xml:space="preserve"> </w:t>
      </w:r>
      <w:r>
        <w:rPr>
          <w:rFonts w:asciiTheme="minorHAnsi" w:hAnsiTheme="minorHAnsi" w:cstheme="minorHAnsi"/>
          <w:szCs w:val="22"/>
        </w:rPr>
        <w:t xml:space="preserve">The mean value for Graduation </w:t>
      </w:r>
      <w:r>
        <w:rPr>
          <w:rFonts w:asciiTheme="minorHAnsi" w:hAnsiTheme="minorHAnsi" w:cstheme="minorHAnsi"/>
          <w:szCs w:val="22"/>
        </w:rPr>
        <w:lastRenderedPageBreak/>
        <w:t xml:space="preserve">Percentage </w:t>
      </w:r>
      <w:r w:rsidRPr="00D43640">
        <w:rPr>
          <w:rFonts w:asciiTheme="minorHAnsi" w:hAnsiTheme="minorHAnsi" w:cstheme="minorHAnsi"/>
          <w:szCs w:val="22"/>
        </w:rPr>
        <w:t>was 85.</w:t>
      </w:r>
      <w:r>
        <w:rPr>
          <w:rFonts w:asciiTheme="minorHAnsi" w:hAnsiTheme="minorHAnsi" w:cstheme="minorHAnsi"/>
          <w:szCs w:val="22"/>
        </w:rPr>
        <w:t>3</w:t>
      </w:r>
      <w:r w:rsidRPr="00D43640">
        <w:rPr>
          <w:rFonts w:asciiTheme="minorHAnsi" w:hAnsiTheme="minorHAnsi" w:cstheme="minorHAnsi"/>
          <w:szCs w:val="22"/>
        </w:rPr>
        <w:t xml:space="preserve">%. </w:t>
      </w:r>
      <w:r>
        <w:rPr>
          <w:rFonts w:asciiTheme="minorHAnsi" w:hAnsiTheme="minorHAnsi" w:cstheme="minorHAnsi"/>
          <w:szCs w:val="22"/>
        </w:rPr>
        <w:t>The standard deviation was 8.4. Also, Dropout Percentage average was 8.1 with a standard deviation of 6.1. Figure 1 shows the differences in graduation rates for each timeframe Pre-COVID and COVID.</w:t>
      </w:r>
    </w:p>
    <w:p w14:paraId="7857BA95" w14:textId="77777777" w:rsidR="0096651A" w:rsidRPr="008101E4" w:rsidRDefault="0096651A" w:rsidP="0096651A">
      <w:pPr>
        <w:tabs>
          <w:tab w:val="clear" w:pos="3068"/>
        </w:tabs>
        <w:ind w:firstLine="0"/>
        <w:rPr>
          <w:rFonts w:asciiTheme="minorHAnsi" w:hAnsiTheme="minorHAnsi" w:cstheme="minorHAnsi"/>
          <w:b/>
          <w:bCs/>
          <w:szCs w:val="22"/>
        </w:rPr>
      </w:pPr>
      <w:r w:rsidRPr="008101E4">
        <w:rPr>
          <w:rFonts w:asciiTheme="minorHAnsi" w:hAnsiTheme="minorHAnsi" w:cstheme="minorHAnsi"/>
          <w:b/>
          <w:bCs/>
          <w:szCs w:val="22"/>
        </w:rPr>
        <w:t>Figure 1</w:t>
      </w:r>
    </w:p>
    <w:p w14:paraId="589DE2CF" w14:textId="77777777" w:rsidR="0096651A" w:rsidRPr="008101E4" w:rsidRDefault="0096651A" w:rsidP="0096651A">
      <w:pPr>
        <w:tabs>
          <w:tab w:val="clear" w:pos="3068"/>
        </w:tabs>
        <w:ind w:firstLine="0"/>
        <w:rPr>
          <w:rFonts w:asciiTheme="minorHAnsi" w:hAnsiTheme="minorHAnsi" w:cstheme="minorHAnsi"/>
          <w:i/>
          <w:iCs/>
          <w:szCs w:val="22"/>
        </w:rPr>
      </w:pPr>
      <w:r w:rsidRPr="008101E4">
        <w:rPr>
          <w:rFonts w:asciiTheme="minorHAnsi" w:hAnsiTheme="minorHAnsi" w:cstheme="minorHAnsi"/>
          <w:i/>
          <w:iCs/>
          <w:szCs w:val="22"/>
        </w:rPr>
        <w:t>Boxplots for Graduation Percentage Rates Pre-COVID and COVID</w:t>
      </w:r>
    </w:p>
    <w:p w14:paraId="4058B5C0" w14:textId="13BA0089" w:rsidR="0096651A" w:rsidRDefault="0096651A" w:rsidP="001F1926">
      <w:pPr>
        <w:tabs>
          <w:tab w:val="clear" w:pos="3068"/>
        </w:tabs>
        <w:ind w:firstLine="0"/>
        <w:rPr>
          <w:rFonts w:asciiTheme="minorHAnsi" w:hAnsiTheme="minorHAnsi" w:cstheme="minorHAnsi"/>
          <w:szCs w:val="22"/>
        </w:rPr>
      </w:pPr>
      <w:r>
        <w:rPr>
          <w:rFonts w:asciiTheme="minorHAnsi" w:hAnsiTheme="minorHAnsi" w:cstheme="minorHAnsi"/>
          <w:noProof/>
          <w:szCs w:val="22"/>
        </w:rPr>
        <w:drawing>
          <wp:inline distT="0" distB="0" distL="0" distR="0" wp14:anchorId="79292E26" wp14:editId="0E699DA6">
            <wp:extent cx="4175760" cy="2230641"/>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9831" cy="2238158"/>
                    </a:xfrm>
                    <a:prstGeom prst="rect">
                      <a:avLst/>
                    </a:prstGeom>
                  </pic:spPr>
                </pic:pic>
              </a:graphicData>
            </a:graphic>
          </wp:inline>
        </w:drawing>
      </w:r>
    </w:p>
    <w:p w14:paraId="23B8BEEE" w14:textId="20AFA1D9" w:rsidR="0096651A" w:rsidRDefault="0096651A" w:rsidP="00515F36">
      <w:pPr>
        <w:tabs>
          <w:tab w:val="clear" w:pos="3068"/>
        </w:tabs>
        <w:rPr>
          <w:rFonts w:asciiTheme="minorHAnsi" w:hAnsiTheme="minorHAnsi" w:cstheme="minorHAnsi"/>
          <w:szCs w:val="22"/>
        </w:rPr>
      </w:pPr>
      <w:r w:rsidRPr="00C423CF">
        <w:rPr>
          <w:rFonts w:asciiTheme="minorHAnsi" w:hAnsiTheme="minorHAnsi" w:cstheme="minorHAnsi"/>
          <w:szCs w:val="22"/>
        </w:rPr>
        <w:t xml:space="preserve">Figure 1 </w:t>
      </w:r>
      <w:r>
        <w:rPr>
          <w:rFonts w:asciiTheme="minorHAnsi" w:hAnsiTheme="minorHAnsi" w:cstheme="minorHAnsi"/>
          <w:szCs w:val="22"/>
        </w:rPr>
        <w:t>contains the boxplot for graduation rates after data preprocessing. The difference in medians is apparent and shows COVID had a slightly higher median and mean graduation rate. Also, the variance between the 25</w:t>
      </w:r>
      <w:r w:rsidRPr="001754B7">
        <w:rPr>
          <w:rFonts w:asciiTheme="minorHAnsi" w:hAnsiTheme="minorHAnsi" w:cstheme="minorHAnsi"/>
          <w:szCs w:val="22"/>
          <w:vertAlign w:val="superscript"/>
        </w:rPr>
        <w:t>th</w:t>
      </w:r>
      <w:r>
        <w:rPr>
          <w:rFonts w:asciiTheme="minorHAnsi" w:hAnsiTheme="minorHAnsi" w:cstheme="minorHAnsi"/>
          <w:szCs w:val="22"/>
        </w:rPr>
        <w:t xml:space="preserve"> and 75</w:t>
      </w:r>
      <w:r w:rsidRPr="001754B7">
        <w:rPr>
          <w:rFonts w:asciiTheme="minorHAnsi" w:hAnsiTheme="minorHAnsi" w:cstheme="minorHAnsi"/>
          <w:szCs w:val="22"/>
          <w:vertAlign w:val="superscript"/>
        </w:rPr>
        <w:t>th</w:t>
      </w:r>
      <w:r>
        <w:rPr>
          <w:rFonts w:asciiTheme="minorHAnsi" w:hAnsiTheme="minorHAnsi" w:cstheme="minorHAnsi"/>
          <w:szCs w:val="22"/>
        </w:rPr>
        <w:t xml:space="preserve"> percentiles (or 1</w:t>
      </w:r>
      <w:r w:rsidRPr="00624B67">
        <w:rPr>
          <w:rFonts w:asciiTheme="minorHAnsi" w:hAnsiTheme="minorHAnsi" w:cstheme="minorHAnsi"/>
          <w:szCs w:val="22"/>
          <w:vertAlign w:val="superscript"/>
        </w:rPr>
        <w:t>st</w:t>
      </w:r>
      <w:r>
        <w:rPr>
          <w:rFonts w:asciiTheme="minorHAnsi" w:hAnsiTheme="minorHAnsi" w:cstheme="minorHAnsi"/>
          <w:szCs w:val="22"/>
        </w:rPr>
        <w:t xml:space="preserve"> and 3</w:t>
      </w:r>
      <w:r w:rsidRPr="00624B67">
        <w:rPr>
          <w:rFonts w:asciiTheme="minorHAnsi" w:hAnsiTheme="minorHAnsi" w:cstheme="minorHAnsi"/>
          <w:szCs w:val="22"/>
          <w:vertAlign w:val="superscript"/>
        </w:rPr>
        <w:t>rd</w:t>
      </w:r>
      <w:r>
        <w:rPr>
          <w:rFonts w:asciiTheme="minorHAnsi" w:hAnsiTheme="minorHAnsi" w:cstheme="minorHAnsi"/>
          <w:szCs w:val="22"/>
        </w:rPr>
        <w:t xml:space="preserve"> quartiles) is smaller for COVID as well. Any data that lies outside the 3 times the Interquartile range are denoted as single points – outliers, of which there are more in the Pre-COVID timeframe.</w:t>
      </w:r>
    </w:p>
    <w:p w14:paraId="01816FC8" w14:textId="77777777" w:rsidR="0096651A" w:rsidRPr="00824BAA" w:rsidRDefault="0096651A" w:rsidP="0096651A">
      <w:pPr>
        <w:ind w:firstLine="0"/>
        <w:rPr>
          <w:b/>
          <w:bCs/>
        </w:rPr>
      </w:pPr>
      <w:r w:rsidRPr="00824BAA">
        <w:rPr>
          <w:b/>
          <w:bCs/>
        </w:rPr>
        <w:t xml:space="preserve">Figure </w:t>
      </w:r>
      <w:r>
        <w:rPr>
          <w:b/>
          <w:bCs/>
        </w:rPr>
        <w:t>2</w:t>
      </w:r>
    </w:p>
    <w:p w14:paraId="5DA9EB6D" w14:textId="77777777" w:rsidR="0096651A" w:rsidRPr="00824BAA" w:rsidRDefault="0096651A" w:rsidP="0096651A">
      <w:pPr>
        <w:ind w:firstLine="0"/>
        <w:rPr>
          <w:i/>
          <w:iCs/>
        </w:rPr>
      </w:pPr>
      <w:r w:rsidRPr="00824BAA">
        <w:rPr>
          <w:i/>
          <w:iCs/>
        </w:rPr>
        <w:t>Correlation Matrix for New York State Graduation Data (2018-2021)</w:t>
      </w:r>
    </w:p>
    <w:p w14:paraId="5AB98F09" w14:textId="77777777" w:rsidR="0096651A" w:rsidRDefault="0096651A" w:rsidP="0096651A">
      <w:pPr>
        <w:ind w:firstLine="0"/>
      </w:pPr>
      <w:r>
        <w:rPr>
          <w:noProof/>
        </w:rPr>
        <w:lastRenderedPageBreak/>
        <w:drawing>
          <wp:inline distT="0" distB="0" distL="0" distR="0" wp14:anchorId="0DC35230" wp14:editId="1934C146">
            <wp:extent cx="5943600" cy="3884295"/>
            <wp:effectExtent l="0" t="0" r="0" b="190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p w14:paraId="35AA3ADC" w14:textId="56334E82" w:rsidR="00EF3987" w:rsidRPr="0096651A" w:rsidRDefault="0096651A" w:rsidP="0096651A">
      <w:r>
        <w:t>From the correlation heat map, we see that the counts are highly correlated with each other and that reg_adv_pct_d is moderately (0.63) correlated with grad_pct_d. The variable Reg_Adv_pct_d is the percentage of graduates that receive regents diploma with advanced designation, so as graduation rates increase, so too does this percentage increase. Additionally, grad_pct_d is also related to variables that were derived using graduation rates/counts like ged_diploma_cred_pct. Finally, grad_pct_d is also negatively correlated with dropout_pct_d.</w:t>
      </w:r>
    </w:p>
    <w:p w14:paraId="2802AE6B" w14:textId="3EEF5426" w:rsidR="00E963DE" w:rsidRDefault="006428A4" w:rsidP="002D6EC1">
      <w:pPr>
        <w:pStyle w:val="Heading1"/>
      </w:pPr>
      <w:bookmarkStart w:id="6" w:name="_Toc99544072"/>
      <w:bookmarkStart w:id="7" w:name="_Toc99544450"/>
      <w:r>
        <w:t>Modeling</w:t>
      </w:r>
      <w:bookmarkEnd w:id="6"/>
      <w:bookmarkEnd w:id="7"/>
    </w:p>
    <w:p w14:paraId="1363A4E1" w14:textId="69C1FF8D" w:rsidR="003446B8" w:rsidRDefault="00E05658" w:rsidP="002D6EC1">
      <w:pPr>
        <w:tabs>
          <w:tab w:val="clear" w:pos="3068"/>
        </w:tabs>
      </w:pPr>
      <w:r>
        <w:t>Six</w:t>
      </w:r>
      <w:r w:rsidR="00DC7831">
        <w:t xml:space="preserve"> types of classification models are generated and evaluated on the preprocessed data </w:t>
      </w:r>
      <w:r w:rsidR="009C1697">
        <w:t xml:space="preserve">that </w:t>
      </w:r>
      <w:r w:rsidR="0096651A">
        <w:t xml:space="preserve">was randomly </w:t>
      </w:r>
      <w:r w:rsidR="009C1697">
        <w:t>partitioned for training</w:t>
      </w:r>
      <w:r w:rsidR="0096651A">
        <w:t xml:space="preserve"> and test</w:t>
      </w:r>
      <w:r w:rsidR="009C1697">
        <w:t xml:space="preserve">, </w:t>
      </w:r>
      <w:r w:rsidR="00DC7831">
        <w:t xml:space="preserve">on </w:t>
      </w:r>
      <w:r w:rsidR="00352FDA">
        <w:t>the constructed Pandemic variable</w:t>
      </w:r>
      <w:r w:rsidR="00DC7831">
        <w:t>.</w:t>
      </w:r>
    </w:p>
    <w:p w14:paraId="57CFB87F" w14:textId="0F825CEB" w:rsidR="00FB06A0" w:rsidRDefault="00FB06A0" w:rsidP="002D6EC1">
      <w:pPr>
        <w:tabs>
          <w:tab w:val="clear" w:pos="3068"/>
        </w:tabs>
        <w:ind w:firstLine="0"/>
        <w:rPr>
          <w:b/>
          <w:bCs/>
        </w:rPr>
      </w:pPr>
      <w:r>
        <w:rPr>
          <w:b/>
          <w:bCs/>
        </w:rPr>
        <w:t>C</w:t>
      </w:r>
      <w:r w:rsidR="00E04312">
        <w:rPr>
          <w:b/>
          <w:bCs/>
        </w:rPr>
        <w:t>ART</w:t>
      </w:r>
    </w:p>
    <w:p w14:paraId="00A3D6C0" w14:textId="210F7A30" w:rsidR="00E04312" w:rsidRDefault="00E04312" w:rsidP="002D6EC1">
      <w:pPr>
        <w:tabs>
          <w:tab w:val="clear" w:pos="3068"/>
        </w:tabs>
        <w:rPr>
          <w:rFonts w:eastAsiaTheme="minorEastAsia"/>
        </w:rPr>
      </w:pPr>
      <w:r>
        <w:rPr>
          <w:rFonts w:eastAsiaTheme="minorEastAsia"/>
        </w:rPr>
        <w:t>The CART method creates decision trees that are a binary split. Each decision node, then, contains exactly two splits. CART decides the fit based on goodness, which is defined as</w:t>
      </w:r>
      <w:r w:rsidR="004D2709">
        <w:rPr>
          <w:rFonts w:eastAsiaTheme="minorEastAsia"/>
        </w:rPr>
        <w:t xml:space="preserve"> (Larose, 2019)</w:t>
      </w:r>
      <w:r>
        <w:rPr>
          <w:rFonts w:eastAsiaTheme="minorEastAsia"/>
        </w:rPr>
        <w:t>:</w:t>
      </w:r>
    </w:p>
    <w:p w14:paraId="195D4844" w14:textId="7FAA88C2" w:rsidR="004D2709" w:rsidRPr="004A3E8C" w:rsidRDefault="004D2709" w:rsidP="004A3E8C">
      <w:pPr>
        <w:tabs>
          <w:tab w:val="clear" w:pos="3068"/>
        </w:tabs>
        <w:jc w:val="right"/>
      </w:pPr>
      <w:bookmarkStart w:id="8" w:name="_Hlk100832450"/>
      <m:oMath>
        <m:r>
          <m:rPr>
            <m:sty m:val="p"/>
          </m:rPr>
          <w:rPr>
            <w:rFonts w:ascii="Cambria Math" w:eastAsiaTheme="minorEastAsia" w:hAnsi="Cambria Math"/>
          </w:rPr>
          <w:lastRenderedPageBreak/>
          <m:t>Φ</m:t>
        </m:r>
        <m:d>
          <m:dPr>
            <m:ctrlPr>
              <w:rPr>
                <w:rFonts w:ascii="Cambria Math" w:eastAsiaTheme="minorEastAsia" w:hAnsi="Cambria Math"/>
                <w:i/>
              </w:rPr>
            </m:ctrlPr>
          </m:dPr>
          <m:e>
            <m:r>
              <w:rPr>
                <w:rFonts w:ascii="Cambria Math" w:eastAsiaTheme="minorEastAsia" w:hAnsi="Cambria Math"/>
              </w:rPr>
              <m:t>s|t</m:t>
            </m:r>
          </m:e>
        </m:d>
        <w:bookmarkEnd w:id="8"/>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 classes</m:t>
            </m:r>
          </m:sup>
          <m:e>
            <m:r>
              <w:rPr>
                <w:rFonts w:ascii="Cambria Math" w:eastAsiaTheme="minorEastAsia" w:hAnsi="Cambria Math"/>
              </w:rPr>
              <m:t>|P(j|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e>
        </m:nary>
        <m:r>
          <w:rPr>
            <w:rFonts w:ascii="Cambria Math" w:eastAsiaTheme="minorEastAsia" w:hAnsi="Cambria Math"/>
          </w:rPr>
          <m:t>)-P(j|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oMath>
      <w:r w:rsidR="004A3E8C">
        <w:rPr>
          <w:rFonts w:eastAsiaTheme="minorEastAsia"/>
        </w:rPr>
        <w:t xml:space="preserve">                                                 </w:t>
      </w:r>
      <w:r w:rsidR="004A3E8C">
        <w:t>(1)</w:t>
      </w:r>
    </w:p>
    <w:p w14:paraId="5AB27EC7" w14:textId="65BF93E0" w:rsidR="001D5946" w:rsidRPr="005733AC" w:rsidRDefault="007C424B" w:rsidP="002D6EC1">
      <w:pPr>
        <w:tabs>
          <w:tab w:val="clear" w:pos="3068"/>
        </w:tabs>
        <w:ind w:firstLine="0"/>
      </w:pPr>
      <w:r>
        <w:rPr>
          <w:rFonts w:eastAsiaTheme="minorEastAsia"/>
        </w:rPr>
        <w:t>The best split is then defined by the highest</w:t>
      </w:r>
      <w:r w:rsidRPr="007C424B">
        <w:t xml:space="preserve"> </w:t>
      </w:r>
      <w:r w:rsidRPr="007C424B">
        <w:rPr>
          <w:rFonts w:eastAsiaTheme="minorEastAsia"/>
        </w:rPr>
        <w:t>Φ(s|t)</w:t>
      </w:r>
      <w:r>
        <w:rPr>
          <w:rFonts w:eastAsiaTheme="minorEastAsia"/>
        </w:rPr>
        <w:t xml:space="preserve"> measure after measuring all possible splits. </w:t>
      </w:r>
      <w:r w:rsidR="00E74EDB">
        <w:rPr>
          <w:rFonts w:eastAsiaTheme="minorEastAsia"/>
        </w:rPr>
        <w:t xml:space="preserve">Figure 4 below gives a visualization of the decision tree built from the dummy subgroup names and percentages predictors listed within the dataset. The decision tree has been limited to a maximum of 25 leaves to be </w:t>
      </w:r>
      <w:r>
        <w:rPr>
          <w:rFonts w:eastAsiaTheme="minorEastAsia"/>
        </w:rPr>
        <w:t>appropriately sized for</w:t>
      </w:r>
      <w:r w:rsidR="00E74EDB">
        <w:rPr>
          <w:rFonts w:eastAsiaTheme="minorEastAsia"/>
        </w:rPr>
        <w:t xml:space="preserve"> this format. </w:t>
      </w:r>
      <w:r w:rsidR="001474C1">
        <w:rPr>
          <w:rFonts w:eastAsiaTheme="minorEastAsia"/>
        </w:rPr>
        <w:t xml:space="preserve">The variable that shows up most commonly is the Local Percentage variable, which likely means that it is a fairly strong predictor of </w:t>
      </w:r>
      <w:r w:rsidR="0035315E">
        <w:rPr>
          <w:rFonts w:eastAsiaTheme="minorEastAsia"/>
        </w:rPr>
        <w:t>whether</w:t>
      </w:r>
      <w:r w:rsidR="001474C1">
        <w:rPr>
          <w:rFonts w:eastAsiaTheme="minorEastAsia"/>
        </w:rPr>
        <w:t xml:space="preserve"> the school year was during the pandemic. </w:t>
      </w:r>
    </w:p>
    <w:p w14:paraId="214D50A1" w14:textId="38E2F67F" w:rsidR="00E45605" w:rsidRDefault="005733AC" w:rsidP="002D6EC1">
      <w:pPr>
        <w:tabs>
          <w:tab w:val="clear" w:pos="3068"/>
        </w:tabs>
        <w:ind w:firstLine="0"/>
        <w:rPr>
          <w:b/>
          <w:bCs/>
        </w:rPr>
      </w:pPr>
      <w:r>
        <w:rPr>
          <w:b/>
          <w:bCs/>
        </w:rPr>
        <w:t>Figure 4.</w:t>
      </w:r>
    </w:p>
    <w:p w14:paraId="76172BAB" w14:textId="5E733FCD" w:rsidR="00374BC3" w:rsidRPr="00374BC3" w:rsidRDefault="00374BC3" w:rsidP="002D6EC1">
      <w:pPr>
        <w:tabs>
          <w:tab w:val="clear" w:pos="3068"/>
        </w:tabs>
        <w:ind w:firstLine="0"/>
        <w:rPr>
          <w:i/>
          <w:iCs/>
        </w:rPr>
      </w:pPr>
      <w:r>
        <w:rPr>
          <w:i/>
          <w:iCs/>
        </w:rPr>
        <w:t>Decision Tree for CART method.</w:t>
      </w:r>
    </w:p>
    <w:p w14:paraId="18060A5E" w14:textId="3EB24F1F" w:rsidR="00FB06A0" w:rsidRPr="00FB06A0" w:rsidRDefault="00E45605" w:rsidP="002D6EC1">
      <w:pPr>
        <w:tabs>
          <w:tab w:val="clear" w:pos="3068"/>
        </w:tabs>
        <w:ind w:firstLine="0"/>
      </w:pPr>
      <w:r>
        <w:rPr>
          <w:noProof/>
        </w:rPr>
        <w:drawing>
          <wp:inline distT="0" distB="0" distL="0" distR="0" wp14:anchorId="59922A75" wp14:editId="3BF9629A">
            <wp:extent cx="5911702" cy="449693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8113" cy="4509419"/>
                    </a:xfrm>
                    <a:prstGeom prst="rect">
                      <a:avLst/>
                    </a:prstGeom>
                  </pic:spPr>
                </pic:pic>
              </a:graphicData>
            </a:graphic>
          </wp:inline>
        </w:drawing>
      </w:r>
    </w:p>
    <w:p w14:paraId="10D60963" w14:textId="1DDB178D" w:rsidR="00602AC0" w:rsidRDefault="00602AC0" w:rsidP="002D6EC1">
      <w:pPr>
        <w:pStyle w:val="Heading2"/>
      </w:pPr>
      <w:bookmarkStart w:id="9" w:name="_Toc99544075"/>
      <w:bookmarkStart w:id="10" w:name="_Toc99544453"/>
      <w:r>
        <w:t xml:space="preserve">Random Forest Tree </w:t>
      </w:r>
      <w:r w:rsidR="002C5160">
        <w:t xml:space="preserve">Ensemble </w:t>
      </w:r>
      <w:r>
        <w:t>Classifier</w:t>
      </w:r>
      <w:bookmarkEnd w:id="9"/>
      <w:bookmarkEnd w:id="10"/>
    </w:p>
    <w:p w14:paraId="47AD5F3B" w14:textId="0BD34BA5" w:rsidR="006F405D" w:rsidRDefault="0056214C" w:rsidP="00D031DE">
      <w:pPr>
        <w:tabs>
          <w:tab w:val="clear" w:pos="3068"/>
        </w:tabs>
      </w:pPr>
      <w:r>
        <w:lastRenderedPageBreak/>
        <w:t xml:space="preserve">The Random Forest Ensemble was run using the gini method. </w:t>
      </w:r>
      <w:r w:rsidR="00783973">
        <w:t>The predictor variables</w:t>
      </w:r>
      <w:r w:rsidR="00574CBF">
        <w:t xml:space="preserve"> </w:t>
      </w:r>
      <w:r w:rsidR="003646B7">
        <w:t>were</w:t>
      </w:r>
      <w:r w:rsidR="00574CBF">
        <w:t xml:space="preserve"> dummy variables for Subgroup Names in addition to each percentage available within the data. </w:t>
      </w:r>
      <w:r w:rsidR="007B30F9">
        <w:t>Random Forest Ensembles take</w:t>
      </w:r>
      <w:r w:rsidR="00783973">
        <w:t>s</w:t>
      </w:r>
      <w:r w:rsidR="007B30F9">
        <w:t xml:space="preserve"> a series of </w:t>
      </w:r>
      <w:r w:rsidR="00783973">
        <w:t xml:space="preserve">randomly generated CART decision </w:t>
      </w:r>
      <w:r w:rsidR="007B30F9">
        <w:t xml:space="preserve">trees </w:t>
      </w:r>
      <w:r w:rsidR="00783973">
        <w:t>(bagging) to then use for the final classification decision</w:t>
      </w:r>
      <w:r w:rsidR="00D031DE">
        <w:t>, which involves a majority vot</w:t>
      </w:r>
      <w:r w:rsidR="008B1D8B">
        <w:t>e</w:t>
      </w:r>
      <w:r w:rsidR="00D031DE">
        <w:t xml:space="preserve"> decision</w:t>
      </w:r>
      <w:r w:rsidR="00995A89">
        <w:t xml:space="preserve">. The data is randomly sampled </w:t>
      </w:r>
      <w:r w:rsidR="00783973">
        <w:t xml:space="preserve">with replacement </w:t>
      </w:r>
      <w:r w:rsidR="00995A89">
        <w:t>for each decision tree</w:t>
      </w:r>
      <w:r w:rsidR="00783973">
        <w:t xml:space="preserve"> (bootstrap sampling)</w:t>
      </w:r>
      <w:r w:rsidR="00995A89">
        <w:t xml:space="preserve"> constructed by the ensemble (Larose, 2019). </w:t>
      </w:r>
    </w:p>
    <w:p w14:paraId="6A17A2F7" w14:textId="2D8B590A" w:rsidR="007A6742" w:rsidRPr="004A3E8C" w:rsidRDefault="002A6CEF" w:rsidP="004A3E8C">
      <w:pPr>
        <w:tabs>
          <w:tab w:val="clear" w:pos="3068"/>
        </w:tabs>
        <w:jc w:val="right"/>
      </w:pPr>
      <m:oMath>
        <m:r>
          <w:rPr>
            <w:rFonts w:ascii="Cambria Math" w:hAnsi="Cambria Math"/>
          </w:rPr>
          <m:t>Gini Index</m:t>
        </m:r>
        <m:r>
          <w:rPr>
            <w:rFonts w:ascii="Cambria Math" w:hAnsi="Cambria Math"/>
          </w:rPr>
          <m:t xml:space="preserve">= </m:t>
        </m:r>
        <m:r>
          <w:rPr>
            <w:rFonts w:ascii="Cambria Math" w:hAnsi="Cambria Math"/>
          </w:rPr>
          <m:t>1</m:t>
        </m:r>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sup>
                <m:r>
                  <w:rPr>
                    <w:rFonts w:ascii="Cambria Math" w:hAnsi="Cambria Math"/>
                  </w:rPr>
                  <m:t>2</m:t>
                </m:r>
              </m:sup>
            </m:sSup>
          </m:e>
        </m:nary>
      </m:oMath>
      <w:r w:rsidR="004A3E8C">
        <w:rPr>
          <w:rFonts w:eastAsiaTheme="minorEastAsia"/>
        </w:rPr>
        <w:t xml:space="preserve">                                                              </w:t>
      </w:r>
      <w:r w:rsidR="004A3E8C">
        <w:t>(2)</w:t>
      </w:r>
    </w:p>
    <w:p w14:paraId="50C91E69" w14:textId="1486D1F7" w:rsidR="0079300D" w:rsidRPr="00515F36" w:rsidRDefault="00D031DE" w:rsidP="00515F36">
      <w:pPr>
        <w:tabs>
          <w:tab w:val="clear" w:pos="3068"/>
        </w:tabs>
        <w:ind w:firstLine="0"/>
        <w:rPr>
          <w:rFonts w:eastAsiaTheme="minorEastAsia"/>
        </w:rPr>
      </w:pPr>
      <w:r>
        <w:rPr>
          <w:rFonts w:eastAsiaTheme="minorEastAsia"/>
        </w:rPr>
        <w:tab/>
      </w:r>
      <w:r w:rsidR="005F6EF2">
        <w:t>Because the data for Pre-COVID consisted of 7</w:t>
      </w:r>
      <w:r w:rsidR="00256DDB">
        <w:t>3</w:t>
      </w:r>
      <w:r w:rsidR="005F6EF2">
        <w:t>% of the data, a valid classifier needed to perform at least better than 7</w:t>
      </w:r>
      <w:r w:rsidR="00256DDB">
        <w:t>3</w:t>
      </w:r>
      <w:r w:rsidR="005F6EF2">
        <w:t>% (</w:t>
      </w:r>
      <w:r w:rsidR="00A040D2">
        <w:t xml:space="preserve">A </w:t>
      </w:r>
      <w:r w:rsidR="005F6EF2">
        <w:t xml:space="preserve">baseline predictor </w:t>
      </w:r>
      <w:r w:rsidR="00A040D2">
        <w:t>that predicts</w:t>
      </w:r>
      <w:r w:rsidR="005F6EF2">
        <w:t xml:space="preserve"> all Pre-COVID, would have at least 7</w:t>
      </w:r>
      <w:r w:rsidR="00256DDB">
        <w:t>3</w:t>
      </w:r>
      <w:r w:rsidR="005F6EF2">
        <w:t>% accuracy). This model exceeds this requirement</w:t>
      </w:r>
      <w:r w:rsidR="005F6EF2">
        <w:t xml:space="preserve"> at 86%</w:t>
      </w:r>
      <w:r w:rsidR="005F6EF2">
        <w:t xml:space="preserve">. Sensitivity </w:t>
      </w:r>
      <w:r w:rsidR="007C0FB0">
        <w:t>is</w:t>
      </w:r>
      <w:r w:rsidR="005F6EF2">
        <w:t xml:space="preserve"> about 66% which means it can predict the smaller class relatively well. </w:t>
      </w:r>
    </w:p>
    <w:p w14:paraId="64C24C96" w14:textId="754AC734" w:rsidR="005F6EF2" w:rsidRDefault="005F6EF2" w:rsidP="005F6EF2">
      <w:r>
        <w:t xml:space="preserve">The Area Under the Curve measurement for the ROC curve of the Random Forest classifier further validates the model by having an AUC well above 0.5 at about 0.798. Figure </w:t>
      </w:r>
      <w:r w:rsidR="0079300D">
        <w:t>5</w:t>
      </w:r>
      <w:r>
        <w:t xml:space="preserve"> depicts this result.</w:t>
      </w:r>
    </w:p>
    <w:p w14:paraId="170978AF" w14:textId="78228A94" w:rsidR="00AA047D" w:rsidRPr="00EB0EF7" w:rsidRDefault="00AA047D" w:rsidP="00AA047D">
      <w:pPr>
        <w:ind w:firstLine="0"/>
        <w:rPr>
          <w:b/>
          <w:bCs/>
        </w:rPr>
      </w:pPr>
      <w:r w:rsidRPr="00EB0EF7">
        <w:rPr>
          <w:b/>
          <w:bCs/>
        </w:rPr>
        <w:t xml:space="preserve">Figure </w:t>
      </w:r>
      <w:r w:rsidR="00F76E76">
        <w:rPr>
          <w:b/>
          <w:bCs/>
        </w:rPr>
        <w:t>5</w:t>
      </w:r>
    </w:p>
    <w:p w14:paraId="61678725" w14:textId="77777777" w:rsidR="00AA047D" w:rsidRPr="00EB0EF7" w:rsidRDefault="00AA047D" w:rsidP="00AA047D">
      <w:pPr>
        <w:ind w:firstLine="0"/>
        <w:rPr>
          <w:i/>
          <w:iCs/>
        </w:rPr>
      </w:pPr>
      <w:r w:rsidRPr="00EB0EF7">
        <w:rPr>
          <w:i/>
          <w:iCs/>
        </w:rPr>
        <w:t>AUC ROC curve for Random Forest Classifier</w:t>
      </w:r>
    </w:p>
    <w:p w14:paraId="5BB891C6" w14:textId="77777777" w:rsidR="00AA047D" w:rsidRDefault="00AA047D" w:rsidP="00AA047D">
      <w:pPr>
        <w:ind w:firstLine="0"/>
      </w:pPr>
      <w:r>
        <w:rPr>
          <w:noProof/>
        </w:rPr>
        <w:drawing>
          <wp:inline distT="0" distB="0" distL="0" distR="0" wp14:anchorId="52BD3205" wp14:editId="395FD064">
            <wp:extent cx="3032760" cy="3046045"/>
            <wp:effectExtent l="0" t="0" r="0"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3608" cy="3056940"/>
                    </a:xfrm>
                    <a:prstGeom prst="rect">
                      <a:avLst/>
                    </a:prstGeom>
                  </pic:spPr>
                </pic:pic>
              </a:graphicData>
            </a:graphic>
          </wp:inline>
        </w:drawing>
      </w:r>
    </w:p>
    <w:p w14:paraId="35979DC9" w14:textId="77777777" w:rsidR="00DD5415" w:rsidRDefault="00DD5415" w:rsidP="00DD5415">
      <w:pPr>
        <w:ind w:firstLine="0"/>
      </w:pPr>
    </w:p>
    <w:p w14:paraId="38CBFB01" w14:textId="0D00F714" w:rsidR="00574CBF" w:rsidRPr="006F405D" w:rsidRDefault="00574CBF" w:rsidP="002D6EC1">
      <w:pPr>
        <w:tabs>
          <w:tab w:val="clear" w:pos="3068"/>
        </w:tabs>
        <w:ind w:firstLine="0"/>
      </w:pPr>
    </w:p>
    <w:p w14:paraId="4A1CEB73" w14:textId="6E0E402A" w:rsidR="00602AC0" w:rsidRDefault="007B02E4" w:rsidP="002D6EC1">
      <w:pPr>
        <w:pStyle w:val="Heading2"/>
      </w:pPr>
      <w:bookmarkStart w:id="11" w:name="_Toc99544076"/>
      <w:bookmarkStart w:id="12" w:name="_Toc99544454"/>
      <w:r>
        <w:t>Naïve Bayes Classifier</w:t>
      </w:r>
      <w:bookmarkEnd w:id="11"/>
      <w:bookmarkEnd w:id="12"/>
    </w:p>
    <w:p w14:paraId="33C07728" w14:textId="1275E7AD" w:rsidR="00AC7C9B" w:rsidRPr="00AC7C9B" w:rsidRDefault="00AC7C9B" w:rsidP="002D6EC1">
      <w:pPr>
        <w:tabs>
          <w:tab w:val="clear" w:pos="3068"/>
        </w:tabs>
      </w:pPr>
      <w:r>
        <w:t xml:space="preserve">The Naïve Bayes model was built using the percentages in the data </w:t>
      </w:r>
      <w:r w:rsidR="00146524">
        <w:t>set in addition to dummy variables representing Subgroup Names</w:t>
      </w:r>
      <w:r w:rsidR="00CE1AD2">
        <w:t xml:space="preserve">. This approach focused on the implementation of the Bayes Theorem where X and Y represent posterior probabilities (Larose, 2019): </w:t>
      </w:r>
    </w:p>
    <w:p w14:paraId="510E3846" w14:textId="779B6999" w:rsidR="006F405D" w:rsidRPr="004A3E8C" w:rsidRDefault="007718FC" w:rsidP="004A3E8C">
      <w:pPr>
        <w:tabs>
          <w:tab w:val="clear" w:pos="3068"/>
        </w:tabs>
        <w:jc w:val="right"/>
      </w:pPr>
      <m:oMath>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num>
          <m:den>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en>
        </m:f>
      </m:oMath>
      <w:r w:rsidR="004A3E8C">
        <w:rPr>
          <w:rFonts w:eastAsiaTheme="minorEastAsia"/>
        </w:rPr>
        <w:t xml:space="preserve">                  </w:t>
      </w:r>
      <w:r w:rsidR="00B70D78">
        <w:rPr>
          <w:rFonts w:eastAsiaTheme="minorEastAsia"/>
        </w:rPr>
        <w:t xml:space="preserve">         </w:t>
      </w:r>
      <w:r w:rsidR="004A3E8C">
        <w:rPr>
          <w:rFonts w:eastAsiaTheme="minorEastAsia"/>
        </w:rPr>
        <w:t xml:space="preserve">                                        </w:t>
      </w:r>
      <w:r w:rsidR="004A3E8C">
        <w:t>(3)</w:t>
      </w:r>
    </w:p>
    <w:p w14:paraId="3A6A51BA" w14:textId="07402888" w:rsidR="00CE1AD2" w:rsidRPr="006F405D" w:rsidRDefault="00CE1AD2" w:rsidP="002D6EC1">
      <w:pPr>
        <w:tabs>
          <w:tab w:val="clear" w:pos="3068"/>
        </w:tabs>
        <w:spacing w:before="240"/>
        <w:ind w:firstLine="0"/>
      </w:pPr>
      <w:r>
        <w:t xml:space="preserve">The resulting model </w:t>
      </w:r>
      <w:r w:rsidR="002E3C15">
        <w:t>showed that separating the statistical difference between Covid and non-Covid years would prove difficult</w:t>
      </w:r>
      <w:r w:rsidR="00FD02E1">
        <w:t xml:space="preserve">, at least with this method. The model only had </w:t>
      </w:r>
      <w:r w:rsidR="00B177A0">
        <w:t>64</w:t>
      </w:r>
      <w:r w:rsidR="00FD02E1">
        <w:t xml:space="preserve">% accuracy over the test set. The model has flawed sensitivity as only 39% of true positive, Covid classification, predictions were correct. Overall, the model underperformed the baseline model that classified everything as Pre-Covid. </w:t>
      </w:r>
    </w:p>
    <w:p w14:paraId="4E9C46B4" w14:textId="0DBA999B" w:rsidR="00925CDD" w:rsidRDefault="00925CDD" w:rsidP="002D6EC1">
      <w:pPr>
        <w:pStyle w:val="Heading2"/>
      </w:pPr>
      <w:bookmarkStart w:id="13" w:name="_Toc99544455"/>
      <w:r>
        <w:t>Neural Network Classifier</w:t>
      </w:r>
      <w:bookmarkEnd w:id="13"/>
    </w:p>
    <w:p w14:paraId="4AA38302" w14:textId="3374D882" w:rsidR="00CB648F" w:rsidRDefault="00CB648F" w:rsidP="002D6EC1">
      <w:pPr>
        <w:tabs>
          <w:tab w:val="clear" w:pos="3068"/>
        </w:tabs>
      </w:pPr>
      <w:r>
        <w:t>The same predictors were used to create a Neural Network Classification</w:t>
      </w:r>
      <w:r w:rsidR="00456FD0">
        <w:t>, but for the Neural Network model, the numerical data was min-max scaled to help boost the model performance</w:t>
      </w:r>
      <w:r>
        <w:t xml:space="preserve">. </w:t>
      </w:r>
      <w:r w:rsidR="00B432CE">
        <w:t xml:space="preserve">The Neural Network was constructed using the Tensorflow and Keras packages in Python. </w:t>
      </w:r>
      <w:r w:rsidR="00FA6C12">
        <w:t>Our model has been activated using the sigmoid function:</w:t>
      </w:r>
    </w:p>
    <w:p w14:paraId="5B7329EE" w14:textId="59BB42FC" w:rsidR="00FA6C12" w:rsidRPr="004A3E8C" w:rsidRDefault="00FA6C12" w:rsidP="004A3E8C">
      <w:pPr>
        <w:tabs>
          <w:tab w:val="clear" w:pos="3068"/>
        </w:tabs>
        <w:jc w:val="right"/>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4A3E8C">
        <w:rPr>
          <w:rFonts w:eastAsiaTheme="minorEastAsia"/>
        </w:rPr>
        <w:t xml:space="preserve">                                                                  </w:t>
      </w:r>
      <w:r w:rsidR="004A3E8C">
        <w:t>(4)</w:t>
      </w:r>
    </w:p>
    <w:p w14:paraId="01D27CA6" w14:textId="7BAF1D90" w:rsidR="006A6011" w:rsidRDefault="006A6011" w:rsidP="002D6EC1">
      <w:pPr>
        <w:tabs>
          <w:tab w:val="clear" w:pos="3068"/>
        </w:tabs>
        <w:ind w:firstLine="0"/>
        <w:rPr>
          <w:rFonts w:eastAsiaTheme="minorEastAsia"/>
        </w:rPr>
      </w:pPr>
      <w:r>
        <w:rPr>
          <w:rFonts w:eastAsiaTheme="minorEastAsia"/>
        </w:rPr>
        <w:t>While the overall formula</w:t>
      </w:r>
      <w:r w:rsidR="00E83344">
        <w:rPr>
          <w:rFonts w:eastAsiaTheme="minorEastAsia"/>
        </w:rPr>
        <w:t xml:space="preserve"> utilized</w:t>
      </w:r>
      <w:r>
        <w:rPr>
          <w:rFonts w:eastAsiaTheme="minorEastAsia"/>
        </w:rPr>
        <w:t xml:space="preserve"> can be described by</w:t>
      </w:r>
      <w:r w:rsidR="00E83344">
        <w:rPr>
          <w:rFonts w:eastAsiaTheme="minorEastAsia"/>
        </w:rPr>
        <w:t xml:space="preserve"> (Larose, 2019)</w:t>
      </w:r>
      <w:r>
        <w:rPr>
          <w:rFonts w:eastAsiaTheme="minorEastAsia"/>
        </w:rPr>
        <w:t>:</w:t>
      </w:r>
    </w:p>
    <w:p w14:paraId="6D553CFB" w14:textId="16A62F26" w:rsidR="006A6011" w:rsidRPr="004A3E8C" w:rsidRDefault="0080798F" w:rsidP="004A3E8C">
      <w:pPr>
        <w:tabs>
          <w:tab w:val="clear" w:pos="3068"/>
        </w:tabs>
        <w:jc w:val="right"/>
      </w:pPr>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0j</m:t>
            </m:r>
          </m:sub>
        </m:sSub>
        <m:sSub>
          <m:sSubPr>
            <m:ctrlPr>
              <w:rPr>
                <w:rFonts w:ascii="Cambria Math" w:hAnsi="Cambria Math"/>
                <w:i/>
              </w:rPr>
            </m:ctrlPr>
          </m:sSubPr>
          <m:e>
            <m:r>
              <w:rPr>
                <w:rFonts w:ascii="Cambria Math" w:hAnsi="Cambria Math"/>
              </w:rPr>
              <m:t>X</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1j</m:t>
            </m:r>
          </m:sub>
        </m:sSub>
        <m:sSub>
          <m:sSubPr>
            <m:ctrlPr>
              <w:rPr>
                <w:rFonts w:ascii="Cambria Math" w:hAnsi="Cambria Math"/>
                <w:i/>
              </w:rPr>
            </m:ctrlPr>
          </m:sSubPr>
          <m:e>
            <m:r>
              <w:rPr>
                <w:rFonts w:ascii="Cambria Math" w:hAnsi="Cambria Math"/>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2j</m:t>
            </m:r>
          </m:sub>
        </m:sSub>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15j</m:t>
            </m:r>
          </m:sub>
        </m:sSub>
        <m:sSub>
          <m:sSubPr>
            <m:ctrlPr>
              <w:rPr>
                <w:rFonts w:ascii="Cambria Math" w:hAnsi="Cambria Math"/>
                <w:i/>
              </w:rPr>
            </m:ctrlPr>
          </m:sSubPr>
          <m:e>
            <m:r>
              <w:rPr>
                <w:rFonts w:ascii="Cambria Math" w:hAnsi="Cambria Math"/>
              </w:rPr>
              <m:t>X</m:t>
            </m:r>
          </m:e>
          <m:sub>
            <m:r>
              <w:rPr>
                <w:rFonts w:ascii="Cambria Math" w:hAnsi="Cambria Math"/>
              </w:rPr>
              <m:t>15j</m:t>
            </m:r>
          </m:sub>
        </m:sSub>
      </m:oMath>
      <w:r w:rsidR="004A3E8C">
        <w:rPr>
          <w:rFonts w:eastAsiaTheme="minorEastAsia"/>
        </w:rPr>
        <w:t xml:space="preserve">   </w:t>
      </w:r>
      <w:r w:rsidR="00B70D78">
        <w:rPr>
          <w:rFonts w:eastAsiaTheme="minorEastAsia"/>
        </w:rPr>
        <w:t xml:space="preserve">     </w:t>
      </w:r>
      <w:r w:rsidR="004A3E8C">
        <w:rPr>
          <w:rFonts w:eastAsiaTheme="minorEastAsia"/>
        </w:rPr>
        <w:t xml:space="preserve">              </w:t>
      </w:r>
      <w:r w:rsidR="004A3E8C">
        <w:t>(5)</w:t>
      </w:r>
    </w:p>
    <w:p w14:paraId="3AF46D09" w14:textId="11143BDD" w:rsidR="006F405D" w:rsidRPr="006F405D" w:rsidRDefault="006D70C8" w:rsidP="002D6EC1">
      <w:pPr>
        <w:tabs>
          <w:tab w:val="clear" w:pos="3068"/>
        </w:tabs>
        <w:ind w:firstLine="0"/>
      </w:pPr>
      <w:r>
        <w:rPr>
          <w:rFonts w:eastAsiaTheme="minorEastAsia"/>
        </w:rPr>
        <w:t xml:space="preserve">By using the sigmoid function, </w:t>
      </w:r>
      <w:r w:rsidR="00456FD0">
        <w:rPr>
          <w:rFonts w:eastAsiaTheme="minorEastAsia"/>
        </w:rPr>
        <w:t xml:space="preserve">the different behaviors within the data set with act the same </w:t>
      </w:r>
      <w:r w:rsidR="00237BE9">
        <w:rPr>
          <w:rFonts w:eastAsiaTheme="minorEastAsia"/>
        </w:rPr>
        <w:t xml:space="preserve">in order </w:t>
      </w:r>
      <w:r w:rsidR="00456FD0">
        <w:rPr>
          <w:rFonts w:eastAsiaTheme="minorEastAsia"/>
        </w:rPr>
        <w:t xml:space="preserve">to input </w:t>
      </w:r>
      <w:r w:rsidR="00237BE9">
        <w:rPr>
          <w:rFonts w:eastAsiaTheme="minorEastAsia"/>
        </w:rPr>
        <w:t>in</w:t>
      </w:r>
      <w:r w:rsidR="00456FD0">
        <w:rPr>
          <w:rFonts w:eastAsiaTheme="minorEastAsia"/>
        </w:rPr>
        <w:t>to the model.</w:t>
      </w:r>
      <w:r w:rsidR="00237BE9">
        <w:rPr>
          <w:rFonts w:eastAsiaTheme="minorEastAsia"/>
        </w:rPr>
        <w:t xml:space="preserve"> With dummy variables there are 15 input nodes, 32 nodes in the hidden layer that activates using the ‘relu’ function, and the final output layer, that is activated by the sigmoid function, produces two </w:t>
      </w:r>
      <w:r w:rsidR="00FE669D">
        <w:rPr>
          <w:rFonts w:eastAsiaTheme="minorEastAsia"/>
        </w:rPr>
        <w:t xml:space="preserve">results either 0, Pre-Covid, or 1, Covid. </w:t>
      </w:r>
    </w:p>
    <w:p w14:paraId="462A0C39" w14:textId="4E07B8C7" w:rsidR="006F405D" w:rsidRDefault="006F405D" w:rsidP="002D6EC1">
      <w:pPr>
        <w:tabs>
          <w:tab w:val="clear" w:pos="3068"/>
        </w:tabs>
        <w:ind w:firstLine="0"/>
        <w:rPr>
          <w:b/>
          <w:bCs/>
        </w:rPr>
      </w:pPr>
      <w:r>
        <w:rPr>
          <w:b/>
          <w:bCs/>
        </w:rPr>
        <w:t>Boosting Ensemble Classifier</w:t>
      </w:r>
    </w:p>
    <w:p w14:paraId="1702D9A4" w14:textId="77777777" w:rsidR="004A3E8C" w:rsidRDefault="00FE669D" w:rsidP="004A3E8C">
      <w:pPr>
        <w:tabs>
          <w:tab w:val="clear" w:pos="3068"/>
        </w:tabs>
      </w:pPr>
      <w:r>
        <w:lastRenderedPageBreak/>
        <w:t>While Boosting Ensembles are more challenging to conceptualize than other classifiers, they are often better at classifying difficult problems</w:t>
      </w:r>
      <w:r w:rsidR="00FD7B04">
        <w:t xml:space="preserve">. </w:t>
      </w:r>
      <w:r w:rsidR="009D496D">
        <w:t xml:space="preserve">The Boosting Ensemble was created using the same data prepared for the Naïve Bayes Classifier. </w:t>
      </w:r>
      <w:r w:rsidR="00FD7B04">
        <w:t>The Boosting base classifier depends on its error rate, defined by:</w:t>
      </w:r>
    </w:p>
    <w:p w14:paraId="4C1AFCD6" w14:textId="285B821D" w:rsidR="00FD7B04" w:rsidRPr="004A3E8C" w:rsidRDefault="0080798F" w:rsidP="004A3E8C">
      <w:pPr>
        <w:tabs>
          <w:tab w:val="clear" w:pos="3068"/>
        </w:tabs>
        <w:jc w:val="right"/>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N </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oMath>
      <w:r w:rsidR="004A3E8C">
        <w:rPr>
          <w:rFonts w:eastAsiaTheme="minorEastAsia"/>
        </w:rPr>
        <w:t xml:space="preserve">                                                   </w:t>
      </w:r>
      <w:r w:rsidR="004A3E8C">
        <w:t>(6)</w:t>
      </w:r>
    </w:p>
    <w:p w14:paraId="736A3A5E" w14:textId="1CE0A8F1" w:rsidR="00E46941" w:rsidRDefault="000F0C12" w:rsidP="002D6EC1">
      <w:pPr>
        <w:tabs>
          <w:tab w:val="clear" w:pos="3068"/>
        </w:tabs>
        <w:ind w:firstLine="0"/>
        <w:rPr>
          <w:rFonts w:eastAsiaTheme="minorEastAsia"/>
        </w:rPr>
      </w:pPr>
      <w:r>
        <w:rPr>
          <w:rFonts w:eastAsiaTheme="minorEastAsia"/>
        </w:rPr>
        <w:t>The importance of this classifier is then further defined by the following hyperparameter:</w:t>
      </w:r>
    </w:p>
    <w:p w14:paraId="71BDF26D" w14:textId="0AA5D2FD" w:rsidR="000F0C12" w:rsidRPr="00812850" w:rsidRDefault="0080798F" w:rsidP="00812850">
      <w:pPr>
        <w:tabs>
          <w:tab w:val="clear" w:pos="3068"/>
        </w:tabs>
        <w:jc w:val="right"/>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m:t>
        </m:r>
      </m:oMath>
      <w:r w:rsidR="00812850" w:rsidRPr="00812850">
        <w:t xml:space="preserve"> </w:t>
      </w:r>
      <w:r w:rsidR="00812850">
        <w:t xml:space="preserve">                                                                  (7)</w:t>
      </w:r>
    </w:p>
    <w:p w14:paraId="08F29102" w14:textId="005A272E" w:rsidR="007F00DF" w:rsidRPr="00FE669D" w:rsidRDefault="007F00DF" w:rsidP="002D6EC1">
      <w:pPr>
        <w:tabs>
          <w:tab w:val="clear" w:pos="3068"/>
        </w:tabs>
        <w:ind w:firstLine="0"/>
      </w:pPr>
      <w:r>
        <w:rPr>
          <w:rFonts w:eastAsiaTheme="minorEastAsia"/>
        </w:rPr>
        <w:t>If error rate is high the hyperparameter value will be negative. If the error rate is low the hyperparameter will be a positive value.</w:t>
      </w:r>
      <w:r w:rsidR="009D496D">
        <w:rPr>
          <w:rFonts w:eastAsiaTheme="minorEastAsia"/>
        </w:rPr>
        <w:t xml:space="preserve"> The parameter will then be used to update the weight</w:t>
      </w:r>
      <w:r w:rsidR="001E5547">
        <w:rPr>
          <w:rFonts w:eastAsiaTheme="minorEastAsia"/>
        </w:rPr>
        <w:t xml:space="preserve"> in order to begin the next run through the data (Tan et al., 2019)</w:t>
      </w:r>
      <w:r w:rsidR="009D496D">
        <w:rPr>
          <w:rFonts w:eastAsiaTheme="minorEastAsia"/>
        </w:rPr>
        <w:t xml:space="preserve">. </w:t>
      </w:r>
    </w:p>
    <w:p w14:paraId="6726D15C" w14:textId="696F4758" w:rsidR="006F405D" w:rsidRPr="006F405D" w:rsidRDefault="006F405D" w:rsidP="002D6EC1">
      <w:pPr>
        <w:tabs>
          <w:tab w:val="clear" w:pos="3068"/>
        </w:tabs>
        <w:ind w:firstLine="0"/>
        <w:rPr>
          <w:b/>
          <w:bCs/>
        </w:rPr>
      </w:pPr>
      <w:r>
        <w:rPr>
          <w:b/>
          <w:bCs/>
        </w:rPr>
        <w:t>Bagging Ensemble Classifier</w:t>
      </w:r>
    </w:p>
    <w:p w14:paraId="56A168DB" w14:textId="50F252FA" w:rsidR="006F405D" w:rsidRPr="006F405D" w:rsidRDefault="00971B2C" w:rsidP="002D6EC1">
      <w:pPr>
        <w:tabs>
          <w:tab w:val="clear" w:pos="3068"/>
        </w:tabs>
      </w:pPr>
      <w:r>
        <w:t>Bagging Ensemble is another method that is more challenging to visualize or conceptualize.</w:t>
      </w:r>
      <w:r w:rsidR="00650457">
        <w:t xml:space="preserve"> The same set of predictors has been implemented here as the previous ensemble. Bagging takes a bootstrap sample of the predictors where each sample has a probability of being implemented into the bootstrap. A split point is then chosen to that most effectively minimizes the entropy. Which creates a decision stump (Tan et al., 2019). </w:t>
      </w:r>
      <w:r w:rsidR="003446B8">
        <w:t xml:space="preserve">The bootstraps are then used to make multiple classifiers that are combined to make a single classifier. </w:t>
      </w:r>
    </w:p>
    <w:p w14:paraId="43B0696D" w14:textId="2CBD5451" w:rsidR="00454CF2" w:rsidRDefault="007B02E4" w:rsidP="002D6EC1">
      <w:pPr>
        <w:pStyle w:val="Heading1"/>
      </w:pPr>
      <w:bookmarkStart w:id="14" w:name="_Toc99544077"/>
      <w:bookmarkStart w:id="15" w:name="_Toc99544456"/>
      <w:r>
        <w:t>Results</w:t>
      </w:r>
      <w:bookmarkEnd w:id="14"/>
      <w:bookmarkEnd w:id="15"/>
    </w:p>
    <w:p w14:paraId="090B3ADC" w14:textId="65297717" w:rsidR="00F61BD7" w:rsidRDefault="00577BF7" w:rsidP="002D6EC1">
      <w:pPr>
        <w:tabs>
          <w:tab w:val="clear" w:pos="3068"/>
        </w:tabs>
      </w:pPr>
      <w:r>
        <w:t>All</w:t>
      </w:r>
      <w:r w:rsidR="004D673C">
        <w:t xml:space="preserve"> the models’ evaluation measures are listed below in Table </w:t>
      </w:r>
      <w:r w:rsidR="002239D5">
        <w:t>2</w:t>
      </w:r>
      <w:r w:rsidR="004D673C">
        <w:t>. As far as overall accuracy, the Random Forest Ensembles performed the best at 85.9</w:t>
      </w:r>
      <w:r w:rsidR="002239D5">
        <w:t>9</w:t>
      </w:r>
      <w:r w:rsidR="004D673C">
        <w:t xml:space="preserve">% accuracy. </w:t>
      </w:r>
      <w:r w:rsidR="00896E16">
        <w:t>For comparison, a baseline model that predicts everything to be Pre-Covid would have an overall accuracy of</w:t>
      </w:r>
      <w:r w:rsidR="0015762B">
        <w:t xml:space="preserve"> 73.71%.</w:t>
      </w:r>
      <w:r w:rsidR="008E1C9D">
        <w:t xml:space="preserve"> The model that performed below </w:t>
      </w:r>
      <w:r w:rsidR="00C71547">
        <w:t>the minimum baseline is the Naïve Bayes model</w:t>
      </w:r>
      <w:r>
        <w:t xml:space="preserve">. </w:t>
      </w:r>
    </w:p>
    <w:p w14:paraId="16561FDD" w14:textId="09F3A73A" w:rsidR="00F61BD7" w:rsidRDefault="00577BF7" w:rsidP="002D6EC1">
      <w:pPr>
        <w:tabs>
          <w:tab w:val="clear" w:pos="3068"/>
        </w:tabs>
      </w:pPr>
      <w:r>
        <w:t>In terms of sensitivity, t</w:t>
      </w:r>
      <w:r w:rsidR="00564429">
        <w:t xml:space="preserve">he </w:t>
      </w:r>
      <w:r w:rsidR="00850342">
        <w:t>Bagging ensemble</w:t>
      </w:r>
      <w:r w:rsidR="00564429">
        <w:t xml:space="preserve"> performed best, with a sensitivity of </w:t>
      </w:r>
      <w:r w:rsidR="00850342">
        <w:t>77</w:t>
      </w:r>
      <w:r w:rsidR="00564429">
        <w:t xml:space="preserve">%. The other model that stands out is the </w:t>
      </w:r>
      <w:r w:rsidR="006C75DB">
        <w:t>Decision Tree</w:t>
      </w:r>
      <w:r w:rsidR="00564429">
        <w:t xml:space="preserve">. </w:t>
      </w:r>
      <w:r w:rsidR="00C911CA">
        <w:t xml:space="preserve">The </w:t>
      </w:r>
      <w:r w:rsidR="006C75DB">
        <w:t>Decision Tree</w:t>
      </w:r>
      <w:r w:rsidR="00C911CA">
        <w:t xml:space="preserve"> has a sensitivity of only </w:t>
      </w:r>
      <w:r w:rsidR="006C75DB">
        <w:t>32</w:t>
      </w:r>
      <w:r w:rsidR="00C911CA">
        <w:t xml:space="preserve">%, </w:t>
      </w:r>
      <w:r w:rsidR="00C911CA">
        <w:lastRenderedPageBreak/>
        <w:t xml:space="preserve">meaning, the </w:t>
      </w:r>
      <w:r w:rsidR="006C75DB">
        <w:t>Decision Tree</w:t>
      </w:r>
      <w:r w:rsidR="00C911CA">
        <w:t xml:space="preserve"> does not predict the minority class </w:t>
      </w:r>
      <w:r w:rsidR="00EA7371">
        <w:t>at a very high proportion.</w:t>
      </w:r>
      <w:r w:rsidR="00040662">
        <w:t xml:space="preserve"> This imbalance makes the </w:t>
      </w:r>
      <w:r w:rsidR="006C75DB">
        <w:t>Decision Tree</w:t>
      </w:r>
      <w:r w:rsidR="00040662">
        <w:t xml:space="preserve"> among the weaker models with the Naïve Bayes</w:t>
      </w:r>
      <w:r w:rsidR="003D36E7">
        <w:t xml:space="preserve">. </w:t>
      </w:r>
    </w:p>
    <w:p w14:paraId="32B6DF47" w14:textId="42882830" w:rsidR="00577BF7" w:rsidRDefault="00850342" w:rsidP="004C2528">
      <w:pPr>
        <w:tabs>
          <w:tab w:val="clear" w:pos="3068"/>
        </w:tabs>
      </w:pPr>
      <w:r>
        <w:t>All</w:t>
      </w:r>
      <w:r w:rsidR="003D36E7">
        <w:t xml:space="preserve"> the models, aside from the Naïve Bayes, performed above </w:t>
      </w:r>
      <w:r w:rsidR="008339B4">
        <w:t>75</w:t>
      </w:r>
      <w:r w:rsidR="00F61BD7">
        <w:t xml:space="preserve">% </w:t>
      </w:r>
      <w:r w:rsidR="00861633">
        <w:t xml:space="preserve">specificity, the most specific being the </w:t>
      </w:r>
      <w:r w:rsidR="008339B4">
        <w:t>Random Forest.</w:t>
      </w:r>
      <w:r w:rsidR="00861633">
        <w:t xml:space="preserve"> Yet, the </w:t>
      </w:r>
      <w:r w:rsidR="00C7432B">
        <w:t>lower</w:t>
      </w:r>
      <w:r w:rsidR="00861633">
        <w:t xml:space="preserve"> of sensitivity with the </w:t>
      </w:r>
      <w:r w:rsidR="00C7432B">
        <w:t>Random Forest</w:t>
      </w:r>
      <w:r w:rsidR="00861633">
        <w:t xml:space="preserve"> detracts from that performance. Of the ensemble methods that returned high sensitivity, the </w:t>
      </w:r>
      <w:r w:rsidR="00C7432B">
        <w:t>Bagging method</w:t>
      </w:r>
      <w:r w:rsidR="00861633">
        <w:t xml:space="preserve"> returned the highest </w:t>
      </w:r>
      <w:r w:rsidR="00FC7417">
        <w:t>sensitivity</w:t>
      </w:r>
      <w:r w:rsidR="00861633">
        <w:t xml:space="preserve"> at about </w:t>
      </w:r>
      <w:r w:rsidR="00FC7417">
        <w:t>77</w:t>
      </w:r>
      <w:r w:rsidR="00861633">
        <w:t xml:space="preserve">%. Overall, Random Forest </w:t>
      </w:r>
      <w:r w:rsidR="00FB6B23">
        <w:t xml:space="preserve">gave the highest accuracy, Specificity and Precision, but Bagging gave relatively close accuracy and good Specificity and Precision, so Bagging performed best when concerned about the smaller class COVID (which we are concerned with), with Random Forest as a close </w:t>
      </w:r>
      <w:r w:rsidR="003D6131">
        <w:t>contender for final model</w:t>
      </w:r>
      <w:r w:rsidR="00FB6B23">
        <w:t>.</w:t>
      </w:r>
      <w:r w:rsidR="00DC6B00">
        <w:t xml:space="preserve"> </w:t>
      </w:r>
    </w:p>
    <w:p w14:paraId="528294AA" w14:textId="77777777" w:rsidR="00577BF7" w:rsidRPr="004D673C" w:rsidRDefault="00577BF7" w:rsidP="002D6EC1">
      <w:pPr>
        <w:tabs>
          <w:tab w:val="clear" w:pos="3068"/>
        </w:tabs>
        <w:ind w:firstLine="0"/>
      </w:pPr>
    </w:p>
    <w:p w14:paraId="31EAFBBD" w14:textId="169BE18B" w:rsidR="00C16515" w:rsidRDefault="00C16515" w:rsidP="002D6EC1">
      <w:pPr>
        <w:tabs>
          <w:tab w:val="clear" w:pos="3068"/>
        </w:tabs>
        <w:ind w:firstLine="0"/>
        <w:rPr>
          <w:b/>
          <w:bCs/>
        </w:rPr>
      </w:pPr>
      <w:r>
        <w:rPr>
          <w:b/>
          <w:bCs/>
        </w:rPr>
        <w:t>Table 1.</w:t>
      </w:r>
    </w:p>
    <w:p w14:paraId="75285CB9" w14:textId="09C24D89" w:rsidR="00812850" w:rsidRPr="00812850" w:rsidRDefault="004C2528" w:rsidP="002D6EC1">
      <w:pPr>
        <w:tabs>
          <w:tab w:val="clear" w:pos="3068"/>
        </w:tabs>
        <w:ind w:firstLine="0"/>
        <w:rPr>
          <w:i/>
          <w:iCs/>
        </w:rPr>
      </w:pPr>
      <w:r>
        <w:rPr>
          <w:i/>
          <w:iCs/>
        </w:rPr>
        <w:t>Evaluation Measurements for Each Model</w:t>
      </w:r>
    </w:p>
    <w:p w14:paraId="0DF66E28" w14:textId="36DF47B8" w:rsidR="00D2009F" w:rsidRDefault="006F1479" w:rsidP="002D6EC1">
      <w:pPr>
        <w:pStyle w:val="Heading2"/>
      </w:pPr>
      <w:bookmarkStart w:id="16" w:name="_Toc99544078"/>
      <w:bookmarkStart w:id="17" w:name="_Toc99544457"/>
      <w:r w:rsidRPr="006F1479">
        <w:drawing>
          <wp:inline distT="0" distB="0" distL="0" distR="0" wp14:anchorId="05B05BE3" wp14:editId="26521AEA">
            <wp:extent cx="5364480" cy="16535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480" cy="1653540"/>
                    </a:xfrm>
                    <a:prstGeom prst="rect">
                      <a:avLst/>
                    </a:prstGeom>
                    <a:noFill/>
                    <a:ln>
                      <a:noFill/>
                    </a:ln>
                  </pic:spPr>
                </pic:pic>
              </a:graphicData>
            </a:graphic>
          </wp:inline>
        </w:drawing>
      </w:r>
    </w:p>
    <w:p w14:paraId="18D8B9F6" w14:textId="0D804C29" w:rsidR="007F037E" w:rsidRDefault="00F84781" w:rsidP="002D6EC1">
      <w:pPr>
        <w:pStyle w:val="Heading2"/>
      </w:pPr>
      <w:r>
        <w:t>Final Model</w:t>
      </w:r>
      <w:bookmarkEnd w:id="16"/>
      <w:bookmarkEnd w:id="17"/>
    </w:p>
    <w:p w14:paraId="77A98F93" w14:textId="472B7AE0" w:rsidR="0006272C" w:rsidRPr="00F84781" w:rsidRDefault="00DC6B00" w:rsidP="002D6EC1">
      <w:pPr>
        <w:tabs>
          <w:tab w:val="clear" w:pos="3068"/>
        </w:tabs>
      </w:pPr>
      <w:r>
        <w:t xml:space="preserve">Ultimately for the final model, the </w:t>
      </w:r>
      <w:r w:rsidR="00836256">
        <w:t>Bagging</w:t>
      </w:r>
      <w:r>
        <w:t xml:space="preserve"> Ensemble proved that it showed overall the best </w:t>
      </w:r>
      <w:r w:rsidR="00836256">
        <w:t>performance for the minority classification</w:t>
      </w:r>
      <w:r>
        <w:t xml:space="preserve">. </w:t>
      </w:r>
    </w:p>
    <w:p w14:paraId="4C29A21B" w14:textId="09B80D29" w:rsidR="00FB20D0" w:rsidRPr="00E96638" w:rsidRDefault="00FB20D0" w:rsidP="002D6EC1">
      <w:pPr>
        <w:tabs>
          <w:tab w:val="clear" w:pos="3068"/>
        </w:tabs>
        <w:jc w:val="right"/>
      </w:pPr>
      <w:r>
        <w:t>(3)</w:t>
      </w:r>
    </w:p>
    <w:p w14:paraId="0E594364" w14:textId="77777777" w:rsidR="00B40BBE" w:rsidRPr="00FA75AB" w:rsidRDefault="00B40BBE" w:rsidP="002D6EC1">
      <w:pPr>
        <w:pStyle w:val="Heading1"/>
      </w:pPr>
      <w:bookmarkStart w:id="18" w:name="_Toc99544079"/>
      <w:bookmarkStart w:id="19" w:name="_Toc99544458"/>
      <w:r w:rsidRPr="00FA75AB">
        <w:t>Discussion</w:t>
      </w:r>
      <w:bookmarkEnd w:id="18"/>
      <w:bookmarkEnd w:id="19"/>
    </w:p>
    <w:p w14:paraId="06D16AFD" w14:textId="3AC3276D" w:rsidR="00224BBD" w:rsidRDefault="00224BBD" w:rsidP="002D6EC1">
      <w:pPr>
        <w:pStyle w:val="Heading2"/>
      </w:pPr>
      <w:bookmarkStart w:id="20" w:name="_Toc99544081"/>
      <w:bookmarkStart w:id="21" w:name="_Toc99544460"/>
      <w:r>
        <w:t>Conclusion</w:t>
      </w:r>
      <w:bookmarkEnd w:id="20"/>
      <w:bookmarkEnd w:id="21"/>
      <w:r>
        <w:t xml:space="preserve"> </w:t>
      </w:r>
    </w:p>
    <w:p w14:paraId="6099C96E" w14:textId="19F1358D" w:rsidR="00224BBD" w:rsidRPr="006263EB" w:rsidRDefault="003B4A7C" w:rsidP="006263EB">
      <w:r>
        <w:lastRenderedPageBreak/>
        <w:t xml:space="preserve">Although the data for the COVID classification consisted of only one year, there was enough of a difference in student performance to allow recognizable patterns </w:t>
      </w:r>
      <w:r w:rsidR="007F4999">
        <w:t>to be</w:t>
      </w:r>
      <w:r>
        <w:t xml:space="preserve"> found by some ensemble classifiers that exceeded the </w:t>
      </w:r>
      <w:r w:rsidR="007F4999">
        <w:t>minimum accuracy requirement of 75%</w:t>
      </w:r>
      <w:r>
        <w:t>. This can provide insights into future analysis of student performance with the added use of technology in school</w:t>
      </w:r>
      <w:r w:rsidR="003532E4">
        <w:t>s</w:t>
      </w:r>
      <w:r>
        <w:t xml:space="preserve"> which will help students work from home and make up work easier than in the Pre-COVID era. Furthermore, perhaps predictive analytics can assert future behaviors in the post-pandemic era and find correlations yet to be seen in performance and the events of the COVID timeframe not currently available in the dataset used in this study.</w:t>
      </w:r>
    </w:p>
    <w:p w14:paraId="3697B054" w14:textId="77777777" w:rsidR="00B40BBE" w:rsidRPr="00FA75AB" w:rsidRDefault="00B40BBE" w:rsidP="004E6B89">
      <w:pPr>
        <w:tabs>
          <w:tab w:val="clear" w:pos="3068"/>
        </w:tabs>
        <w:ind w:firstLine="0"/>
        <w:rPr>
          <w:rFonts w:asciiTheme="minorHAnsi" w:hAnsiTheme="minorHAnsi" w:cstheme="minorHAnsi"/>
          <w:szCs w:val="22"/>
        </w:rPr>
      </w:pPr>
      <w:r w:rsidRPr="00FA75AB">
        <w:rPr>
          <w:rFonts w:asciiTheme="minorHAnsi" w:hAnsiTheme="minorHAnsi" w:cstheme="minorHAnsi"/>
          <w:szCs w:val="22"/>
        </w:rPr>
        <w:br w:type="page"/>
      </w:r>
    </w:p>
    <w:p w14:paraId="745469F1" w14:textId="77777777" w:rsidR="00B40BBE" w:rsidRPr="00FA75AB" w:rsidRDefault="00B40BBE" w:rsidP="00CC186E">
      <w:pPr>
        <w:pStyle w:val="Heading1"/>
      </w:pPr>
      <w:bookmarkStart w:id="22" w:name="_Toc99544083"/>
      <w:bookmarkStart w:id="23" w:name="_Toc99544462"/>
      <w:r w:rsidRPr="00FA75AB">
        <w:lastRenderedPageBreak/>
        <w:t>References</w:t>
      </w:r>
      <w:bookmarkEnd w:id="22"/>
      <w:bookmarkEnd w:id="23"/>
    </w:p>
    <w:p w14:paraId="617BF3DF" w14:textId="54E16503" w:rsidR="00B70D78" w:rsidRDefault="00B70D78" w:rsidP="00F0674E">
      <w:pPr>
        <w:pStyle w:val="NormalWeb"/>
        <w:spacing w:line="480" w:lineRule="auto"/>
        <w:ind w:left="720" w:hanging="720"/>
        <w:rPr>
          <w:rFonts w:asciiTheme="minorHAnsi" w:hAnsiTheme="minorHAnsi" w:cstheme="minorHAnsi"/>
          <w:sz w:val="22"/>
          <w:szCs w:val="22"/>
        </w:rPr>
      </w:pPr>
      <w:r w:rsidRPr="00B70D78">
        <w:rPr>
          <w:rFonts w:asciiTheme="minorHAnsi" w:hAnsiTheme="minorHAnsi" w:cstheme="minorHAnsi"/>
          <w:sz w:val="22"/>
          <w:szCs w:val="22"/>
        </w:rPr>
        <w:t xml:space="preserve">Larose, C., &amp; Larose, D. (2019). </w:t>
      </w:r>
      <w:r w:rsidRPr="00B70D78">
        <w:rPr>
          <w:rFonts w:asciiTheme="minorHAnsi" w:hAnsiTheme="minorHAnsi" w:cstheme="minorHAnsi"/>
          <w:i/>
          <w:iCs/>
          <w:sz w:val="22"/>
          <w:szCs w:val="22"/>
        </w:rPr>
        <w:t>Data Science Using Python and R</w:t>
      </w:r>
      <w:r w:rsidRPr="00B70D78">
        <w:rPr>
          <w:rFonts w:asciiTheme="minorHAnsi" w:hAnsiTheme="minorHAnsi" w:cstheme="minorHAnsi"/>
          <w:sz w:val="22"/>
          <w:szCs w:val="22"/>
        </w:rPr>
        <w:t>. John Wiley &amp; Sons, Inc.</w:t>
      </w:r>
    </w:p>
    <w:p w14:paraId="67D04F0B" w14:textId="77777777" w:rsidR="0080798F" w:rsidRDefault="000F7A74" w:rsidP="0080798F">
      <w:pPr>
        <w:pStyle w:val="NormalWeb"/>
        <w:spacing w:line="480" w:lineRule="auto"/>
        <w:ind w:left="720" w:hanging="720"/>
        <w:rPr>
          <w:rFonts w:asciiTheme="minorHAnsi" w:hAnsiTheme="minorHAnsi" w:cstheme="minorHAnsi"/>
          <w:sz w:val="22"/>
          <w:szCs w:val="22"/>
        </w:rPr>
      </w:pPr>
      <w:r w:rsidRPr="00B70D78">
        <w:rPr>
          <w:rFonts w:asciiTheme="minorHAnsi" w:hAnsiTheme="minorHAnsi" w:cstheme="minorHAnsi"/>
          <w:sz w:val="22"/>
          <w:szCs w:val="22"/>
        </w:rPr>
        <w:t xml:space="preserve">Tan, P.N., Steinback, M., Karpatne, A., Kumar, V. (2019). </w:t>
      </w:r>
      <w:r w:rsidRPr="00B70D78">
        <w:rPr>
          <w:rStyle w:val="Emphasis"/>
          <w:rFonts w:asciiTheme="minorHAnsi" w:hAnsiTheme="minorHAnsi" w:cstheme="minorHAnsi"/>
          <w:sz w:val="22"/>
          <w:szCs w:val="22"/>
        </w:rPr>
        <w:t>Introduction to Data Mining, 2nd Edition</w:t>
      </w:r>
      <w:r w:rsidRPr="00B70D78">
        <w:rPr>
          <w:rFonts w:asciiTheme="minorHAnsi" w:hAnsiTheme="minorHAnsi" w:cstheme="minorHAnsi"/>
          <w:sz w:val="22"/>
          <w:szCs w:val="22"/>
        </w:rPr>
        <w:t>. Pearson Educati</w:t>
      </w:r>
      <w:r w:rsidR="007A6742" w:rsidRPr="00B70D78">
        <w:rPr>
          <w:rFonts w:asciiTheme="minorHAnsi" w:hAnsiTheme="minorHAnsi" w:cstheme="minorHAnsi"/>
          <w:sz w:val="22"/>
          <w:szCs w:val="22"/>
        </w:rPr>
        <w:t>on.</w:t>
      </w:r>
    </w:p>
    <w:p w14:paraId="1B489709" w14:textId="79CDD0CD" w:rsidR="00BA08E9" w:rsidRPr="0080798F" w:rsidRDefault="00270B69" w:rsidP="0080798F">
      <w:pPr>
        <w:pStyle w:val="NormalWeb"/>
        <w:spacing w:line="480" w:lineRule="auto"/>
        <w:ind w:left="720" w:hanging="720"/>
        <w:rPr>
          <w:rFonts w:asciiTheme="minorHAnsi" w:hAnsiTheme="minorHAnsi" w:cstheme="minorHAnsi"/>
          <w:sz w:val="22"/>
          <w:szCs w:val="22"/>
        </w:rPr>
      </w:pPr>
      <w:r>
        <w:rPr>
          <w:rFonts w:asciiTheme="minorHAnsi" w:hAnsiTheme="minorHAnsi" w:cstheme="minorHAnsi"/>
          <w:szCs w:val="22"/>
        </w:rPr>
        <w:t>New York State Education</w:t>
      </w:r>
      <w:r w:rsidR="0018780F">
        <w:rPr>
          <w:rFonts w:asciiTheme="minorHAnsi" w:hAnsiTheme="minorHAnsi" w:cstheme="minorHAnsi"/>
          <w:szCs w:val="22"/>
        </w:rPr>
        <w:t xml:space="preserve"> Department</w:t>
      </w:r>
      <w:r>
        <w:rPr>
          <w:rFonts w:asciiTheme="minorHAnsi" w:hAnsiTheme="minorHAnsi" w:cstheme="minorHAnsi"/>
          <w:szCs w:val="22"/>
        </w:rPr>
        <w:t>. (</w:t>
      </w:r>
      <w:r w:rsidR="00BA08E9">
        <w:rPr>
          <w:rFonts w:asciiTheme="minorHAnsi" w:hAnsiTheme="minorHAnsi" w:cstheme="minorHAnsi"/>
          <w:szCs w:val="22"/>
        </w:rPr>
        <w:t>2018-2021</w:t>
      </w:r>
      <w:r w:rsidR="0016435D">
        <w:rPr>
          <w:rFonts w:asciiTheme="minorHAnsi" w:hAnsiTheme="minorHAnsi" w:cstheme="minorHAnsi"/>
          <w:szCs w:val="22"/>
        </w:rPr>
        <w:t xml:space="preserve">). </w:t>
      </w:r>
      <w:r w:rsidR="00BA08E9">
        <w:rPr>
          <w:rFonts w:asciiTheme="minorHAnsi" w:hAnsiTheme="minorHAnsi" w:cstheme="minorHAnsi"/>
          <w:i/>
          <w:iCs/>
          <w:szCs w:val="22"/>
        </w:rPr>
        <w:t>Graduation Rates</w:t>
      </w:r>
      <w:r w:rsidR="0018780F">
        <w:rPr>
          <w:rFonts w:asciiTheme="minorHAnsi" w:hAnsiTheme="minorHAnsi" w:cstheme="minorHAnsi"/>
          <w:szCs w:val="22"/>
        </w:rPr>
        <w:t>.</w:t>
      </w:r>
      <w:r w:rsidR="00EB73F0">
        <w:rPr>
          <w:rFonts w:asciiTheme="minorHAnsi" w:hAnsiTheme="minorHAnsi" w:cstheme="minorHAnsi"/>
          <w:szCs w:val="22"/>
        </w:rPr>
        <w:t xml:space="preserve"> Retrieved </w:t>
      </w:r>
      <w:r w:rsidR="00744501">
        <w:rPr>
          <w:rFonts w:asciiTheme="minorHAnsi" w:hAnsiTheme="minorHAnsi" w:cstheme="minorHAnsi"/>
          <w:szCs w:val="22"/>
        </w:rPr>
        <w:t>March 11, 2022.</w:t>
      </w:r>
      <w:r w:rsidR="0018780F">
        <w:rPr>
          <w:rFonts w:asciiTheme="minorHAnsi" w:hAnsiTheme="minorHAnsi" w:cstheme="minorHAnsi"/>
          <w:szCs w:val="22"/>
        </w:rPr>
        <w:t xml:space="preserve"> </w:t>
      </w:r>
      <w:hyperlink r:id="rId13" w:history="1">
        <w:r w:rsidR="0018780F" w:rsidRPr="00707E42">
          <w:rPr>
            <w:rStyle w:val="Hyperlink"/>
            <w:rFonts w:asciiTheme="minorHAnsi" w:hAnsiTheme="minorHAnsi" w:cstheme="minorHAnsi"/>
            <w:szCs w:val="22"/>
          </w:rPr>
          <w:t>https://data.nysed.gov/downloads.php</w:t>
        </w:r>
      </w:hyperlink>
    </w:p>
    <w:p w14:paraId="2E3376BF" w14:textId="55C6D944" w:rsidR="00F0674E" w:rsidRDefault="00B3201D" w:rsidP="00833090">
      <w:pPr>
        <w:ind w:left="720" w:hanging="720"/>
        <w:rPr>
          <w:rFonts w:asciiTheme="minorHAnsi" w:hAnsiTheme="minorHAnsi" w:cstheme="minorHAnsi"/>
          <w:szCs w:val="22"/>
        </w:rPr>
      </w:pPr>
      <w:r>
        <w:rPr>
          <w:rFonts w:asciiTheme="minorHAnsi" w:hAnsiTheme="minorHAnsi" w:cstheme="minorHAnsi"/>
          <w:szCs w:val="22"/>
        </w:rPr>
        <w:t>Friedman, J., York, H., Mokdad</w:t>
      </w:r>
      <w:r w:rsidR="00F357C2">
        <w:rPr>
          <w:rFonts w:asciiTheme="minorHAnsi" w:hAnsiTheme="minorHAnsi" w:cstheme="minorHAnsi"/>
          <w:szCs w:val="22"/>
        </w:rPr>
        <w:t xml:space="preserve">, A. H. (February 17, 2021). </w:t>
      </w:r>
      <w:r w:rsidR="00F357C2" w:rsidRPr="0080798F">
        <w:rPr>
          <w:rFonts w:asciiTheme="minorHAnsi" w:hAnsiTheme="minorHAnsi" w:cstheme="minorHAnsi"/>
          <w:i/>
          <w:iCs/>
          <w:szCs w:val="22"/>
        </w:rPr>
        <w:t>U.S. Children “Learning Online” during COVID-19 without the Internet or a Computer: Visualizing the Gradient by Race/Ethnicity and Prental Educational Attainment</w:t>
      </w:r>
      <w:r w:rsidR="00F357C2">
        <w:rPr>
          <w:rFonts w:asciiTheme="minorHAnsi" w:hAnsiTheme="minorHAnsi" w:cstheme="minorHAnsi"/>
          <w:szCs w:val="22"/>
        </w:rPr>
        <w:t xml:space="preserve">. </w:t>
      </w:r>
      <w:r w:rsidR="006771DF">
        <w:rPr>
          <w:rFonts w:asciiTheme="minorHAnsi" w:hAnsiTheme="minorHAnsi" w:cstheme="minorHAnsi"/>
          <w:szCs w:val="22"/>
        </w:rPr>
        <w:t xml:space="preserve">SAGE journals. </w:t>
      </w:r>
      <w:hyperlink r:id="rId14" w:history="1">
        <w:r w:rsidR="006771DF">
          <w:rPr>
            <w:rStyle w:val="Hyperlink"/>
          </w:rPr>
          <w:t>https://doi.org/10.1177/2378023121992607</w:t>
        </w:r>
      </w:hyperlink>
    </w:p>
    <w:p w14:paraId="0194EA0A" w14:textId="77777777" w:rsidR="00833090" w:rsidRDefault="00833090" w:rsidP="00833090">
      <w:pPr>
        <w:ind w:left="720" w:hanging="720"/>
        <w:rPr>
          <w:rFonts w:asciiTheme="minorHAnsi" w:hAnsiTheme="minorHAnsi" w:cstheme="minorHAnsi"/>
          <w:szCs w:val="22"/>
        </w:rPr>
      </w:pPr>
    </w:p>
    <w:p w14:paraId="3B3DF846" w14:textId="77777777" w:rsidR="00AC1E64" w:rsidRDefault="00AC1E64" w:rsidP="004C2528">
      <w:pPr>
        <w:ind w:firstLine="0"/>
        <w:rPr>
          <w:rFonts w:asciiTheme="minorHAnsi" w:hAnsiTheme="minorHAnsi" w:cstheme="minorHAnsi"/>
          <w:szCs w:val="22"/>
        </w:rPr>
      </w:pPr>
    </w:p>
    <w:p w14:paraId="65310D03" w14:textId="77777777" w:rsidR="0018780F" w:rsidRDefault="0018780F" w:rsidP="004C2528">
      <w:pPr>
        <w:ind w:firstLine="0"/>
        <w:rPr>
          <w:rFonts w:asciiTheme="minorHAnsi" w:hAnsiTheme="minorHAnsi" w:cstheme="minorHAnsi"/>
          <w:szCs w:val="22"/>
        </w:rPr>
      </w:pPr>
    </w:p>
    <w:sectPr w:rsidR="0018780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E809" w14:textId="77777777" w:rsidR="007F4BC8" w:rsidRDefault="007F4BC8" w:rsidP="00E102C3">
      <w:r>
        <w:separator/>
      </w:r>
    </w:p>
    <w:p w14:paraId="3AD274BE" w14:textId="77777777" w:rsidR="007F4BC8" w:rsidRDefault="007F4BC8" w:rsidP="00E102C3"/>
  </w:endnote>
  <w:endnote w:type="continuationSeparator" w:id="0">
    <w:p w14:paraId="327DB927" w14:textId="77777777" w:rsidR="007F4BC8" w:rsidRDefault="007F4BC8" w:rsidP="00E102C3">
      <w:r>
        <w:continuationSeparator/>
      </w:r>
    </w:p>
    <w:p w14:paraId="1C34E1EA" w14:textId="77777777" w:rsidR="007F4BC8" w:rsidRDefault="007F4BC8"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07CF" w14:textId="77777777" w:rsidR="007F4BC8" w:rsidRDefault="007F4BC8" w:rsidP="00E102C3">
      <w:r>
        <w:separator/>
      </w:r>
    </w:p>
    <w:p w14:paraId="21D1901B" w14:textId="77777777" w:rsidR="007F4BC8" w:rsidRDefault="007F4BC8" w:rsidP="00E102C3"/>
  </w:footnote>
  <w:footnote w:type="continuationSeparator" w:id="0">
    <w:p w14:paraId="21BD310E" w14:textId="77777777" w:rsidR="007F4BC8" w:rsidRDefault="007F4BC8" w:rsidP="00E102C3">
      <w:r>
        <w:continuationSeparator/>
      </w:r>
    </w:p>
    <w:p w14:paraId="720FAED7" w14:textId="77777777" w:rsidR="007F4BC8" w:rsidRDefault="007F4BC8"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8AD199E" w:rsidR="00EC63D6" w:rsidRPr="00222A35" w:rsidRDefault="00754B88" w:rsidP="00E102C3">
        <w:pPr>
          <w:pStyle w:val="Header"/>
          <w:ind w:firstLine="0"/>
          <w:rPr>
            <w:rFonts w:cs="Calibri"/>
            <w:szCs w:val="22"/>
          </w:rPr>
        </w:pPr>
        <w:r>
          <w:rPr>
            <w:rFonts w:cs="Calibri"/>
            <w:szCs w:val="22"/>
          </w:rPr>
          <w:t>PANDEMIC CLASSIFICATION</w:t>
        </w:r>
        <w:r>
          <w:rPr>
            <w:rFonts w:cs="Calibri"/>
            <w:szCs w:val="22"/>
          </w:rPr>
          <w:tab/>
        </w:r>
        <w:r>
          <w:rPr>
            <w:rFonts w:cs="Calibri"/>
            <w:szCs w:val="22"/>
          </w:rPr>
          <w:tab/>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99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888"/>
    <w:rsid w:val="00001D94"/>
    <w:rsid w:val="00001FE3"/>
    <w:rsid w:val="0001018A"/>
    <w:rsid w:val="0001202E"/>
    <w:rsid w:val="00014B8A"/>
    <w:rsid w:val="000168E4"/>
    <w:rsid w:val="00020835"/>
    <w:rsid w:val="000231C1"/>
    <w:rsid w:val="000236AE"/>
    <w:rsid w:val="00023F33"/>
    <w:rsid w:val="000251D5"/>
    <w:rsid w:val="00026B97"/>
    <w:rsid w:val="0002799C"/>
    <w:rsid w:val="00037A08"/>
    <w:rsid w:val="00040662"/>
    <w:rsid w:val="00041633"/>
    <w:rsid w:val="00046B25"/>
    <w:rsid w:val="00051674"/>
    <w:rsid w:val="00051950"/>
    <w:rsid w:val="0005367B"/>
    <w:rsid w:val="00053757"/>
    <w:rsid w:val="000618B1"/>
    <w:rsid w:val="0006272C"/>
    <w:rsid w:val="00063424"/>
    <w:rsid w:val="00073180"/>
    <w:rsid w:val="00076281"/>
    <w:rsid w:val="000767ED"/>
    <w:rsid w:val="000776D6"/>
    <w:rsid w:val="000777A1"/>
    <w:rsid w:val="0008031E"/>
    <w:rsid w:val="0008149A"/>
    <w:rsid w:val="00093DBE"/>
    <w:rsid w:val="0009623B"/>
    <w:rsid w:val="000A158D"/>
    <w:rsid w:val="000A2667"/>
    <w:rsid w:val="000A4269"/>
    <w:rsid w:val="000A5A29"/>
    <w:rsid w:val="000A7152"/>
    <w:rsid w:val="000B3646"/>
    <w:rsid w:val="000B399D"/>
    <w:rsid w:val="000B4A29"/>
    <w:rsid w:val="000B6D4D"/>
    <w:rsid w:val="000B73E7"/>
    <w:rsid w:val="000C320E"/>
    <w:rsid w:val="000D233D"/>
    <w:rsid w:val="000E052A"/>
    <w:rsid w:val="000E0616"/>
    <w:rsid w:val="000E1C65"/>
    <w:rsid w:val="000E4646"/>
    <w:rsid w:val="000F0C12"/>
    <w:rsid w:val="000F7A74"/>
    <w:rsid w:val="00100AF7"/>
    <w:rsid w:val="00103A39"/>
    <w:rsid w:val="00104042"/>
    <w:rsid w:val="00107B65"/>
    <w:rsid w:val="0011470C"/>
    <w:rsid w:val="00120A65"/>
    <w:rsid w:val="00125D7B"/>
    <w:rsid w:val="001263C3"/>
    <w:rsid w:val="00126521"/>
    <w:rsid w:val="00127277"/>
    <w:rsid w:val="00132939"/>
    <w:rsid w:val="001454F8"/>
    <w:rsid w:val="00146524"/>
    <w:rsid w:val="001474C1"/>
    <w:rsid w:val="001567DE"/>
    <w:rsid w:val="0015762B"/>
    <w:rsid w:val="00160D70"/>
    <w:rsid w:val="0016243A"/>
    <w:rsid w:val="0016435D"/>
    <w:rsid w:val="00167F5B"/>
    <w:rsid w:val="0017154C"/>
    <w:rsid w:val="001736D9"/>
    <w:rsid w:val="00176304"/>
    <w:rsid w:val="00180DDB"/>
    <w:rsid w:val="00185792"/>
    <w:rsid w:val="0018780F"/>
    <w:rsid w:val="001A1156"/>
    <w:rsid w:val="001A6792"/>
    <w:rsid w:val="001B1FCA"/>
    <w:rsid w:val="001B4874"/>
    <w:rsid w:val="001B62DB"/>
    <w:rsid w:val="001C2344"/>
    <w:rsid w:val="001C3E4A"/>
    <w:rsid w:val="001D0A92"/>
    <w:rsid w:val="001D1CEB"/>
    <w:rsid w:val="001D2803"/>
    <w:rsid w:val="001D5946"/>
    <w:rsid w:val="001D7F11"/>
    <w:rsid w:val="001E48ED"/>
    <w:rsid w:val="001E506A"/>
    <w:rsid w:val="001E5547"/>
    <w:rsid w:val="001E7FA9"/>
    <w:rsid w:val="001F1926"/>
    <w:rsid w:val="001F209D"/>
    <w:rsid w:val="001F4777"/>
    <w:rsid w:val="001F5E3E"/>
    <w:rsid w:val="00201184"/>
    <w:rsid w:val="00203AA4"/>
    <w:rsid w:val="00206335"/>
    <w:rsid w:val="00213D88"/>
    <w:rsid w:val="0021772D"/>
    <w:rsid w:val="002206DD"/>
    <w:rsid w:val="002214AB"/>
    <w:rsid w:val="00221D40"/>
    <w:rsid w:val="00222A35"/>
    <w:rsid w:val="002239D5"/>
    <w:rsid w:val="00223F0B"/>
    <w:rsid w:val="00224BBD"/>
    <w:rsid w:val="002272D2"/>
    <w:rsid w:val="00235425"/>
    <w:rsid w:val="0023587F"/>
    <w:rsid w:val="00236E04"/>
    <w:rsid w:val="00237BE9"/>
    <w:rsid w:val="00240213"/>
    <w:rsid w:val="00241348"/>
    <w:rsid w:val="00242760"/>
    <w:rsid w:val="00242781"/>
    <w:rsid w:val="002443EB"/>
    <w:rsid w:val="00245D7B"/>
    <w:rsid w:val="002475AB"/>
    <w:rsid w:val="00250722"/>
    <w:rsid w:val="00251369"/>
    <w:rsid w:val="00253A73"/>
    <w:rsid w:val="00255070"/>
    <w:rsid w:val="00256DDB"/>
    <w:rsid w:val="00257AED"/>
    <w:rsid w:val="00263541"/>
    <w:rsid w:val="0026411D"/>
    <w:rsid w:val="002666FB"/>
    <w:rsid w:val="00270B69"/>
    <w:rsid w:val="00272343"/>
    <w:rsid w:val="00272819"/>
    <w:rsid w:val="0027560E"/>
    <w:rsid w:val="00276241"/>
    <w:rsid w:val="00281C41"/>
    <w:rsid w:val="00285812"/>
    <w:rsid w:val="002902A0"/>
    <w:rsid w:val="00290C63"/>
    <w:rsid w:val="0029125E"/>
    <w:rsid w:val="00292526"/>
    <w:rsid w:val="002A6CEF"/>
    <w:rsid w:val="002B1A5F"/>
    <w:rsid w:val="002B5784"/>
    <w:rsid w:val="002C18D1"/>
    <w:rsid w:val="002C1B06"/>
    <w:rsid w:val="002C250B"/>
    <w:rsid w:val="002C5160"/>
    <w:rsid w:val="002D0CC2"/>
    <w:rsid w:val="002D47A5"/>
    <w:rsid w:val="002D4BC8"/>
    <w:rsid w:val="002D6EC1"/>
    <w:rsid w:val="002E0C27"/>
    <w:rsid w:val="002E3C15"/>
    <w:rsid w:val="002E4FFA"/>
    <w:rsid w:val="002E7469"/>
    <w:rsid w:val="002F5057"/>
    <w:rsid w:val="002F7030"/>
    <w:rsid w:val="0030079F"/>
    <w:rsid w:val="00300FCE"/>
    <w:rsid w:val="00301705"/>
    <w:rsid w:val="00304AE7"/>
    <w:rsid w:val="00304B3B"/>
    <w:rsid w:val="00304FD1"/>
    <w:rsid w:val="003060E5"/>
    <w:rsid w:val="00322A54"/>
    <w:rsid w:val="00332CAD"/>
    <w:rsid w:val="00340295"/>
    <w:rsid w:val="00342C89"/>
    <w:rsid w:val="003446B8"/>
    <w:rsid w:val="00346727"/>
    <w:rsid w:val="00352FDA"/>
    <w:rsid w:val="0035315E"/>
    <w:rsid w:val="003532E4"/>
    <w:rsid w:val="00356489"/>
    <w:rsid w:val="00357698"/>
    <w:rsid w:val="003646B7"/>
    <w:rsid w:val="003649CB"/>
    <w:rsid w:val="00364F09"/>
    <w:rsid w:val="00365ACF"/>
    <w:rsid w:val="003667F0"/>
    <w:rsid w:val="00367B08"/>
    <w:rsid w:val="0037016A"/>
    <w:rsid w:val="00370C14"/>
    <w:rsid w:val="00372B4F"/>
    <w:rsid w:val="00374868"/>
    <w:rsid w:val="00374BC3"/>
    <w:rsid w:val="00377281"/>
    <w:rsid w:val="003772DF"/>
    <w:rsid w:val="00384803"/>
    <w:rsid w:val="00387527"/>
    <w:rsid w:val="00395AAB"/>
    <w:rsid w:val="00395CD1"/>
    <w:rsid w:val="00395F18"/>
    <w:rsid w:val="00396496"/>
    <w:rsid w:val="00396819"/>
    <w:rsid w:val="003A6E02"/>
    <w:rsid w:val="003A71C8"/>
    <w:rsid w:val="003B1940"/>
    <w:rsid w:val="003B2CED"/>
    <w:rsid w:val="003B4A7C"/>
    <w:rsid w:val="003B50E8"/>
    <w:rsid w:val="003B6EA0"/>
    <w:rsid w:val="003C2C76"/>
    <w:rsid w:val="003C2D59"/>
    <w:rsid w:val="003C4289"/>
    <w:rsid w:val="003C5C48"/>
    <w:rsid w:val="003D1558"/>
    <w:rsid w:val="003D1A6A"/>
    <w:rsid w:val="003D1D42"/>
    <w:rsid w:val="003D36E7"/>
    <w:rsid w:val="003D46E6"/>
    <w:rsid w:val="003D6131"/>
    <w:rsid w:val="003E0049"/>
    <w:rsid w:val="003E7C8E"/>
    <w:rsid w:val="003F1DC5"/>
    <w:rsid w:val="003F79CB"/>
    <w:rsid w:val="0040369C"/>
    <w:rsid w:val="00403B31"/>
    <w:rsid w:val="00405FF0"/>
    <w:rsid w:val="0040672C"/>
    <w:rsid w:val="00412677"/>
    <w:rsid w:val="00413473"/>
    <w:rsid w:val="004157B8"/>
    <w:rsid w:val="00416392"/>
    <w:rsid w:val="004172EC"/>
    <w:rsid w:val="004222E1"/>
    <w:rsid w:val="0042327D"/>
    <w:rsid w:val="00427025"/>
    <w:rsid w:val="004331AF"/>
    <w:rsid w:val="004340E0"/>
    <w:rsid w:val="0044277D"/>
    <w:rsid w:val="00446109"/>
    <w:rsid w:val="00451864"/>
    <w:rsid w:val="004518C8"/>
    <w:rsid w:val="0045315D"/>
    <w:rsid w:val="00454CF2"/>
    <w:rsid w:val="00456FD0"/>
    <w:rsid w:val="004610DC"/>
    <w:rsid w:val="00462C74"/>
    <w:rsid w:val="004633E8"/>
    <w:rsid w:val="00463AC3"/>
    <w:rsid w:val="00464CDF"/>
    <w:rsid w:val="00465AD4"/>
    <w:rsid w:val="00471AAC"/>
    <w:rsid w:val="00476119"/>
    <w:rsid w:val="00477945"/>
    <w:rsid w:val="0048046C"/>
    <w:rsid w:val="00482A40"/>
    <w:rsid w:val="00483225"/>
    <w:rsid w:val="00484F68"/>
    <w:rsid w:val="00486B99"/>
    <w:rsid w:val="004920B3"/>
    <w:rsid w:val="00493609"/>
    <w:rsid w:val="004A157A"/>
    <w:rsid w:val="004A3E8C"/>
    <w:rsid w:val="004A412E"/>
    <w:rsid w:val="004A5C39"/>
    <w:rsid w:val="004A63A3"/>
    <w:rsid w:val="004B1595"/>
    <w:rsid w:val="004B20CE"/>
    <w:rsid w:val="004B274A"/>
    <w:rsid w:val="004B4A5B"/>
    <w:rsid w:val="004C2528"/>
    <w:rsid w:val="004C339D"/>
    <w:rsid w:val="004C553F"/>
    <w:rsid w:val="004C5979"/>
    <w:rsid w:val="004D01F1"/>
    <w:rsid w:val="004D2709"/>
    <w:rsid w:val="004D4DC0"/>
    <w:rsid w:val="004D5187"/>
    <w:rsid w:val="004D673C"/>
    <w:rsid w:val="004D6781"/>
    <w:rsid w:val="004D7B2B"/>
    <w:rsid w:val="004E1595"/>
    <w:rsid w:val="004E6B89"/>
    <w:rsid w:val="004F377C"/>
    <w:rsid w:val="004F6394"/>
    <w:rsid w:val="004F63CE"/>
    <w:rsid w:val="0050036C"/>
    <w:rsid w:val="0050080C"/>
    <w:rsid w:val="005035B2"/>
    <w:rsid w:val="005069C6"/>
    <w:rsid w:val="00513AE6"/>
    <w:rsid w:val="00515F36"/>
    <w:rsid w:val="00516026"/>
    <w:rsid w:val="0051642E"/>
    <w:rsid w:val="00516CF1"/>
    <w:rsid w:val="005204CB"/>
    <w:rsid w:val="00520B4B"/>
    <w:rsid w:val="005240D1"/>
    <w:rsid w:val="00536E7C"/>
    <w:rsid w:val="005444C9"/>
    <w:rsid w:val="0055789F"/>
    <w:rsid w:val="0056214C"/>
    <w:rsid w:val="00564429"/>
    <w:rsid w:val="005648A5"/>
    <w:rsid w:val="00564FB2"/>
    <w:rsid w:val="0056558E"/>
    <w:rsid w:val="005663F0"/>
    <w:rsid w:val="005723E6"/>
    <w:rsid w:val="005733AC"/>
    <w:rsid w:val="0057470B"/>
    <w:rsid w:val="00574CBF"/>
    <w:rsid w:val="00577BF7"/>
    <w:rsid w:val="00582191"/>
    <w:rsid w:val="0058440E"/>
    <w:rsid w:val="0058682D"/>
    <w:rsid w:val="00587F16"/>
    <w:rsid w:val="0059000F"/>
    <w:rsid w:val="005922A9"/>
    <w:rsid w:val="005A4FC7"/>
    <w:rsid w:val="005A6036"/>
    <w:rsid w:val="005B1320"/>
    <w:rsid w:val="005C4840"/>
    <w:rsid w:val="005D324E"/>
    <w:rsid w:val="005D37EE"/>
    <w:rsid w:val="005D4500"/>
    <w:rsid w:val="005D5ADF"/>
    <w:rsid w:val="005D5F0F"/>
    <w:rsid w:val="005D60B7"/>
    <w:rsid w:val="005F31A2"/>
    <w:rsid w:val="005F3C5F"/>
    <w:rsid w:val="005F5428"/>
    <w:rsid w:val="005F6EF2"/>
    <w:rsid w:val="00602AC0"/>
    <w:rsid w:val="00602AD5"/>
    <w:rsid w:val="00605E2C"/>
    <w:rsid w:val="00606AFB"/>
    <w:rsid w:val="006102E6"/>
    <w:rsid w:val="006110AB"/>
    <w:rsid w:val="006117B0"/>
    <w:rsid w:val="00611E10"/>
    <w:rsid w:val="00612C55"/>
    <w:rsid w:val="00613522"/>
    <w:rsid w:val="00616377"/>
    <w:rsid w:val="006179F7"/>
    <w:rsid w:val="00617A4C"/>
    <w:rsid w:val="00621BCA"/>
    <w:rsid w:val="006263EB"/>
    <w:rsid w:val="006274E0"/>
    <w:rsid w:val="006428A4"/>
    <w:rsid w:val="00643113"/>
    <w:rsid w:val="0064571C"/>
    <w:rsid w:val="006466C1"/>
    <w:rsid w:val="00650457"/>
    <w:rsid w:val="006572C6"/>
    <w:rsid w:val="00660C2D"/>
    <w:rsid w:val="00660C5F"/>
    <w:rsid w:val="00666591"/>
    <w:rsid w:val="00671E9A"/>
    <w:rsid w:val="006771DF"/>
    <w:rsid w:val="00680F49"/>
    <w:rsid w:val="00685848"/>
    <w:rsid w:val="00694202"/>
    <w:rsid w:val="00695178"/>
    <w:rsid w:val="006A474F"/>
    <w:rsid w:val="006A5053"/>
    <w:rsid w:val="006A6011"/>
    <w:rsid w:val="006B5D5F"/>
    <w:rsid w:val="006B657A"/>
    <w:rsid w:val="006C0D4C"/>
    <w:rsid w:val="006C1DE7"/>
    <w:rsid w:val="006C2D17"/>
    <w:rsid w:val="006C57D3"/>
    <w:rsid w:val="006C75DB"/>
    <w:rsid w:val="006D475F"/>
    <w:rsid w:val="006D70C8"/>
    <w:rsid w:val="006E2EC8"/>
    <w:rsid w:val="006E7E44"/>
    <w:rsid w:val="006F0E97"/>
    <w:rsid w:val="006F1479"/>
    <w:rsid w:val="006F405D"/>
    <w:rsid w:val="006F48F3"/>
    <w:rsid w:val="006F71A9"/>
    <w:rsid w:val="006F7AD5"/>
    <w:rsid w:val="00700473"/>
    <w:rsid w:val="00711767"/>
    <w:rsid w:val="00711902"/>
    <w:rsid w:val="00714A71"/>
    <w:rsid w:val="00716C00"/>
    <w:rsid w:val="00731573"/>
    <w:rsid w:val="00736896"/>
    <w:rsid w:val="00736BCD"/>
    <w:rsid w:val="00744501"/>
    <w:rsid w:val="00745F44"/>
    <w:rsid w:val="007503EA"/>
    <w:rsid w:val="00750D4C"/>
    <w:rsid w:val="00751883"/>
    <w:rsid w:val="007547A2"/>
    <w:rsid w:val="00754B88"/>
    <w:rsid w:val="0075579A"/>
    <w:rsid w:val="0075716A"/>
    <w:rsid w:val="007617BF"/>
    <w:rsid w:val="00764D6B"/>
    <w:rsid w:val="00766E36"/>
    <w:rsid w:val="007718FC"/>
    <w:rsid w:val="007822DE"/>
    <w:rsid w:val="00783973"/>
    <w:rsid w:val="00786940"/>
    <w:rsid w:val="0079300D"/>
    <w:rsid w:val="00795729"/>
    <w:rsid w:val="007A0AF0"/>
    <w:rsid w:val="007A6742"/>
    <w:rsid w:val="007B02E4"/>
    <w:rsid w:val="007B1738"/>
    <w:rsid w:val="007B2FD5"/>
    <w:rsid w:val="007B30F9"/>
    <w:rsid w:val="007B4C07"/>
    <w:rsid w:val="007B5112"/>
    <w:rsid w:val="007B7C94"/>
    <w:rsid w:val="007C0A3E"/>
    <w:rsid w:val="007C0FB0"/>
    <w:rsid w:val="007C1F20"/>
    <w:rsid w:val="007C2810"/>
    <w:rsid w:val="007C3AF9"/>
    <w:rsid w:val="007C424B"/>
    <w:rsid w:val="007C51FD"/>
    <w:rsid w:val="007D042B"/>
    <w:rsid w:val="007D5AFE"/>
    <w:rsid w:val="007D7C61"/>
    <w:rsid w:val="007E06F4"/>
    <w:rsid w:val="007E17AB"/>
    <w:rsid w:val="007E1C5F"/>
    <w:rsid w:val="007E5A65"/>
    <w:rsid w:val="007E7A3F"/>
    <w:rsid w:val="007F00DF"/>
    <w:rsid w:val="007F037E"/>
    <w:rsid w:val="007F2410"/>
    <w:rsid w:val="007F2E1C"/>
    <w:rsid w:val="007F4999"/>
    <w:rsid w:val="007F4BC8"/>
    <w:rsid w:val="00803343"/>
    <w:rsid w:val="0080798F"/>
    <w:rsid w:val="008104BE"/>
    <w:rsid w:val="00812850"/>
    <w:rsid w:val="00814F8B"/>
    <w:rsid w:val="00815F48"/>
    <w:rsid w:val="008200A6"/>
    <w:rsid w:val="00823773"/>
    <w:rsid w:val="00833090"/>
    <w:rsid w:val="008339B4"/>
    <w:rsid w:val="00836256"/>
    <w:rsid w:val="008372F2"/>
    <w:rsid w:val="008379AD"/>
    <w:rsid w:val="00841793"/>
    <w:rsid w:val="00846398"/>
    <w:rsid w:val="00850342"/>
    <w:rsid w:val="00850E77"/>
    <w:rsid w:val="0085589F"/>
    <w:rsid w:val="00856ABA"/>
    <w:rsid w:val="00856F3C"/>
    <w:rsid w:val="00860780"/>
    <w:rsid w:val="0086153D"/>
    <w:rsid w:val="00861633"/>
    <w:rsid w:val="008711F8"/>
    <w:rsid w:val="00872AED"/>
    <w:rsid w:val="00872E2A"/>
    <w:rsid w:val="00873644"/>
    <w:rsid w:val="00873A2C"/>
    <w:rsid w:val="00874378"/>
    <w:rsid w:val="00876A7A"/>
    <w:rsid w:val="00877738"/>
    <w:rsid w:val="00883CF0"/>
    <w:rsid w:val="00886046"/>
    <w:rsid w:val="00892006"/>
    <w:rsid w:val="0089531A"/>
    <w:rsid w:val="00896E16"/>
    <w:rsid w:val="008A47CC"/>
    <w:rsid w:val="008A49D2"/>
    <w:rsid w:val="008A5269"/>
    <w:rsid w:val="008A58DA"/>
    <w:rsid w:val="008B0E12"/>
    <w:rsid w:val="008B1D8B"/>
    <w:rsid w:val="008B549F"/>
    <w:rsid w:val="008B5C1C"/>
    <w:rsid w:val="008C5386"/>
    <w:rsid w:val="008D2B30"/>
    <w:rsid w:val="008D7F20"/>
    <w:rsid w:val="008E1C9D"/>
    <w:rsid w:val="008E31D5"/>
    <w:rsid w:val="008F5999"/>
    <w:rsid w:val="008F602D"/>
    <w:rsid w:val="00901150"/>
    <w:rsid w:val="00907BDD"/>
    <w:rsid w:val="00910F84"/>
    <w:rsid w:val="00912D59"/>
    <w:rsid w:val="00914AEC"/>
    <w:rsid w:val="00915980"/>
    <w:rsid w:val="00915C21"/>
    <w:rsid w:val="0092273A"/>
    <w:rsid w:val="00925CDD"/>
    <w:rsid w:val="009311E7"/>
    <w:rsid w:val="009528FB"/>
    <w:rsid w:val="00953CFD"/>
    <w:rsid w:val="00954504"/>
    <w:rsid w:val="00954E06"/>
    <w:rsid w:val="00955FD6"/>
    <w:rsid w:val="00956587"/>
    <w:rsid w:val="00957573"/>
    <w:rsid w:val="009603E7"/>
    <w:rsid w:val="00960FC8"/>
    <w:rsid w:val="00962318"/>
    <w:rsid w:val="009638B8"/>
    <w:rsid w:val="00966505"/>
    <w:rsid w:val="0096651A"/>
    <w:rsid w:val="00971B2C"/>
    <w:rsid w:val="00972136"/>
    <w:rsid w:val="00976EB5"/>
    <w:rsid w:val="00984E61"/>
    <w:rsid w:val="00984FDE"/>
    <w:rsid w:val="0098563F"/>
    <w:rsid w:val="00990A73"/>
    <w:rsid w:val="00991B51"/>
    <w:rsid w:val="00994CD1"/>
    <w:rsid w:val="0099506F"/>
    <w:rsid w:val="00995A89"/>
    <w:rsid w:val="009972E0"/>
    <w:rsid w:val="009A4862"/>
    <w:rsid w:val="009A6906"/>
    <w:rsid w:val="009B4F02"/>
    <w:rsid w:val="009B653F"/>
    <w:rsid w:val="009C1697"/>
    <w:rsid w:val="009C4231"/>
    <w:rsid w:val="009C4F05"/>
    <w:rsid w:val="009C55F3"/>
    <w:rsid w:val="009C6AC6"/>
    <w:rsid w:val="009D0F89"/>
    <w:rsid w:val="009D496D"/>
    <w:rsid w:val="009D6702"/>
    <w:rsid w:val="009D79C5"/>
    <w:rsid w:val="009E481B"/>
    <w:rsid w:val="009E6D26"/>
    <w:rsid w:val="009E7A57"/>
    <w:rsid w:val="009F7213"/>
    <w:rsid w:val="00A040D2"/>
    <w:rsid w:val="00A053A9"/>
    <w:rsid w:val="00A12EE8"/>
    <w:rsid w:val="00A22C7D"/>
    <w:rsid w:val="00A230DD"/>
    <w:rsid w:val="00A25CAE"/>
    <w:rsid w:val="00A27D84"/>
    <w:rsid w:val="00A36D61"/>
    <w:rsid w:val="00A376D9"/>
    <w:rsid w:val="00A40EF8"/>
    <w:rsid w:val="00A444DE"/>
    <w:rsid w:val="00A5072E"/>
    <w:rsid w:val="00A53A98"/>
    <w:rsid w:val="00A63695"/>
    <w:rsid w:val="00A66E09"/>
    <w:rsid w:val="00A67013"/>
    <w:rsid w:val="00A7106C"/>
    <w:rsid w:val="00A76DCB"/>
    <w:rsid w:val="00A80790"/>
    <w:rsid w:val="00A8127E"/>
    <w:rsid w:val="00A812F6"/>
    <w:rsid w:val="00A86CA4"/>
    <w:rsid w:val="00A87AAD"/>
    <w:rsid w:val="00A9038B"/>
    <w:rsid w:val="00A91560"/>
    <w:rsid w:val="00A91C11"/>
    <w:rsid w:val="00A92AEA"/>
    <w:rsid w:val="00A93A2A"/>
    <w:rsid w:val="00A956E3"/>
    <w:rsid w:val="00A95F80"/>
    <w:rsid w:val="00A968ED"/>
    <w:rsid w:val="00AA047D"/>
    <w:rsid w:val="00AA1CAE"/>
    <w:rsid w:val="00AA4A24"/>
    <w:rsid w:val="00AA4E8B"/>
    <w:rsid w:val="00AA5283"/>
    <w:rsid w:val="00AB23C6"/>
    <w:rsid w:val="00AB3F29"/>
    <w:rsid w:val="00AB6E54"/>
    <w:rsid w:val="00AC1E64"/>
    <w:rsid w:val="00AC6ADA"/>
    <w:rsid w:val="00AC7C9B"/>
    <w:rsid w:val="00AD1719"/>
    <w:rsid w:val="00AD1AED"/>
    <w:rsid w:val="00AD535F"/>
    <w:rsid w:val="00AD6E2D"/>
    <w:rsid w:val="00AD7897"/>
    <w:rsid w:val="00AE2151"/>
    <w:rsid w:val="00AE2D53"/>
    <w:rsid w:val="00AE62CA"/>
    <w:rsid w:val="00AF1646"/>
    <w:rsid w:val="00AF2C56"/>
    <w:rsid w:val="00AF369A"/>
    <w:rsid w:val="00AF39B6"/>
    <w:rsid w:val="00AF3B09"/>
    <w:rsid w:val="00AF7251"/>
    <w:rsid w:val="00B06AC2"/>
    <w:rsid w:val="00B06D8B"/>
    <w:rsid w:val="00B078E3"/>
    <w:rsid w:val="00B13488"/>
    <w:rsid w:val="00B15BD1"/>
    <w:rsid w:val="00B16DCD"/>
    <w:rsid w:val="00B177A0"/>
    <w:rsid w:val="00B21A34"/>
    <w:rsid w:val="00B22755"/>
    <w:rsid w:val="00B278A9"/>
    <w:rsid w:val="00B3172F"/>
    <w:rsid w:val="00B3201D"/>
    <w:rsid w:val="00B3228A"/>
    <w:rsid w:val="00B330BC"/>
    <w:rsid w:val="00B405EF"/>
    <w:rsid w:val="00B40BBE"/>
    <w:rsid w:val="00B42005"/>
    <w:rsid w:val="00B432CE"/>
    <w:rsid w:val="00B45343"/>
    <w:rsid w:val="00B46BEE"/>
    <w:rsid w:val="00B47D2F"/>
    <w:rsid w:val="00B649FD"/>
    <w:rsid w:val="00B65C80"/>
    <w:rsid w:val="00B708D8"/>
    <w:rsid w:val="00B70D78"/>
    <w:rsid w:val="00B75A7C"/>
    <w:rsid w:val="00B82CB7"/>
    <w:rsid w:val="00B8730A"/>
    <w:rsid w:val="00B8771A"/>
    <w:rsid w:val="00B941B1"/>
    <w:rsid w:val="00B95776"/>
    <w:rsid w:val="00B97476"/>
    <w:rsid w:val="00BA08E9"/>
    <w:rsid w:val="00BA1B8C"/>
    <w:rsid w:val="00BA3199"/>
    <w:rsid w:val="00BB0E4E"/>
    <w:rsid w:val="00BB1801"/>
    <w:rsid w:val="00BB2478"/>
    <w:rsid w:val="00BB2D3E"/>
    <w:rsid w:val="00BB41EE"/>
    <w:rsid w:val="00BB6081"/>
    <w:rsid w:val="00BB76BE"/>
    <w:rsid w:val="00BC06D7"/>
    <w:rsid w:val="00BC138A"/>
    <w:rsid w:val="00BC1D76"/>
    <w:rsid w:val="00BC4756"/>
    <w:rsid w:val="00BD2B25"/>
    <w:rsid w:val="00BD59A6"/>
    <w:rsid w:val="00BD77FA"/>
    <w:rsid w:val="00BE3F16"/>
    <w:rsid w:val="00BF0E19"/>
    <w:rsid w:val="00BF2A3D"/>
    <w:rsid w:val="00BF5E59"/>
    <w:rsid w:val="00BF64AE"/>
    <w:rsid w:val="00C00D96"/>
    <w:rsid w:val="00C044E2"/>
    <w:rsid w:val="00C048E0"/>
    <w:rsid w:val="00C10425"/>
    <w:rsid w:val="00C16515"/>
    <w:rsid w:val="00C171DB"/>
    <w:rsid w:val="00C24959"/>
    <w:rsid w:val="00C24BBE"/>
    <w:rsid w:val="00C24F75"/>
    <w:rsid w:val="00C24F84"/>
    <w:rsid w:val="00C3014E"/>
    <w:rsid w:val="00C360C1"/>
    <w:rsid w:val="00C3620E"/>
    <w:rsid w:val="00C475F1"/>
    <w:rsid w:val="00C47B69"/>
    <w:rsid w:val="00C50B51"/>
    <w:rsid w:val="00C529CB"/>
    <w:rsid w:val="00C532C1"/>
    <w:rsid w:val="00C61A70"/>
    <w:rsid w:val="00C65005"/>
    <w:rsid w:val="00C67DE8"/>
    <w:rsid w:val="00C71547"/>
    <w:rsid w:val="00C73377"/>
    <w:rsid w:val="00C735F9"/>
    <w:rsid w:val="00C7432B"/>
    <w:rsid w:val="00C76EAD"/>
    <w:rsid w:val="00C8081B"/>
    <w:rsid w:val="00C81D35"/>
    <w:rsid w:val="00C81E3A"/>
    <w:rsid w:val="00C82BE6"/>
    <w:rsid w:val="00C910A7"/>
    <w:rsid w:val="00C911CA"/>
    <w:rsid w:val="00C932A8"/>
    <w:rsid w:val="00C93789"/>
    <w:rsid w:val="00C95621"/>
    <w:rsid w:val="00CA06D0"/>
    <w:rsid w:val="00CA1D68"/>
    <w:rsid w:val="00CA25BD"/>
    <w:rsid w:val="00CA6D9E"/>
    <w:rsid w:val="00CB10C3"/>
    <w:rsid w:val="00CB32C3"/>
    <w:rsid w:val="00CB5570"/>
    <w:rsid w:val="00CB648F"/>
    <w:rsid w:val="00CC186E"/>
    <w:rsid w:val="00CC1F36"/>
    <w:rsid w:val="00CC36E2"/>
    <w:rsid w:val="00CC7D0E"/>
    <w:rsid w:val="00CD22EB"/>
    <w:rsid w:val="00CD7066"/>
    <w:rsid w:val="00CE0BE9"/>
    <w:rsid w:val="00CE14B5"/>
    <w:rsid w:val="00CE1AD2"/>
    <w:rsid w:val="00CE40A4"/>
    <w:rsid w:val="00CE4A55"/>
    <w:rsid w:val="00CF38A4"/>
    <w:rsid w:val="00CF5AC1"/>
    <w:rsid w:val="00D031DE"/>
    <w:rsid w:val="00D0446B"/>
    <w:rsid w:val="00D07F54"/>
    <w:rsid w:val="00D16C3C"/>
    <w:rsid w:val="00D2009F"/>
    <w:rsid w:val="00D23A8D"/>
    <w:rsid w:val="00D26652"/>
    <w:rsid w:val="00D270F1"/>
    <w:rsid w:val="00D41076"/>
    <w:rsid w:val="00D42F62"/>
    <w:rsid w:val="00D45773"/>
    <w:rsid w:val="00D56F8B"/>
    <w:rsid w:val="00D71841"/>
    <w:rsid w:val="00D73346"/>
    <w:rsid w:val="00D7395A"/>
    <w:rsid w:val="00D73D5D"/>
    <w:rsid w:val="00D7724D"/>
    <w:rsid w:val="00D77CF3"/>
    <w:rsid w:val="00D802B5"/>
    <w:rsid w:val="00D80AE3"/>
    <w:rsid w:val="00D903D7"/>
    <w:rsid w:val="00D92B9C"/>
    <w:rsid w:val="00D93AC3"/>
    <w:rsid w:val="00DA462A"/>
    <w:rsid w:val="00DB2A40"/>
    <w:rsid w:val="00DB74BC"/>
    <w:rsid w:val="00DB77BC"/>
    <w:rsid w:val="00DC0F42"/>
    <w:rsid w:val="00DC4C6C"/>
    <w:rsid w:val="00DC6B00"/>
    <w:rsid w:val="00DC7831"/>
    <w:rsid w:val="00DD0BCC"/>
    <w:rsid w:val="00DD132E"/>
    <w:rsid w:val="00DD16CA"/>
    <w:rsid w:val="00DD5415"/>
    <w:rsid w:val="00DD6423"/>
    <w:rsid w:val="00DE0B96"/>
    <w:rsid w:val="00DE1469"/>
    <w:rsid w:val="00DE2C71"/>
    <w:rsid w:val="00DE72E5"/>
    <w:rsid w:val="00DE79AE"/>
    <w:rsid w:val="00DF03CD"/>
    <w:rsid w:val="00DF34F6"/>
    <w:rsid w:val="00DF71DF"/>
    <w:rsid w:val="00DF7926"/>
    <w:rsid w:val="00E01445"/>
    <w:rsid w:val="00E02C3B"/>
    <w:rsid w:val="00E03600"/>
    <w:rsid w:val="00E04312"/>
    <w:rsid w:val="00E0436C"/>
    <w:rsid w:val="00E04394"/>
    <w:rsid w:val="00E05658"/>
    <w:rsid w:val="00E05F89"/>
    <w:rsid w:val="00E0782C"/>
    <w:rsid w:val="00E102C3"/>
    <w:rsid w:val="00E104D5"/>
    <w:rsid w:val="00E1136C"/>
    <w:rsid w:val="00E130C3"/>
    <w:rsid w:val="00E237F8"/>
    <w:rsid w:val="00E26482"/>
    <w:rsid w:val="00E30661"/>
    <w:rsid w:val="00E30AFB"/>
    <w:rsid w:val="00E31A18"/>
    <w:rsid w:val="00E34CD8"/>
    <w:rsid w:val="00E357C2"/>
    <w:rsid w:val="00E377CF"/>
    <w:rsid w:val="00E41990"/>
    <w:rsid w:val="00E43640"/>
    <w:rsid w:val="00E4496B"/>
    <w:rsid w:val="00E45605"/>
    <w:rsid w:val="00E46941"/>
    <w:rsid w:val="00E552C2"/>
    <w:rsid w:val="00E6085F"/>
    <w:rsid w:val="00E61FDB"/>
    <w:rsid w:val="00E64A41"/>
    <w:rsid w:val="00E6513F"/>
    <w:rsid w:val="00E65C2F"/>
    <w:rsid w:val="00E703D0"/>
    <w:rsid w:val="00E725F3"/>
    <w:rsid w:val="00E74AB5"/>
    <w:rsid w:val="00E74EDB"/>
    <w:rsid w:val="00E756E7"/>
    <w:rsid w:val="00E8262D"/>
    <w:rsid w:val="00E83344"/>
    <w:rsid w:val="00E963DE"/>
    <w:rsid w:val="00E96638"/>
    <w:rsid w:val="00E96D00"/>
    <w:rsid w:val="00E978CD"/>
    <w:rsid w:val="00EA0278"/>
    <w:rsid w:val="00EA7371"/>
    <w:rsid w:val="00EB091A"/>
    <w:rsid w:val="00EB55D6"/>
    <w:rsid w:val="00EB6B08"/>
    <w:rsid w:val="00EB6BD2"/>
    <w:rsid w:val="00EB73F0"/>
    <w:rsid w:val="00EB785F"/>
    <w:rsid w:val="00EC041B"/>
    <w:rsid w:val="00EC3727"/>
    <w:rsid w:val="00EC63D6"/>
    <w:rsid w:val="00EC65ED"/>
    <w:rsid w:val="00EC73D4"/>
    <w:rsid w:val="00ED08CF"/>
    <w:rsid w:val="00ED1FDB"/>
    <w:rsid w:val="00ED4E5F"/>
    <w:rsid w:val="00EE58B1"/>
    <w:rsid w:val="00EE5E53"/>
    <w:rsid w:val="00EE6B3B"/>
    <w:rsid w:val="00EF29D1"/>
    <w:rsid w:val="00EF3987"/>
    <w:rsid w:val="00EF4F3B"/>
    <w:rsid w:val="00F00FEC"/>
    <w:rsid w:val="00F012EB"/>
    <w:rsid w:val="00F025DC"/>
    <w:rsid w:val="00F02B4A"/>
    <w:rsid w:val="00F04E1C"/>
    <w:rsid w:val="00F0674E"/>
    <w:rsid w:val="00F07321"/>
    <w:rsid w:val="00F124DA"/>
    <w:rsid w:val="00F129E3"/>
    <w:rsid w:val="00F14916"/>
    <w:rsid w:val="00F20B62"/>
    <w:rsid w:val="00F25F3D"/>
    <w:rsid w:val="00F346FF"/>
    <w:rsid w:val="00F357C2"/>
    <w:rsid w:val="00F37CF0"/>
    <w:rsid w:val="00F56854"/>
    <w:rsid w:val="00F61BD7"/>
    <w:rsid w:val="00F64D47"/>
    <w:rsid w:val="00F665C3"/>
    <w:rsid w:val="00F670F1"/>
    <w:rsid w:val="00F76E76"/>
    <w:rsid w:val="00F81AB5"/>
    <w:rsid w:val="00F84781"/>
    <w:rsid w:val="00F84B01"/>
    <w:rsid w:val="00F854CC"/>
    <w:rsid w:val="00F91590"/>
    <w:rsid w:val="00F92ECC"/>
    <w:rsid w:val="00F966EF"/>
    <w:rsid w:val="00FA3A11"/>
    <w:rsid w:val="00FA5A9B"/>
    <w:rsid w:val="00FA5BF7"/>
    <w:rsid w:val="00FA6C12"/>
    <w:rsid w:val="00FA75AB"/>
    <w:rsid w:val="00FB06A0"/>
    <w:rsid w:val="00FB20D0"/>
    <w:rsid w:val="00FB460A"/>
    <w:rsid w:val="00FB55FB"/>
    <w:rsid w:val="00FB5806"/>
    <w:rsid w:val="00FB5E42"/>
    <w:rsid w:val="00FB6B23"/>
    <w:rsid w:val="00FC376E"/>
    <w:rsid w:val="00FC4A8E"/>
    <w:rsid w:val="00FC6444"/>
    <w:rsid w:val="00FC7417"/>
    <w:rsid w:val="00FC755C"/>
    <w:rsid w:val="00FD02E1"/>
    <w:rsid w:val="00FD2F36"/>
    <w:rsid w:val="00FD791C"/>
    <w:rsid w:val="00FD7B04"/>
    <w:rsid w:val="00FE12AB"/>
    <w:rsid w:val="00FE4642"/>
    <w:rsid w:val="00FE669D"/>
    <w:rsid w:val="00FE6A32"/>
    <w:rsid w:val="00FE714F"/>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F05"/>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PlaceholderText">
    <w:name w:val="Placeholder Text"/>
    <w:basedOn w:val="DefaultParagraphFont"/>
    <w:uiPriority w:val="99"/>
    <w:semiHidden/>
    <w:rsid w:val="00FE6A32"/>
    <w:rPr>
      <w:color w:val="808080"/>
    </w:rPr>
  </w:style>
  <w:style w:type="paragraph" w:styleId="TOC1">
    <w:name w:val="toc 1"/>
    <w:basedOn w:val="Normal"/>
    <w:next w:val="Normal"/>
    <w:autoRedefine/>
    <w:uiPriority w:val="39"/>
    <w:unhideWhenUsed/>
    <w:rsid w:val="00E43640"/>
    <w:pPr>
      <w:tabs>
        <w:tab w:val="clear" w:pos="3068"/>
      </w:tabs>
      <w:spacing w:after="100"/>
    </w:pPr>
  </w:style>
  <w:style w:type="paragraph" w:styleId="TOC2">
    <w:name w:val="toc 2"/>
    <w:basedOn w:val="Normal"/>
    <w:next w:val="Normal"/>
    <w:autoRedefine/>
    <w:uiPriority w:val="39"/>
    <w:unhideWhenUsed/>
    <w:rsid w:val="00E43640"/>
    <w:pPr>
      <w:tabs>
        <w:tab w:val="clear" w:pos="3068"/>
      </w:tabs>
      <w:spacing w:after="100"/>
      <w:ind w:left="220"/>
    </w:pPr>
  </w:style>
  <w:style w:type="paragraph" w:styleId="NormalWeb">
    <w:name w:val="Normal (Web)"/>
    <w:basedOn w:val="Normal"/>
    <w:uiPriority w:val="99"/>
    <w:unhideWhenUsed/>
    <w:rsid w:val="000F7A74"/>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styleId="Emphasis">
    <w:name w:val="Emphasis"/>
    <w:basedOn w:val="DefaultParagraphFont"/>
    <w:uiPriority w:val="20"/>
    <w:qFormat/>
    <w:rsid w:val="000F7A74"/>
    <w:rPr>
      <w:i/>
      <w:iCs/>
    </w:rPr>
  </w:style>
  <w:style w:type="character" w:styleId="UnresolvedMention">
    <w:name w:val="Unresolved Mention"/>
    <w:basedOn w:val="DefaultParagraphFont"/>
    <w:uiPriority w:val="99"/>
    <w:semiHidden/>
    <w:unhideWhenUsed/>
    <w:rsid w:val="00187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777408863">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ysed.gov/download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77%2F2378023121992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15</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Susy Faus</dc:creator>
  <cp:keywords/>
  <dc:description/>
  <cp:lastModifiedBy>Susy Faus</cp:lastModifiedBy>
  <cp:revision>83</cp:revision>
  <cp:lastPrinted>2021-10-18T22:08:00Z</cp:lastPrinted>
  <dcterms:created xsi:type="dcterms:W3CDTF">2022-04-13T03:40:00Z</dcterms:created>
  <dcterms:modified xsi:type="dcterms:W3CDTF">2022-04-15T19:44:00Z</dcterms:modified>
</cp:coreProperties>
</file>