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9A3412"/>
          <w:sz w:val="17"/>
          <w:szCs w:val="17"/>
          <w:spacing w:val="30"/>
        </w:rPr>
        <w:t xml:space="preserve">CRIMINAL JUSTICE OPERATIONS · TEACHER COPY</w:t>
      </w:r>
    </w:p>
    <w:p>
      <w:pPr>
        <w:spacing w:after="50"/>
      </w:pPr>
      <w:r>
        <w:rPr>
          <w:b/>
          <w:bCs/>
          <w:color w:val="10243A"/>
          <w:sz w:val="40"/>
          <w:szCs w:val="40"/>
        </w:rPr>
        <w:t xml:space="preserve">Run Sheet</w:t>
      </w:r>
    </w:p>
    <w:p>
      <w:pPr>
        <w:spacing w:after="200"/>
      </w:pPr>
      <w:r>
        <w:rPr>
          <w:color w:val="5F6B79"/>
          <w:sz w:val="22"/>
          <w:szCs w:val="22"/>
        </w:rPr>
        <w:t xml:space="preserve">Probable Cause · one 90-minute block</w:t>
      </w:r>
    </w:p>
    <w:tbl>
      <w:tblPr>
        <w:tblW w:type="dxa" w:w="9360"/>
        <w:tblBorders>
          <w:top w:val="single" w:color="1A5FB4" w:sz="8"/>
          <w:left w:val="single" w:color="1A5FB4" w:sz="8"/>
          <w:bottom w:val="single" w:color="1A5FB4" w:sz="8"/>
          <w:right w:val="single" w:color="1A5FB4" w:sz="8"/>
          <w:insideH w:val="single" w:color="1A5FB4" w:sz="8"/>
          <w:insideV w:val="single" w:color="1A5FB4" w:sz="8"/>
        </w:tblBorders>
      </w:tblPr>
      <w:tblGrid>
        <w:gridCol w:w="9360"/>
      </w:tblGrid>
      <w:tr>
        <w:tc>
          <w:tcPr>
            <w:tcW w:type="dxa" w:w="9360"/>
            <w:tcMar>
              <w:top w:type="dxa" w:w="160"/>
              <w:left w:type="dxa" w:w="200"/>
              <w:bottom w:type="dxa" w:w="160"/>
              <w:right w:type="dxa" w:w="200"/>
            </w:tcMar>
          </w:tcPr>
          <w:p>
            <w:pPr>
              <w:spacing w:after="70"/>
            </w:pPr>
            <w:r>
              <w:rPr>
                <w:b/>
                <w:bCs/>
                <w:color w:val="1A5FB4"/>
                <w:sz w:val="17"/>
                <w:szCs w:val="17"/>
                <w:spacing w:val="20"/>
              </w:rPr>
              <w:t xml:space="preserve">THE ONE IDEA</w:t>
            </w:r>
          </w:p>
          <w:p>
            <w:pPr>
              <w:spacing w:after="0" w:line="290"/>
            </w:pPr>
            <w:r>
              <w:rPr>
                <w:color w:val="1B1B1B"/>
                <w:sz w:val="21"/>
                <w:szCs w:val="21"/>
              </w:rPr>
              <w:t xml:space="preserve">Up to now they have been recording what happened. Today what they write can take somebody’s liberty. The affidavit is where report writing stops being an exercise — and the lesson lands because the case gives them probable cause for theft and still refuses to give them burglary.</w:t>
            </w:r>
          </w:p>
        </w:tc>
      </w:tr>
    </w:tbl>
    <w:p>
      <w:pPr>
        <w:spacing w:after="180" w:line="276"/>
      </w:pPr>
      <w:r>
        <w:rPr>
          <w:color w:val="1B1B1B"/>
          <w:sz w:val="21"/>
          <w:szCs w:val="21"/>
        </w:rPr>
        <w:t xml:space="preserve"/>
      </w:r>
    </w:p>
    <w:p>
      <w:pPr>
        <w:spacing w:before="120" w:after="90"/>
      </w:pPr>
      <w:r>
        <w:rPr>
          <w:b/>
          <w:bCs/>
          <w:color w:val="10243A"/>
          <w:sz w:val="18"/>
          <w:szCs w:val="18"/>
          <w:spacing w:val="20"/>
        </w:rPr>
        <w:t xml:space="preserve">STANDARDS COVERED</w:t>
      </w:r>
    </w:p>
    <w:tbl>
      <w:tblPr>
        <w:tblW w:type="dxa" w:w="9360"/>
        <w:tblBorders>
          <w:top w:val="single" w:color="B9C4D0" w:sz="4"/>
          <w:left w:val="single" w:color="B9C4D0" w:sz="4"/>
          <w:bottom w:val="single" w:color="B9C4D0" w:sz="4"/>
          <w:right w:val="single" w:color="B9C4D0" w:sz="4"/>
          <w:insideH w:val="single" w:color="B9C4D0" w:sz="4"/>
          <w:insideV w:val="single" w:color="B9C4D0" w:sz="4"/>
        </w:tblBorders>
      </w:tblPr>
      <w:tblGrid>
        <w:gridCol w:w="1500"/>
        <w:gridCol w:w="7860"/>
      </w:tblGrid>
      <w:tr>
        <w:tc>
          <w:tcPr>
            <w:tcW w:type="dxa" w:w="1500"/>
            <w:shd w:fill="F2F5F8" w:val="clear"/>
            <w:tcMar>
              <w:top w:type="dxa" w:w="90"/>
              <w:left w:type="dxa" w:w="150"/>
              <w:bottom w:type="dxa" w:w="90"/>
              <w:right w:type="dxa" w:w="150"/>
            </w:tcMar>
          </w:tcPr>
          <w:p>
            <w:r>
              <w:rPr>
                <w:b/>
                <w:bCs/>
                <w:color w:val="5F6B79"/>
                <w:sz w:val="18"/>
                <w:szCs w:val="18"/>
              </w:rPr>
              <w:t xml:space="preserve">CJO 2</w:t>
            </w:r>
          </w:p>
        </w:tc>
        <w:tc>
          <w:tcPr>
            <w:tcW w:type="dxa" w:w="7860"/>
            <w:tcMar>
              <w:top w:type="dxa" w:w="90"/>
              <w:left w:type="dxa" w:w="150"/>
              <w:bottom w:type="dxa" w:w="90"/>
              <w:right w:type="dxa" w:w="150"/>
            </w:tcMar>
          </w:tcPr>
          <w:p>
            <w:r>
              <w:rPr>
                <w:color w:val="1B1B1B"/>
                <w:sz w:val="22"/>
                <w:szCs w:val="22"/>
              </w:rPr>
              <w:t xml:space="preserve">13.09 evaluating a report prior to submission · 13.10 identify and locate state statutes · 13.11 define and write a probable-cause affidavit</w:t>
            </w:r>
          </w:p>
        </w:tc>
      </w:tr>
      <w:tr>
        <w:tc>
          <w:tcPr>
            <w:tcW w:type="dxa" w:w="1500"/>
            <w:shd w:fill="F2F5F8" w:val="clear"/>
            <w:tcMar>
              <w:top w:type="dxa" w:w="90"/>
              <w:left w:type="dxa" w:w="150"/>
              <w:bottom w:type="dxa" w:w="90"/>
              <w:right w:type="dxa" w:w="150"/>
            </w:tcMar>
          </w:tcPr>
          <w:p>
            <w:r>
              <w:rPr>
                <w:b/>
                <w:bCs/>
                <w:color w:val="5F6B79"/>
                <w:sz w:val="18"/>
                <w:szCs w:val="18"/>
              </w:rPr>
              <w:t xml:space="preserve">CJO 3</w:t>
            </w:r>
          </w:p>
        </w:tc>
        <w:tc>
          <w:tcPr>
            <w:tcW w:type="dxa" w:w="7860"/>
            <w:tcMar>
              <w:top w:type="dxa" w:w="90"/>
              <w:left w:type="dxa" w:w="150"/>
              <w:bottom w:type="dxa" w:w="90"/>
              <w:right w:type="dxa" w:w="150"/>
            </w:tcMar>
          </w:tcPr>
          <w:p>
            <w:r>
              <w:rPr>
                <w:color w:val="1B1B1B"/>
                <w:sz w:val="22"/>
                <w:szCs w:val="22"/>
              </w:rPr>
              <w:t xml:space="preserve">17.01 levels of proof in investigations</w:t>
            </w:r>
          </w:p>
        </w:tc>
      </w:tr>
      <w:tr>
        <w:tc>
          <w:tcPr>
            <w:tcW w:type="dxa" w:w="1500"/>
            <w:shd w:fill="F2F5F8" w:val="clear"/>
            <w:tcMar>
              <w:top w:type="dxa" w:w="90"/>
              <w:left w:type="dxa" w:w="150"/>
              <w:bottom w:type="dxa" w:w="90"/>
              <w:right w:type="dxa" w:w="150"/>
            </w:tcMar>
          </w:tcPr>
          <w:p>
            <w:r>
              <w:rPr>
                <w:b/>
                <w:bCs/>
                <w:color w:val="5F6B79"/>
                <w:sz w:val="18"/>
                <w:szCs w:val="18"/>
              </w:rPr>
              <w:t xml:space="preserve">CJO 1</w:t>
            </w:r>
          </w:p>
        </w:tc>
        <w:tc>
          <w:tcPr>
            <w:tcW w:type="dxa" w:w="7860"/>
            <w:tcMar>
              <w:top w:type="dxa" w:w="90"/>
              <w:left w:type="dxa" w:w="150"/>
              <w:bottom w:type="dxa" w:w="90"/>
              <w:right w:type="dxa" w:w="150"/>
            </w:tcMar>
          </w:tcPr>
          <w:p>
            <w:r>
              <w:rPr>
                <w:color w:val="1B1B1B"/>
                <w:sz w:val="22"/>
                <w:szCs w:val="22"/>
              </w:rPr>
              <w:t xml:space="preserve">03.04 identify elements of criminal law · 03.07 misdemeanour and felony procedures in Florida</w:t>
            </w:r>
          </w:p>
        </w:tc>
      </w:tr>
    </w:tbl>
    <w:p>
      <w:pPr>
        <w:spacing w:after="200" w:line="276"/>
      </w:pPr>
      <w:r>
        <w:rPr>
          <w:color w:val="1B1B1B"/>
          <w:sz w:val="21"/>
          <w:szCs w:val="21"/>
        </w:rPr>
        <w:t xml:space="preserve"/>
      </w:r>
    </w:p>
    <w:tbl>
      <w:tblPr>
        <w:tblW w:type="dxa" w:w="9360"/>
        <w:tblBorders>
          <w:top w:val="single" w:color="9A3412" w:sz="8"/>
          <w:left w:val="single" w:color="9A3412" w:sz="8"/>
          <w:bottom w:val="single" w:color="9A3412" w:sz="8"/>
          <w:right w:val="single" w:color="9A3412" w:sz="8"/>
          <w:insideH w:val="single" w:color="9A3412" w:sz="8"/>
          <w:insideV w:val="single" w:color="9A3412" w:sz="8"/>
        </w:tblBorders>
      </w:tblPr>
      <w:tblGrid>
        <w:gridCol w:w="9360"/>
      </w:tblGrid>
      <w:tr>
        <w:tc>
          <w:tcPr>
            <w:tcW w:type="dxa" w:w="9360"/>
            <w:shd w:fill="FDF3EC" w:val="clear"/>
            <w:tcMar>
              <w:top w:type="dxa" w:w="160"/>
              <w:left w:type="dxa" w:w="200"/>
              <w:bottom w:type="dxa" w:w="160"/>
              <w:right w:type="dxa" w:w="200"/>
            </w:tcMar>
          </w:tcPr>
          <w:p>
            <w:pPr>
              <w:spacing w:after="70"/>
            </w:pPr>
            <w:r>
              <w:rPr>
                <w:b/>
                <w:bCs/>
                <w:color w:val="9A3412"/>
                <w:sz w:val="17"/>
                <w:szCs w:val="17"/>
                <w:spacing w:val="20"/>
              </w:rPr>
              <w:t xml:space="preserve">BEFORE CLASS</w:t>
            </w:r>
          </w:p>
          <w:p>
            <w:pPr>
              <w:spacing w:after="75" w:line="285"/>
              <w:ind w:left="340" w:hanging="340"/>
            </w:pPr>
            <w:r>
              <w:rPr>
                <w:b/>
                <w:bCs/>
                <w:color w:val="9A3412"/>
                <w:sz w:val="19"/>
                <w:szCs w:val="19"/>
              </w:rPr>
              <w:t xml:space="preserve">1.  </w:t>
            </w:r>
            <w:r>
              <w:rPr>
                <w:color w:val="5F6B79"/>
                <w:sz w:val="19"/>
                <w:szCs w:val="19"/>
              </w:rPr>
              <w:t xml:space="preserve">One Canvas assignment with file 1 (pawn record) attached but </w:t>
            </w:r>
            <w:r>
              <w:rPr>
                <w:b/>
                <w:bCs/>
                <w:i w:val="false"/>
                <w:iCs w:val="false"/>
                <w:color w:val="1B1B1B"/>
                <w:sz w:val="19"/>
                <w:szCs w:val="19"/>
              </w:rPr>
              <w:t xml:space="preserve">unpublished</w:t>
            </w:r>
            <w:r>
              <w:rPr>
                <w:color w:val="5F6B79"/>
                <w:sz w:val="19"/>
                <w:szCs w:val="19"/>
              </w:rPr>
              <w:t xml:space="preserve">, and a second with file 2 (worksheet) published from the start — they need Parts A and B before the record drops.</w:t>
            </w:r>
          </w:p>
          <w:p>
            <w:pPr>
              <w:spacing w:after="75" w:line="285"/>
              <w:ind w:left="340" w:hanging="340"/>
            </w:pPr>
            <w:r>
              <w:rPr>
                <w:b/>
                <w:bCs/>
                <w:color w:val="9A3412"/>
                <w:sz w:val="19"/>
                <w:szCs w:val="19"/>
              </w:rPr>
              <w:t xml:space="preserve">2.  </w:t>
            </w:r>
            <w:r>
              <w:rPr>
                <w:color w:val="5F6B79"/>
                <w:sz w:val="19"/>
                <w:szCs w:val="19"/>
              </w:rPr>
              <w:t xml:space="preserve">Students need their incident report and supplemental report from last week. Remind them in the Canvas description.</w:t>
            </w:r>
          </w:p>
          <w:p>
            <w:pPr>
              <w:spacing w:after="75" w:line="285"/>
              <w:ind w:left="340" w:hanging="340"/>
            </w:pPr>
            <w:r>
              <w:rPr>
                <w:b/>
                <w:bCs/>
                <w:color w:val="9A3412"/>
                <w:sz w:val="19"/>
                <w:szCs w:val="19"/>
              </w:rPr>
              <w:t xml:space="preserve">3.  </w:t>
            </w:r>
            <w:r>
              <w:rPr>
                <w:color w:val="5F6B79"/>
                <w:sz w:val="19"/>
                <w:szCs w:val="19"/>
              </w:rPr>
              <w:t xml:space="preserve">Open file 1 from OneDrive for the board, not the Canvas preview.</w:t>
            </w:r>
          </w:p>
          <w:p>
            <w:pPr>
              <w:spacing w:after="75" w:line="285"/>
              <w:ind w:left="340" w:hanging="340"/>
            </w:pPr>
            <w:r>
              <w:rPr>
                <w:b/>
                <w:bCs/>
                <w:color w:val="9A3412"/>
                <w:sz w:val="19"/>
                <w:szCs w:val="19"/>
              </w:rPr>
              <w:t xml:space="preserve">4.  </w:t>
            </w:r>
            <w:r>
              <w:rPr>
                <w:color w:val="5F6B79"/>
                <w:sz w:val="19"/>
                <w:szCs w:val="19"/>
              </w:rPr>
              <w:t xml:space="preserve">Chromebooks need flsenate.gov reachable. </w:t>
            </w:r>
            <w:r>
              <w:rPr>
                <w:b/>
                <w:bCs/>
                <w:i w:val="false"/>
                <w:iCs w:val="false"/>
                <w:color w:val="1B1B1B"/>
                <w:sz w:val="19"/>
                <w:szCs w:val="19"/>
              </w:rPr>
              <w:t xml:space="preserve">Check this before first period</w:t>
            </w:r>
            <w:r>
              <w:rPr>
                <w:color w:val="5F6B79"/>
                <w:sz w:val="19"/>
                <w:szCs w:val="19"/>
              </w:rPr>
              <w:t xml:space="preserve"> — if your filter blocks it, Part B has to come off the devices and onto the board.</w:t>
            </w:r>
          </w:p>
        </w:tc>
      </w:tr>
    </w:tbl>
    <w:p>
      <w:pPr>
        <w:spacing w:after="200" w:line="276"/>
      </w:pPr>
      <w:r>
        <w:rPr>
          <w:color w:val="1B1B1B"/>
          <w:sz w:val="21"/>
          <w:szCs w:val="21"/>
        </w:rPr>
        <w:t xml:space="preserve"/>
      </w:r>
    </w:p>
    <w:tbl>
      <w:tblPr>
        <w:tblW w:type="dxa" w:w="9360"/>
        <w:tblBorders>
          <w:top w:val="single" w:color="1A5FB4" w:sz="8"/>
          <w:left w:val="single" w:color="1A5FB4" w:sz="8"/>
          <w:bottom w:val="single" w:color="1A5FB4" w:sz="8"/>
          <w:right w:val="single" w:color="1A5FB4" w:sz="8"/>
          <w:insideH w:val="single" w:color="1A5FB4" w:sz="8"/>
          <w:insideV w:val="single" w:color="1A5FB4" w:sz="8"/>
        </w:tblBorders>
      </w:tblPr>
      <w:tblGrid>
        <w:gridCol w:w="9360"/>
      </w:tblGrid>
      <w:tr>
        <w:tc>
          <w:tcPr>
            <w:tcW w:type="dxa" w:w="9360"/>
            <w:tcMar>
              <w:top w:type="dxa" w:w="160"/>
              <w:left w:type="dxa" w:w="200"/>
              <w:bottom w:type="dxa" w:w="160"/>
              <w:right w:type="dxa" w:w="200"/>
            </w:tcMar>
          </w:tcPr>
          <w:p>
            <w:pPr>
              <w:spacing w:after="70"/>
            </w:pPr>
            <w:r>
              <w:rPr>
                <w:b/>
                <w:bCs/>
                <w:color w:val="1A5FB4"/>
                <w:sz w:val="17"/>
                <w:szCs w:val="17"/>
                <w:spacing w:val="20"/>
              </w:rPr>
              <w:t xml:space="preserve">GRADING — YOU HAVE 150 STUDENTS</w:t>
            </w:r>
          </w:p>
          <w:p>
            <w:pPr>
              <w:spacing w:after="70" w:line="285"/>
              <w:ind w:left="300" w:hanging="300"/>
            </w:pPr>
            <w:r>
              <w:rPr>
                <w:b/>
                <w:bCs/>
                <w:color w:val="1A5FB4"/>
                <w:sz w:val="19"/>
                <w:szCs w:val="19"/>
              </w:rPr>
              <w:t xml:space="preserve">—   </w:t>
            </w:r>
            <w:r>
              <w:rPr>
                <w:b/>
                <w:bCs/>
                <w:i w:val="false"/>
                <w:iCs w:val="false"/>
                <w:color w:val="1B1B1B"/>
                <w:sz w:val="19"/>
                <w:szCs w:val="19"/>
              </w:rPr>
              <w:t xml:space="preserve">Grade Part C, the elements table.</w:t>
            </w:r>
            <w:r>
              <w:rPr>
                <w:color w:val="5F6B79"/>
                <w:sz w:val="19"/>
                <w:szCs w:val="19"/>
              </w:rPr>
              <w:t xml:space="preserve"> It is the only part where you can see the reasoning. Five rows, fifteen seconds a student.</w:t>
            </w:r>
          </w:p>
          <w:p>
            <w:pPr>
              <w:spacing w:after="70" w:line="285"/>
              <w:ind w:left="300" w:hanging="300"/>
            </w:pPr>
            <w:r>
              <w:rPr>
                <w:b/>
                <w:bCs/>
                <w:color w:val="1A5FB4"/>
                <w:sz w:val="19"/>
                <w:szCs w:val="19"/>
              </w:rPr>
              <w:t xml:space="preserve">—   </w:t>
            </w:r>
            <w:r>
              <w:rPr>
                <w:b/>
                <w:bCs/>
                <w:i w:val="false"/>
                <w:iCs w:val="false"/>
                <w:color w:val="1B1B1B"/>
                <w:sz w:val="19"/>
                <w:szCs w:val="19"/>
              </w:rPr>
              <w:t xml:space="preserve">Then read Part E’s burglary question.</w:t>
            </w:r>
            <w:r>
              <w:rPr>
                <w:color w:val="5F6B79"/>
                <w:sz w:val="19"/>
                <w:szCs w:val="19"/>
              </w:rPr>
              <w:t xml:space="preserve"> One short answer, and it tells you whether the whole unit landed.</w:t>
            </w:r>
          </w:p>
          <w:p>
            <w:pPr>
              <w:spacing w:after="70" w:line="285"/>
              <w:ind w:left="300" w:hanging="300"/>
            </w:pPr>
            <w:r>
              <w:rPr>
                <w:b/>
                <w:bCs/>
                <w:color w:val="1A5FB4"/>
                <w:sz w:val="19"/>
                <w:szCs w:val="19"/>
              </w:rPr>
              <w:t xml:space="preserve">—   </w:t>
            </w:r>
            <w:r>
              <w:rPr>
                <w:b/>
                <w:bCs/>
                <w:i w:val="false"/>
                <w:iCs w:val="false"/>
                <w:color w:val="1B1B1B"/>
                <w:sz w:val="19"/>
                <w:szCs w:val="19"/>
              </w:rPr>
              <w:t xml:space="preserve">Do not grade the sworn statement for prose.</w:t>
            </w:r>
            <w:r>
              <w:rPr>
                <w:color w:val="5F6B79"/>
                <w:sz w:val="19"/>
                <w:szCs w:val="19"/>
              </w:rPr>
              <w:t xml:space="preserve"> You already graded narrative writing last week.</w:t>
            </w:r>
          </w:p>
        </w:tc>
      </w:tr>
    </w:tbl>
    <w:p>
      <w:r>
        <w:br w:type="page"/>
      </w:r>
    </w:p>
    <w:p>
      <w:pPr>
        <w:spacing w:after="60"/>
      </w:pPr>
      <w:r>
        <w:rPr>
          <w:b/>
          <w:bCs/>
          <w:color w:val="10243A"/>
          <w:sz w:val="38"/>
          <w:szCs w:val="38"/>
        </w:rPr>
        <w:t xml:space="preserve">Your Parts</w:t>
      </w:r>
    </w:p>
    <w:p>
      <w:pPr>
        <w:spacing w:after="230" w:line="290"/>
      </w:pPr>
      <w:r>
        <w:rPr>
          <w:color w:val="5F6B79"/>
          <w:sz w:val="21"/>
          <w:szCs w:val="21"/>
        </w:rPr>
        <w:t xml:space="preserve">Large black text is yours to say out loud. Small grey italic in brackets is a direction — do not read it out. The three orange parts are the send-offs.</w:t>
      </w:r>
    </w:p>
    <w:tbl>
      <w:tblPr>
        <w:tblW w:type="dxa" w:w="9360"/>
        <w:tblBorders>
          <w:top w:val="single" w:color="10243A" w:sz="8"/>
          <w:left w:val="single" w:color="10243A" w:sz="8"/>
          <w:bottom w:val="single" w:color="10243A" w:sz="8"/>
          <w:right w:val="single" w:color="10243A" w:sz="8"/>
          <w:insideH w:val="single" w:color="10243A" w:sz="8"/>
          <w:insideV w:val="single" w:color="10243A" w:sz="8"/>
        </w:tblBorders>
      </w:tblPr>
      <w:tblGrid>
        <w:gridCol w:w="7100"/>
        <w:gridCol w:w="2260"/>
      </w:tblGrid>
      <w:tr>
        <w:tc>
          <w:tcPr>
            <w:tcW w:type="dxa" w:w="7100"/>
            <w:shd w:fill="10243A" w:val="clear"/>
            <w:tcMar>
              <w:top w:type="dxa" w:w="100"/>
              <w:left w:type="dxa" w:w="170"/>
              <w:bottom w:type="dxa" w:w="100"/>
              <w:right w:type="dxa" w:w="150"/>
            </w:tcMar>
          </w:tcPr>
          <w:p>
            <w:r>
              <w:rPr>
                <w:b/>
                <w:bCs/>
                <w:color w:val="FFFFFF"/>
                <w:sz w:val="17"/>
                <w:szCs w:val="17"/>
                <w:spacing w:val="30"/>
              </w:rPr>
              <w:t xml:space="preserve">PART 1</w:t>
            </w:r>
            <w:r>
              <w:rPr>
                <w:b/>
                <w:bCs/>
                <w:color w:val="FFFFFF"/>
                <w:sz w:val="17"/>
                <w:szCs w:val="17"/>
                <w:spacing w:val="20"/>
              </w:rPr>
              <w:t xml:space="preserve">    THE INTRO</w:t>
            </w:r>
          </w:p>
        </w:tc>
        <w:tc>
          <w:tcPr>
            <w:tcW w:type="dxa" w:w="2260"/>
            <w:shd w:fill="10243A" w:val="clear"/>
            <w:tcMar>
              <w:top w:type="dxa" w:w="100"/>
              <w:left w:type="dxa" w:w="150"/>
              <w:bottom w:type="dxa" w:w="100"/>
              <w:right w:type="dxa" w:w="170"/>
            </w:tcMar>
          </w:tcPr>
          <w:p>
            <w:pPr>
              <w:jc w:val="right"/>
            </w:pPr>
            <w:r>
              <w:rPr>
                <w:b/>
                <w:bCs/>
                <w:color w:val="FFFFFF"/>
                <w:sz w:val="17"/>
                <w:szCs w:val="17"/>
                <w:spacing w:val="20"/>
              </w:rPr>
              <w:t xml:space="preserve">MIN 0–8</w:t>
            </w:r>
          </w:p>
        </w:tc>
      </w:tr>
    </w:tbl>
    <w:tbl>
      <w:tblPr>
        <w:tblW w:type="dxa" w:w="9360"/>
        <w:tblBorders>
          <w:top w:val="single" w:color="10243A" w:sz="8"/>
          <w:left w:val="single" w:color="10243A" w:sz="8"/>
          <w:bottom w:val="single" w:color="10243A" w:sz="8"/>
          <w:right w:val="single" w:color="10243A" w:sz="8"/>
          <w:insideH w:val="single" w:color="10243A" w:sz="8"/>
          <w:insideV w:val="single" w:color="10243A" w:sz="8"/>
        </w:tblBorders>
      </w:tblPr>
      <w:tblGrid>
        <w:gridCol w:w="9360"/>
      </w:tblGrid>
      <w:tr>
        <w:tc>
          <w:tcPr>
            <w:tcW w:type="dxa" w:w="9360"/>
            <w:shd w:fill="F2F5F8" w:val="clear"/>
            <w:tcMar>
              <w:top w:type="dxa" w:w="110"/>
              <w:left w:type="dxa" w:w="170"/>
              <w:bottom w:type="dxa" w:w="110"/>
              <w:right w:type="dxa" w:w="170"/>
            </w:tcMar>
          </w:tcPr>
          <w:p>
            <w:pPr>
              <w:spacing w:after="0" w:line="275"/>
            </w:pPr>
            <w:r>
              <w:rPr>
                <w:b/>
                <w:bCs/>
                <w:color w:val="10243A"/>
                <w:sz w:val="15"/>
                <w:szCs w:val="15"/>
                <w:spacing w:val="20"/>
              </w:rPr>
              <w:t xml:space="preserve">CUE   </w:t>
            </w:r>
            <w:r>
              <w:rPr>
                <w:i/>
                <w:iCs/>
                <w:color w:val="5F6B79"/>
                <w:sz w:val="19"/>
                <w:szCs w:val="19"/>
              </w:rPr>
              <w:t xml:space="preserve">They are seated with last week’s report open. File 1 is NOT out yet.</w:t>
            </w:r>
          </w:p>
        </w:tc>
      </w:tr>
      <w:tr>
        <w:tc>
          <w:tcPr>
            <w:tcW w:type="dxa" w:w="9360"/>
            <w:tcMar>
              <w:top w:type="dxa" w:w="170"/>
              <w:left w:type="dxa" w:w="200"/>
              <w:bottom w:type="dxa" w:w="150"/>
              <w:right w:type="dxa" w:w="200"/>
            </w:tcMar>
          </w:tcPr>
          <w:p>
            <w:pPr>
              <w:spacing w:after="130" w:line="320"/>
            </w:pPr>
            <w:r>
              <w:rPr>
                <w:color w:val="1B1B1B"/>
                <w:sz w:val="23"/>
                <w:szCs w:val="23"/>
              </w:rPr>
              <w:t xml:space="preserve">Get last week’s report out — both of them, the incident report and the supplemental. Read your own narrative back to yourself.</w:t>
            </w:r>
          </w:p>
          <w:p>
            <w:pPr>
              <w:spacing w:after="130" w:line="320"/>
            </w:pPr>
            <w:r>
              <w:rPr>
                <w:color w:val="1B1B1B"/>
                <w:sz w:val="23"/>
                <w:szCs w:val="23"/>
              </w:rPr>
              <w:t xml:space="preserve">Everything you have written in here so far did one job: it recorded what happened.</w:t>
            </w:r>
          </w:p>
          <w:p>
            <w:pPr>
              <w:spacing w:after="130" w:line="320"/>
            </w:pPr>
            <w:r>
              <w:rPr>
                <w:color w:val="1B1B1B"/>
                <w:sz w:val="23"/>
                <w:szCs w:val="23"/>
              </w:rPr>
              <w:t xml:space="preserve">Today is different. Today you write a document that you sign under oath, and a judge reads it to decide whether somebody goes to jail.</w:t>
            </w:r>
          </w:p>
          <w:p>
            <w:pPr>
              <w:spacing w:after="130" w:line="320"/>
            </w:pPr>
            <w:r>
              <w:rPr>
                <w:color w:val="1B1B1B"/>
                <w:sz w:val="23"/>
                <w:szCs w:val="23"/>
              </w:rPr>
              <w:t xml:space="preserve">You do not get to be approximately right on this one.</w:t>
            </w:r>
          </w:p>
        </w:tc>
      </w:tr>
    </w:tbl>
    <w:p>
      <w:pPr>
        <w:spacing w:after="230" w:line="276"/>
      </w:pPr>
      <w:r>
        <w:rPr>
          <w:color w:val="1B1B1B"/>
          <w:sz w:val="21"/>
          <w:szCs w:val="21"/>
        </w:rPr>
        <w:t xml:space="preserve"/>
      </w:r>
    </w:p>
    <w:tbl>
      <w:tblPr>
        <w:tblW w:type="dxa" w:w="9360"/>
        <w:tblBorders>
          <w:top w:val="single" w:color="10243A" w:sz="8"/>
          <w:left w:val="single" w:color="10243A" w:sz="8"/>
          <w:bottom w:val="single" w:color="10243A" w:sz="8"/>
          <w:right w:val="single" w:color="10243A" w:sz="8"/>
          <w:insideH w:val="single" w:color="10243A" w:sz="8"/>
          <w:insideV w:val="single" w:color="10243A" w:sz="8"/>
        </w:tblBorders>
      </w:tblPr>
      <w:tblGrid>
        <w:gridCol w:w="7100"/>
        <w:gridCol w:w="2260"/>
      </w:tblGrid>
      <w:tr>
        <w:tc>
          <w:tcPr>
            <w:tcW w:type="dxa" w:w="7100"/>
            <w:shd w:fill="10243A" w:val="clear"/>
            <w:tcMar>
              <w:top w:type="dxa" w:w="100"/>
              <w:left w:type="dxa" w:w="170"/>
              <w:bottom w:type="dxa" w:w="100"/>
              <w:right w:type="dxa" w:w="150"/>
            </w:tcMar>
          </w:tcPr>
          <w:p>
            <w:r>
              <w:rPr>
                <w:b/>
                <w:bCs/>
                <w:color w:val="FFFFFF"/>
                <w:sz w:val="17"/>
                <w:szCs w:val="17"/>
                <w:spacing w:val="30"/>
              </w:rPr>
              <w:t xml:space="preserve">PART 2</w:t>
            </w:r>
            <w:r>
              <w:rPr>
                <w:b/>
                <w:bCs/>
                <w:color w:val="FFFFFF"/>
                <w:sz w:val="17"/>
                <w:szCs w:val="17"/>
                <w:spacing w:val="20"/>
              </w:rPr>
              <w:t xml:space="preserve">    THE LADDER</w:t>
            </w:r>
          </w:p>
        </w:tc>
        <w:tc>
          <w:tcPr>
            <w:tcW w:type="dxa" w:w="2260"/>
            <w:shd w:fill="10243A" w:val="clear"/>
            <w:tcMar>
              <w:top w:type="dxa" w:w="100"/>
              <w:left w:type="dxa" w:w="150"/>
              <w:bottom w:type="dxa" w:w="100"/>
              <w:right w:type="dxa" w:w="170"/>
            </w:tcMar>
          </w:tcPr>
          <w:p>
            <w:pPr>
              <w:jc w:val="right"/>
            </w:pPr>
            <w:r>
              <w:rPr>
                <w:b/>
                <w:bCs/>
                <w:color w:val="FFFFFF"/>
                <w:sz w:val="17"/>
                <w:szCs w:val="17"/>
                <w:spacing w:val="20"/>
              </w:rPr>
              <w:t xml:space="preserve">MIN 8–22</w:t>
            </w:r>
          </w:p>
        </w:tc>
      </w:tr>
    </w:tbl>
    <w:tbl>
      <w:tblPr>
        <w:tblW w:type="dxa" w:w="9360"/>
        <w:tblBorders>
          <w:top w:val="single" w:color="10243A" w:sz="8"/>
          <w:left w:val="single" w:color="10243A" w:sz="8"/>
          <w:bottom w:val="single" w:color="10243A" w:sz="8"/>
          <w:right w:val="single" w:color="10243A" w:sz="8"/>
          <w:insideH w:val="single" w:color="10243A" w:sz="8"/>
          <w:insideV w:val="single" w:color="10243A" w:sz="8"/>
        </w:tblBorders>
      </w:tblPr>
      <w:tblGrid>
        <w:gridCol w:w="9360"/>
      </w:tblGrid>
      <w:tr>
        <w:tc>
          <w:tcPr>
            <w:tcW w:type="dxa" w:w="9360"/>
            <w:shd w:fill="F2F5F8" w:val="clear"/>
            <w:tcMar>
              <w:top w:type="dxa" w:w="110"/>
              <w:left w:type="dxa" w:w="170"/>
              <w:bottom w:type="dxa" w:w="110"/>
              <w:right w:type="dxa" w:w="170"/>
            </w:tcMar>
          </w:tcPr>
          <w:p>
            <w:pPr>
              <w:spacing w:after="0" w:line="275"/>
            </w:pPr>
            <w:r>
              <w:rPr>
                <w:b/>
                <w:bCs/>
                <w:color w:val="10243A"/>
                <w:sz w:val="15"/>
                <w:szCs w:val="15"/>
                <w:spacing w:val="20"/>
              </w:rPr>
              <w:t xml:space="preserve">CUE   </w:t>
            </w:r>
            <w:r>
              <w:rPr>
                <w:i/>
                <w:iCs/>
                <w:color w:val="5F6B79"/>
                <w:sz w:val="19"/>
                <w:szCs w:val="19"/>
              </w:rPr>
              <w:t xml:space="preserve">Levels of proof. It is on their worksheet. Build it on the board from the bottom up.</w:t>
            </w:r>
          </w:p>
        </w:tc>
      </w:tr>
      <w:tr>
        <w:tc>
          <w:tcPr>
            <w:tcW w:type="dxa" w:w="9360"/>
            <w:tcMar>
              <w:top w:type="dxa" w:w="170"/>
              <w:left w:type="dxa" w:w="200"/>
              <w:bottom w:type="dxa" w:w="150"/>
              <w:right w:type="dxa" w:w="200"/>
            </w:tcMar>
          </w:tcPr>
          <w:p>
            <w:pPr>
              <w:spacing w:after="130" w:line="320"/>
            </w:pPr>
            <w:r>
              <w:rPr>
                <w:color w:val="1B1B1B"/>
                <w:sz w:val="23"/>
                <w:szCs w:val="23"/>
              </w:rPr>
              <w:t xml:space="preserve">Every single thing an officer does requires a level of proof, and you cannot swap one for another.</w:t>
            </w:r>
          </w:p>
          <w:p>
            <w:pPr>
              <w:spacing w:after="130" w:line="320"/>
            </w:pPr>
            <w:r>
              <w:rPr>
                <w:color w:val="1B1B1B"/>
                <w:sz w:val="23"/>
                <w:szCs w:val="23"/>
              </w:rPr>
              <w:t xml:space="preserve">Bottom rung. A hunch. You think something is off and you cannot say why. What does a hunch let you do? Nothing. Not one thing.</w:t>
            </w:r>
          </w:p>
          <w:p>
            <w:pPr>
              <w:spacing w:after="130" w:line="320"/>
            </w:pPr>
            <w:r>
              <w:rPr>
                <w:color w:val="1B1B1B"/>
                <w:sz w:val="23"/>
                <w:szCs w:val="23"/>
              </w:rPr>
              <w:t xml:space="preserve">Next. Reasonable suspicion. Now you can point at specific facts and put them into words. That lets you stop somebody briefly and investigate. It does not let you arrest them.</w:t>
            </w:r>
          </w:p>
          <w:p>
            <w:pPr>
              <w:spacing w:after="130" w:line="320"/>
            </w:pPr>
            <w:r>
              <w:rPr>
                <w:color w:val="1B1B1B"/>
                <w:sz w:val="23"/>
                <w:szCs w:val="23"/>
              </w:rPr>
              <w:t xml:space="preserve">Next. Probable cause. Facts that would make a reasonable person believe a crime happened and that this person did it. That is arrest. That is a search warrant. That is a charge.</w:t>
            </w:r>
          </w:p>
          <w:p>
            <w:pPr>
              <w:spacing w:after="130" w:line="320"/>
            </w:pPr>
            <w:r>
              <w:rPr>
                <w:color w:val="1B1B1B"/>
                <w:sz w:val="23"/>
                <w:szCs w:val="23"/>
              </w:rPr>
              <w:t xml:space="preserve">Then preponderance of the evidence, which is civil court, more likely than not. And at the very top, beyond a reasonable doubt — and that one is never yours. That belongs to twelve people in a box.</w:t>
            </w:r>
          </w:p>
          <w:p>
            <w:pPr>
              <w:spacing w:after="130" w:line="320"/>
            </w:pPr>
            <w:r>
              <w:rPr>
                <w:color w:val="1B1B1B"/>
                <w:sz w:val="23"/>
                <w:szCs w:val="23"/>
              </w:rPr>
              <w:t xml:space="preserve">You are writing at probable cause today. One rung. Not the one below it and not the one above it.</w:t>
            </w:r>
          </w:p>
        </w:tc>
      </w:tr>
    </w:tbl>
    <w:p>
      <w:pPr>
        <w:spacing w:after="230" w:line="276"/>
      </w:pPr>
      <w:r>
        <w:rPr>
          <w:color w:val="1B1B1B"/>
          <w:sz w:val="21"/>
          <w:szCs w:val="21"/>
        </w:rPr>
        <w:t xml:space="preserve"/>
      </w:r>
    </w:p>
    <w:tbl>
      <w:tblPr>
        <w:tblW w:type="dxa" w:w="9360"/>
        <w:tblBorders>
          <w:top w:val="single" w:color="9A3412" w:sz="8"/>
          <w:left w:val="single" w:color="9A3412" w:sz="8"/>
          <w:bottom w:val="single" w:color="9A3412" w:sz="8"/>
          <w:right w:val="single" w:color="9A3412" w:sz="8"/>
          <w:insideH w:val="single" w:color="9A3412" w:sz="8"/>
          <w:insideV w:val="single" w:color="9A3412" w:sz="8"/>
        </w:tblBorders>
      </w:tblPr>
      <w:tblGrid>
        <w:gridCol w:w="7100"/>
        <w:gridCol w:w="2260"/>
      </w:tblGrid>
      <w:tr>
        <w:tc>
          <w:tcPr>
            <w:tcW w:type="dxa" w:w="7100"/>
            <w:shd w:fill="9A3412" w:val="clear"/>
            <w:tcMar>
              <w:top w:type="dxa" w:w="100"/>
              <w:left w:type="dxa" w:w="170"/>
              <w:bottom w:type="dxa" w:w="100"/>
              <w:right w:type="dxa" w:w="150"/>
            </w:tcMar>
          </w:tcPr>
          <w:p>
            <w:r>
              <w:rPr>
                <w:b/>
                <w:bCs/>
                <w:color w:val="FFFFFF"/>
                <w:sz w:val="17"/>
                <w:szCs w:val="17"/>
                <w:spacing w:val="30"/>
              </w:rPr>
              <w:t xml:space="preserve">PART 3</w:t>
            </w:r>
            <w:r>
              <w:rPr>
                <w:b/>
                <w:bCs/>
                <w:color w:val="FFFFFF"/>
                <w:sz w:val="17"/>
                <w:szCs w:val="17"/>
                <w:spacing w:val="20"/>
              </w:rPr>
              <w:t xml:space="preserve">    SEND-OFF — PART A</w:t>
            </w:r>
          </w:p>
        </w:tc>
        <w:tc>
          <w:tcPr>
            <w:tcW w:type="dxa" w:w="2260"/>
            <w:shd w:fill="9A3412" w:val="clear"/>
            <w:tcMar>
              <w:top w:type="dxa" w:w="100"/>
              <w:left w:type="dxa" w:w="150"/>
              <w:bottom w:type="dxa" w:w="100"/>
              <w:right w:type="dxa" w:w="170"/>
            </w:tcMar>
          </w:tcPr>
          <w:p>
            <w:pPr>
              <w:jc w:val="right"/>
            </w:pPr>
            <w:r>
              <w:rPr>
                <w:b/>
                <w:bCs/>
                <w:color w:val="FFFFFF"/>
                <w:sz w:val="17"/>
                <w:szCs w:val="17"/>
                <w:spacing w:val="20"/>
              </w:rPr>
              <w:t xml:space="preserve">MIN 22–32</w:t>
            </w:r>
          </w:p>
        </w:tc>
      </w:tr>
    </w:tbl>
    <w:tbl>
      <w:tblPr>
        <w:tblW w:type="dxa" w:w="9360"/>
        <w:tblBorders>
          <w:top w:val="single" w:color="9A3412" w:sz="8"/>
          <w:left w:val="single" w:color="9A3412" w:sz="8"/>
          <w:bottom w:val="single" w:color="9A3412" w:sz="8"/>
          <w:right w:val="single" w:color="9A3412" w:sz="8"/>
          <w:insideH w:val="single" w:color="9A3412" w:sz="8"/>
          <w:insideV w:val="single" w:color="9A3412" w:sz="8"/>
        </w:tblBorders>
      </w:tblPr>
      <w:tblGrid>
        <w:gridCol w:w="9360"/>
      </w:tblGrid>
      <w:tr>
        <w:tc>
          <w:tcPr>
            <w:tcW w:type="dxa" w:w="9360"/>
            <w:shd w:fill="FDF3EC" w:val="clear"/>
            <w:tcMar>
              <w:top w:type="dxa" w:w="110"/>
              <w:left w:type="dxa" w:w="170"/>
              <w:bottom w:type="dxa" w:w="110"/>
              <w:right w:type="dxa" w:w="170"/>
            </w:tcMar>
          </w:tcPr>
          <w:p>
            <w:pPr>
              <w:spacing w:after="0" w:line="275"/>
            </w:pPr>
            <w:r>
              <w:rPr>
                <w:b/>
                <w:bCs/>
                <w:color w:val="9A3412"/>
                <w:sz w:val="15"/>
                <w:szCs w:val="15"/>
                <w:spacing w:val="20"/>
              </w:rPr>
              <w:t xml:space="preserve">CUE   </w:t>
            </w:r>
            <w:r>
              <w:rPr>
                <w:i/>
                <w:iCs/>
                <w:color w:val="5F6B79"/>
                <w:sz w:val="19"/>
                <w:szCs w:val="19"/>
              </w:rPr>
              <w:t xml:space="preserve">Report review, on their own work. Ten minutes. The last question is the one that matters.</w:t>
            </w:r>
          </w:p>
        </w:tc>
      </w:tr>
      <w:tr>
        <w:tc>
          <w:tcPr>
            <w:tcW w:type="dxa" w:w="9360"/>
            <w:tcMar>
              <w:top w:type="dxa" w:w="170"/>
              <w:left w:type="dxa" w:w="200"/>
              <w:bottom w:type="dxa" w:w="150"/>
              <w:right w:type="dxa" w:w="200"/>
            </w:tcMar>
          </w:tcPr>
          <w:p>
            <w:pPr>
              <w:spacing w:after="130" w:line="320"/>
            </w:pPr>
            <w:r>
              <w:rPr>
                <w:color w:val="1B1B1B"/>
                <w:sz w:val="23"/>
                <w:szCs w:val="23"/>
              </w:rPr>
              <w:t xml:space="preserve">Worksheet, Part A. Ten minutes. Run the checklist against your own report, honestly — nobody is marking the boxes.</w:t>
            </w:r>
          </w:p>
          <w:p>
            <w:pPr>
              <w:spacing w:after="130" w:line="320"/>
            </w:pPr>
            <w:r>
              <w:rPr>
                <w:color w:val="1B1B1B"/>
                <w:sz w:val="23"/>
                <w:szCs w:val="23"/>
              </w:rPr>
              <w:t xml:space="preserve">Then two written questions. First, the one thing you would change about your report now that you have read it back.</w:t>
            </w:r>
          </w:p>
          <w:p>
            <w:pPr>
              <w:spacing w:after="130" w:line="320"/>
            </w:pPr>
            <w:r>
              <w:rPr>
                <w:color w:val="1B1B1B"/>
                <w:sz w:val="23"/>
                <w:szCs w:val="23"/>
              </w:rPr>
              <w:t xml:space="preserve">Second one, and think about this. Before today, against a named person, where was this case on the ladder?</w:t>
            </w:r>
          </w:p>
          <w:p>
            <w:pPr>
              <w:spacing w:before="60" w:after="110" w:line="280"/>
              <w:ind w:left="300"/>
            </w:pPr>
            <w:r>
              <w:rPr>
                <w:i/>
                <w:iCs/>
                <w:color w:val="5F6B79"/>
                <w:sz w:val="19"/>
                <w:szCs w:val="19"/>
              </w:rPr>
              <w:t xml:space="preserve">Let them answer it themselves. The honest answer is nowhere — there was no named person at all.</w:t>
            </w:r>
          </w:p>
          <w:p>
            <w:pPr>
              <w:spacing w:after="130" w:line="320"/>
            </w:pPr>
            <w:r>
              <w:rPr>
                <w:color w:val="1B1B1B"/>
                <w:sz w:val="23"/>
                <w:szCs w:val="23"/>
              </w:rPr>
              <w:t xml:space="preserve">Go.</w:t>
            </w:r>
          </w:p>
        </w:tc>
      </w:tr>
    </w:tbl>
    <w:p>
      <w:pPr>
        <w:spacing w:after="230" w:line="276"/>
      </w:pPr>
      <w:r>
        <w:rPr>
          <w:color w:val="1B1B1B"/>
          <w:sz w:val="21"/>
          <w:szCs w:val="21"/>
        </w:rPr>
        <w:t xml:space="preserve"/>
      </w:r>
    </w:p>
    <w:tbl>
      <w:tblPr>
        <w:tblW w:type="dxa" w:w="9360"/>
        <w:tblBorders>
          <w:top w:val="single" w:color="10243A" w:sz="8"/>
          <w:left w:val="single" w:color="10243A" w:sz="8"/>
          <w:bottom w:val="single" w:color="10243A" w:sz="8"/>
          <w:right w:val="single" w:color="10243A" w:sz="8"/>
          <w:insideH w:val="single" w:color="10243A" w:sz="8"/>
          <w:insideV w:val="single" w:color="10243A" w:sz="8"/>
        </w:tblBorders>
      </w:tblPr>
      <w:tblGrid>
        <w:gridCol w:w="7100"/>
        <w:gridCol w:w="2260"/>
      </w:tblGrid>
      <w:tr>
        <w:tc>
          <w:tcPr>
            <w:tcW w:type="dxa" w:w="7100"/>
            <w:shd w:fill="10243A" w:val="clear"/>
            <w:tcMar>
              <w:top w:type="dxa" w:w="100"/>
              <w:left w:type="dxa" w:w="170"/>
              <w:bottom w:type="dxa" w:w="100"/>
              <w:right w:type="dxa" w:w="150"/>
            </w:tcMar>
          </w:tcPr>
          <w:p>
            <w:r>
              <w:rPr>
                <w:b/>
                <w:bCs/>
                <w:color w:val="FFFFFF"/>
                <w:sz w:val="17"/>
                <w:szCs w:val="17"/>
                <w:spacing w:val="30"/>
              </w:rPr>
              <w:t xml:space="preserve">PART 4</w:t>
            </w:r>
            <w:r>
              <w:rPr>
                <w:b/>
                <w:bCs/>
                <w:color w:val="FFFFFF"/>
                <w:sz w:val="17"/>
                <w:szCs w:val="17"/>
                <w:spacing w:val="20"/>
              </w:rPr>
              <w:t xml:space="preserve">    THE DROP — THE PAWN RECORD</w:t>
            </w:r>
          </w:p>
        </w:tc>
        <w:tc>
          <w:tcPr>
            <w:tcW w:type="dxa" w:w="2260"/>
            <w:shd w:fill="10243A" w:val="clear"/>
            <w:tcMar>
              <w:top w:type="dxa" w:w="100"/>
              <w:left w:type="dxa" w:w="150"/>
              <w:bottom w:type="dxa" w:w="100"/>
              <w:right w:type="dxa" w:w="170"/>
            </w:tcMar>
          </w:tcPr>
          <w:p>
            <w:pPr>
              <w:jc w:val="right"/>
            </w:pPr>
            <w:r>
              <w:rPr>
                <w:b/>
                <w:bCs/>
                <w:color w:val="FFFFFF"/>
                <w:sz w:val="17"/>
                <w:szCs w:val="17"/>
                <w:spacing w:val="20"/>
              </w:rPr>
              <w:t xml:space="preserve">MIN 32–40</w:t>
            </w:r>
          </w:p>
        </w:tc>
      </w:tr>
    </w:tbl>
    <w:tbl>
      <w:tblPr>
        <w:tblW w:type="dxa" w:w="9360"/>
        <w:tblBorders>
          <w:top w:val="single" w:color="10243A" w:sz="8"/>
          <w:left w:val="single" w:color="10243A" w:sz="8"/>
          <w:bottom w:val="single" w:color="10243A" w:sz="8"/>
          <w:right w:val="single" w:color="10243A" w:sz="8"/>
          <w:insideH w:val="single" w:color="10243A" w:sz="8"/>
          <w:insideV w:val="single" w:color="10243A" w:sz="8"/>
        </w:tblBorders>
      </w:tblPr>
      <w:tblGrid>
        <w:gridCol w:w="9360"/>
      </w:tblGrid>
      <w:tr>
        <w:tc>
          <w:tcPr>
            <w:tcW w:type="dxa" w:w="9360"/>
            <w:shd w:fill="F2F5F8" w:val="clear"/>
            <w:tcMar>
              <w:top w:type="dxa" w:w="110"/>
              <w:left w:type="dxa" w:w="170"/>
              <w:bottom w:type="dxa" w:w="110"/>
              <w:right w:type="dxa" w:w="170"/>
            </w:tcMar>
          </w:tcPr>
          <w:p>
            <w:pPr>
              <w:spacing w:after="0" w:line="275"/>
            </w:pPr>
            <w:r>
              <w:rPr>
                <w:b/>
                <w:bCs/>
                <w:color w:val="10243A"/>
                <w:sz w:val="15"/>
                <w:szCs w:val="15"/>
                <w:spacing w:val="20"/>
              </w:rPr>
              <w:t xml:space="preserve">CUE   </w:t>
            </w:r>
            <w:r>
              <w:rPr>
                <w:i/>
                <w:iCs/>
                <w:color w:val="5F6B79"/>
                <w:sz w:val="19"/>
                <w:szCs w:val="19"/>
              </w:rPr>
              <w:t xml:space="preserve">Publish file 1 and put it on the board. Do not explain it. Let them find the asset tags themselves.</w:t>
            </w:r>
          </w:p>
        </w:tc>
      </w:tr>
      <w:tr>
        <w:tc>
          <w:tcPr>
            <w:tcW w:type="dxa" w:w="9360"/>
            <w:tcMar>
              <w:top w:type="dxa" w:w="170"/>
              <w:left w:type="dxa" w:w="200"/>
              <w:bottom w:type="dxa" w:w="150"/>
              <w:right w:type="dxa" w:w="200"/>
            </w:tcMar>
          </w:tcPr>
          <w:p>
            <w:pPr>
              <w:spacing w:after="130" w:line="320"/>
            </w:pPr>
            <w:r>
              <w:rPr>
                <w:color w:val="1B1B1B"/>
                <w:sz w:val="23"/>
                <w:szCs w:val="23"/>
              </w:rPr>
              <w:t xml:space="preserve">Stop. Something came back.</w:t>
            </w:r>
          </w:p>
          <w:p>
            <w:pPr>
              <w:spacing w:after="130" w:line="320"/>
            </w:pPr>
            <w:r>
              <w:rPr>
                <w:color w:val="1B1B1B"/>
                <w:sz w:val="23"/>
                <w:szCs w:val="23"/>
              </w:rPr>
              <w:t xml:space="preserve">Three days after you filed your report, you ran the asset tags from your own supplemental report through the pawn database. Pawnbrokers have to record every transaction and report it. That is why this search is even possible.</w:t>
            </w:r>
          </w:p>
          <w:p>
            <w:pPr>
              <w:spacing w:after="130" w:line="320"/>
            </w:pPr>
            <w:r>
              <w:rPr>
                <w:color w:val="1B1B1B"/>
                <w:sz w:val="23"/>
                <w:szCs w:val="23"/>
              </w:rPr>
              <w:t xml:space="preserve">Two of the nine came back.</w:t>
            </w:r>
          </w:p>
          <w:p>
            <w:pPr>
              <w:spacing w:before="60" w:after="110" w:line="280"/>
              <w:ind w:left="300"/>
            </w:pPr>
            <w:r>
              <w:rPr>
                <w:i/>
                <w:iCs/>
                <w:color w:val="5F6B79"/>
                <w:sz w:val="19"/>
                <w:szCs w:val="19"/>
              </w:rPr>
              <w:t xml:space="preserve">Put file 1 on the board. Say nothing. Wait for somebody to read the asset tags out loud.</w:t>
            </w:r>
          </w:p>
          <w:p>
            <w:pPr>
              <w:spacing w:after="130" w:line="320"/>
            </w:pPr>
            <w:r>
              <w:rPr>
                <w:color w:val="1B1B1B"/>
                <w:sz w:val="23"/>
                <w:szCs w:val="23"/>
              </w:rPr>
              <w:t xml:space="preserve">CC-0043 and CC-0047. Where did those numbers come from?</w:t>
            </w:r>
          </w:p>
          <w:p>
            <w:pPr>
              <w:spacing w:before="60" w:after="110" w:line="280"/>
              <w:ind w:left="300"/>
            </w:pPr>
            <w:r>
              <w:rPr>
                <w:i/>
                <w:iCs/>
                <w:color w:val="5F6B79"/>
                <w:sz w:val="19"/>
                <w:szCs w:val="19"/>
              </w:rPr>
              <w:t xml:space="preserve">They wrote them down last week, off Vance. Let that land.</w:t>
            </w:r>
          </w:p>
          <w:p>
            <w:pPr>
              <w:spacing w:after="130" w:line="320"/>
            </w:pPr>
            <w:r>
              <w:rPr>
                <w:color w:val="1B1B1B"/>
                <w:sz w:val="23"/>
                <w:szCs w:val="23"/>
              </w:rPr>
              <w:t xml:space="preserve">That is why you write the tags down. A year from now that is the only reason this case closes.</w:t>
            </w:r>
          </w:p>
          <w:p>
            <w:pPr>
              <w:spacing w:after="130" w:line="320"/>
            </w:pPr>
            <w:r>
              <w:rPr>
                <w:color w:val="1B1B1B"/>
                <w:sz w:val="23"/>
                <w:szCs w:val="23"/>
              </w:rPr>
              <w:t xml:space="preserve">Now — where are we on the ladder? Has it moved?</w:t>
            </w:r>
          </w:p>
        </w:tc>
      </w:tr>
    </w:tbl>
    <w:p>
      <w:pPr>
        <w:spacing w:after="230" w:line="276"/>
      </w:pPr>
      <w:r>
        <w:rPr>
          <w:color w:val="1B1B1B"/>
          <w:sz w:val="21"/>
          <w:szCs w:val="21"/>
        </w:rPr>
        <w:t xml:space="preserve"/>
      </w:r>
    </w:p>
    <w:tbl>
      <w:tblPr>
        <w:tblW w:type="dxa" w:w="9360"/>
        <w:tblBorders>
          <w:top w:val="single" w:color="9A3412" w:sz="8"/>
          <w:left w:val="single" w:color="9A3412" w:sz="8"/>
          <w:bottom w:val="single" w:color="9A3412" w:sz="8"/>
          <w:right w:val="single" w:color="9A3412" w:sz="8"/>
          <w:insideH w:val="single" w:color="9A3412" w:sz="8"/>
          <w:insideV w:val="single" w:color="9A3412" w:sz="8"/>
        </w:tblBorders>
      </w:tblPr>
      <w:tblGrid>
        <w:gridCol w:w="7100"/>
        <w:gridCol w:w="2260"/>
      </w:tblGrid>
      <w:tr>
        <w:tc>
          <w:tcPr>
            <w:tcW w:type="dxa" w:w="7100"/>
            <w:shd w:fill="9A3412" w:val="clear"/>
            <w:tcMar>
              <w:top w:type="dxa" w:w="100"/>
              <w:left w:type="dxa" w:w="170"/>
              <w:bottom w:type="dxa" w:w="100"/>
              <w:right w:type="dxa" w:w="150"/>
            </w:tcMar>
          </w:tcPr>
          <w:p>
            <w:r>
              <w:rPr>
                <w:b/>
                <w:bCs/>
                <w:color w:val="FFFFFF"/>
                <w:sz w:val="17"/>
                <w:szCs w:val="17"/>
                <w:spacing w:val="30"/>
              </w:rPr>
              <w:t xml:space="preserve">PART 5</w:t>
            </w:r>
            <w:r>
              <w:rPr>
                <w:b/>
                <w:bCs/>
                <w:color w:val="FFFFFF"/>
                <w:sz w:val="17"/>
                <w:szCs w:val="17"/>
                <w:spacing w:val="20"/>
              </w:rPr>
              <w:t xml:space="preserve">    SEND-OFF — PART B, FIND THE LAW</w:t>
            </w:r>
          </w:p>
        </w:tc>
        <w:tc>
          <w:tcPr>
            <w:tcW w:type="dxa" w:w="2260"/>
            <w:shd w:fill="9A3412" w:val="clear"/>
            <w:tcMar>
              <w:top w:type="dxa" w:w="100"/>
              <w:left w:type="dxa" w:w="150"/>
              <w:bottom w:type="dxa" w:w="100"/>
              <w:right w:type="dxa" w:w="170"/>
            </w:tcMar>
          </w:tcPr>
          <w:p>
            <w:pPr>
              <w:jc w:val="right"/>
            </w:pPr>
            <w:r>
              <w:rPr>
                <w:b/>
                <w:bCs/>
                <w:color w:val="FFFFFF"/>
                <w:sz w:val="17"/>
                <w:szCs w:val="17"/>
                <w:spacing w:val="20"/>
              </w:rPr>
              <w:t xml:space="preserve">MIN 40–52</w:t>
            </w:r>
          </w:p>
        </w:tc>
      </w:tr>
    </w:tbl>
    <w:tbl>
      <w:tblPr>
        <w:tblW w:type="dxa" w:w="9360"/>
        <w:tblBorders>
          <w:top w:val="single" w:color="9A3412" w:sz="8"/>
          <w:left w:val="single" w:color="9A3412" w:sz="8"/>
          <w:bottom w:val="single" w:color="9A3412" w:sz="8"/>
          <w:right w:val="single" w:color="9A3412" w:sz="8"/>
          <w:insideH w:val="single" w:color="9A3412" w:sz="8"/>
          <w:insideV w:val="single" w:color="9A3412" w:sz="8"/>
        </w:tblBorders>
      </w:tblPr>
      <w:tblGrid>
        <w:gridCol w:w="9360"/>
      </w:tblGrid>
      <w:tr>
        <w:tc>
          <w:tcPr>
            <w:tcW w:type="dxa" w:w="9360"/>
            <w:shd w:fill="FDF3EC" w:val="clear"/>
            <w:tcMar>
              <w:top w:type="dxa" w:w="110"/>
              <w:left w:type="dxa" w:w="170"/>
              <w:bottom w:type="dxa" w:w="110"/>
              <w:right w:type="dxa" w:w="170"/>
            </w:tcMar>
          </w:tcPr>
          <w:p>
            <w:pPr>
              <w:spacing w:after="0" w:line="275"/>
            </w:pPr>
            <w:r>
              <w:rPr>
                <w:b/>
                <w:bCs/>
                <w:color w:val="9A3412"/>
                <w:sz w:val="15"/>
                <w:szCs w:val="15"/>
                <w:spacing w:val="20"/>
              </w:rPr>
              <w:t xml:space="preserve">CUE   </w:t>
            </w:r>
            <w:r>
              <w:rPr>
                <w:i/>
                <w:iCs/>
                <w:color w:val="5F6B79"/>
                <w:sz w:val="19"/>
                <w:szCs w:val="19"/>
              </w:rPr>
              <w:t xml:space="preserve">Chromebooks. flsenate.gov. Twelve minutes. Do not give them the number.</w:t>
            </w:r>
          </w:p>
        </w:tc>
      </w:tr>
      <w:tr>
        <w:tc>
          <w:tcPr>
            <w:tcW w:type="dxa" w:w="9360"/>
            <w:tcMar>
              <w:top w:type="dxa" w:w="170"/>
              <w:left w:type="dxa" w:w="200"/>
              <w:bottom w:type="dxa" w:w="150"/>
              <w:right w:type="dxa" w:w="200"/>
            </w:tcMar>
          </w:tcPr>
          <w:p>
            <w:pPr>
              <w:spacing w:after="130" w:line="320"/>
            </w:pPr>
            <w:r>
              <w:rPr>
                <w:color w:val="1B1B1B"/>
                <w:sz w:val="23"/>
                <w:szCs w:val="23"/>
              </w:rPr>
              <w:t xml:space="preserve">Part B. Twelve minutes, on your devices.</w:t>
            </w:r>
          </w:p>
          <w:p>
            <w:pPr>
              <w:spacing w:after="130" w:line="320"/>
            </w:pPr>
            <w:r>
              <w:rPr>
                <w:color w:val="1B1B1B"/>
                <w:sz w:val="23"/>
                <w:szCs w:val="23"/>
              </w:rPr>
              <w:t xml:space="preserve">A report describes what happened. A charge has to name a statute — and nobody is going to hand you the number. Finding it is the job, and you will do it this way for the rest of your career.</w:t>
            </w:r>
          </w:p>
          <w:p>
            <w:pPr>
              <w:spacing w:after="130" w:line="320"/>
            </w:pPr>
            <w:r>
              <w:rPr>
                <w:color w:val="1B1B1B"/>
                <w:sz w:val="23"/>
                <w:szCs w:val="23"/>
              </w:rPr>
              <w:t xml:space="preserve">flsenate.gov. Laws, then Florida Statutes. Chapter 812 — Theft, Robbery and Related Crimes. Find the section that defines theft.</w:t>
            </w:r>
          </w:p>
          <w:p>
            <w:pPr>
              <w:spacing w:after="130" w:line="320"/>
            </w:pPr>
            <w:r>
              <w:rPr>
                <w:color w:val="1B1B1B"/>
                <w:sz w:val="23"/>
                <w:szCs w:val="23"/>
              </w:rPr>
              <w:t xml:space="preserve">Read subsection one for what theft is. Then subsection two, because the degree changes with the value.</w:t>
            </w:r>
          </w:p>
          <w:p>
            <w:pPr>
              <w:spacing w:after="130" w:line="320"/>
            </w:pPr>
            <w:r>
              <w:rPr>
                <w:color w:val="1B1B1B"/>
                <w:sz w:val="23"/>
                <w:szCs w:val="23"/>
              </w:rPr>
              <w:t xml:space="preserve">Nine laptops at about five hundred and twenty dollars. Do the arithmetic, then find the tier your total falls into. And copy the statute’s exact words — do not paraphrase a law you are about to swear to.</w:t>
            </w:r>
          </w:p>
          <w:p>
            <w:pPr>
              <w:spacing w:after="130" w:line="320"/>
            </w:pPr>
            <w:r>
              <w:rPr>
                <w:color w:val="1B1B1B"/>
                <w:sz w:val="23"/>
                <w:szCs w:val="23"/>
              </w:rPr>
              <w:t xml:space="preserve">Go.</w:t>
            </w:r>
          </w:p>
        </w:tc>
      </w:tr>
    </w:tbl>
    <w:p>
      <w:pPr>
        <w:spacing w:after="230" w:line="276"/>
      </w:pPr>
      <w:r>
        <w:rPr>
          <w:color w:val="1B1B1B"/>
          <w:sz w:val="21"/>
          <w:szCs w:val="21"/>
        </w:rPr>
        <w:t xml:space="preserve"/>
      </w:r>
    </w:p>
    <w:tbl>
      <w:tblPr>
        <w:tblW w:type="dxa" w:w="9360"/>
        <w:tblBorders>
          <w:top w:val="single" w:color="10243A" w:sz="8"/>
          <w:left w:val="single" w:color="10243A" w:sz="8"/>
          <w:bottom w:val="single" w:color="10243A" w:sz="8"/>
          <w:right w:val="single" w:color="10243A" w:sz="8"/>
          <w:insideH w:val="single" w:color="10243A" w:sz="8"/>
          <w:insideV w:val="single" w:color="10243A" w:sz="8"/>
        </w:tblBorders>
      </w:tblPr>
      <w:tblGrid>
        <w:gridCol w:w="7100"/>
        <w:gridCol w:w="2260"/>
      </w:tblGrid>
      <w:tr>
        <w:tc>
          <w:tcPr>
            <w:tcW w:type="dxa" w:w="7100"/>
            <w:shd w:fill="10243A" w:val="clear"/>
            <w:tcMar>
              <w:top w:type="dxa" w:w="100"/>
              <w:left w:type="dxa" w:w="170"/>
              <w:bottom w:type="dxa" w:w="100"/>
              <w:right w:type="dxa" w:w="150"/>
            </w:tcMar>
          </w:tcPr>
          <w:p>
            <w:r>
              <w:rPr>
                <w:b/>
                <w:bCs/>
                <w:color w:val="FFFFFF"/>
                <w:sz w:val="17"/>
                <w:szCs w:val="17"/>
                <w:spacing w:val="30"/>
              </w:rPr>
              <w:t xml:space="preserve">PART 6</w:t>
            </w:r>
            <w:r>
              <w:rPr>
                <w:b/>
                <w:bCs/>
                <w:color w:val="FFFFFF"/>
                <w:sz w:val="17"/>
                <w:szCs w:val="17"/>
                <w:spacing w:val="20"/>
              </w:rPr>
              <w:t xml:space="preserve">    PART C — ELEMENT BY ELEMENT</w:t>
            </w:r>
          </w:p>
        </w:tc>
        <w:tc>
          <w:tcPr>
            <w:tcW w:type="dxa" w:w="2260"/>
            <w:shd w:fill="10243A" w:val="clear"/>
            <w:tcMar>
              <w:top w:type="dxa" w:w="100"/>
              <w:left w:type="dxa" w:w="150"/>
              <w:bottom w:type="dxa" w:w="100"/>
              <w:right w:type="dxa" w:w="170"/>
            </w:tcMar>
          </w:tcPr>
          <w:p>
            <w:pPr>
              <w:jc w:val="right"/>
            </w:pPr>
            <w:r>
              <w:rPr>
                <w:b/>
                <w:bCs/>
                <w:color w:val="FFFFFF"/>
                <w:sz w:val="17"/>
                <w:szCs w:val="17"/>
                <w:spacing w:val="20"/>
              </w:rPr>
              <w:t xml:space="preserve">MIN 52–62</w:t>
            </w:r>
          </w:p>
        </w:tc>
      </w:tr>
    </w:tbl>
    <w:tbl>
      <w:tblPr>
        <w:tblW w:type="dxa" w:w="9360"/>
        <w:tblBorders>
          <w:top w:val="single" w:color="10243A" w:sz="8"/>
          <w:left w:val="single" w:color="10243A" w:sz="8"/>
          <w:bottom w:val="single" w:color="10243A" w:sz="8"/>
          <w:right w:val="single" w:color="10243A" w:sz="8"/>
          <w:insideH w:val="single" w:color="10243A" w:sz="8"/>
          <w:insideV w:val="single" w:color="10243A" w:sz="8"/>
        </w:tblBorders>
      </w:tblPr>
      <w:tblGrid>
        <w:gridCol w:w="9360"/>
      </w:tblGrid>
      <w:tr>
        <w:tc>
          <w:tcPr>
            <w:tcW w:type="dxa" w:w="9360"/>
            <w:shd w:fill="F2F5F8" w:val="clear"/>
            <w:tcMar>
              <w:top w:type="dxa" w:w="110"/>
              <w:left w:type="dxa" w:w="170"/>
              <w:bottom w:type="dxa" w:w="110"/>
              <w:right w:type="dxa" w:w="170"/>
            </w:tcMar>
          </w:tcPr>
          <w:p>
            <w:pPr>
              <w:spacing w:after="0" w:line="275"/>
            </w:pPr>
            <w:r>
              <w:rPr>
                <w:b/>
                <w:bCs/>
                <w:color w:val="10243A"/>
                <w:sz w:val="15"/>
                <w:szCs w:val="15"/>
                <w:spacing w:val="20"/>
              </w:rPr>
              <w:t xml:space="preserve">CUE   </w:t>
            </w:r>
            <w:r>
              <w:rPr>
                <w:i/>
                <w:iCs/>
                <w:color w:val="5F6B79"/>
                <w:sz w:val="19"/>
                <w:szCs w:val="19"/>
              </w:rPr>
              <w:t xml:space="preserve">The intellectual core of the lesson. Model one row on the board before they work.</w:t>
            </w:r>
          </w:p>
        </w:tc>
      </w:tr>
      <w:tr>
        <w:tc>
          <w:tcPr>
            <w:tcW w:type="dxa" w:w="9360"/>
            <w:tcMar>
              <w:top w:type="dxa" w:w="170"/>
              <w:left w:type="dxa" w:w="200"/>
              <w:bottom w:type="dxa" w:w="150"/>
              <w:right w:type="dxa" w:w="200"/>
            </w:tcMar>
          </w:tcPr>
          <w:p>
            <w:pPr>
              <w:spacing w:after="130" w:line="320"/>
            </w:pPr>
            <w:r>
              <w:rPr>
                <w:color w:val="1B1B1B"/>
                <w:sz w:val="23"/>
                <w:szCs w:val="23"/>
              </w:rPr>
              <w:t xml:space="preserve">Part C, and this is the part that matters most today.</w:t>
            </w:r>
          </w:p>
          <w:p>
            <w:pPr>
              <w:spacing w:after="130" w:line="320"/>
            </w:pPr>
            <w:r>
              <w:rPr>
                <w:color w:val="1B1B1B"/>
                <w:sz w:val="23"/>
                <w:szCs w:val="23"/>
              </w:rPr>
              <w:t xml:space="preserve">A statute is a list of parts. Lawyers call them elements. Every part has to be matched to a fact, and every fact has to come from somewhere in your file.</w:t>
            </w:r>
          </w:p>
          <w:p>
            <w:pPr>
              <w:spacing w:before="60" w:after="110" w:line="280"/>
              <w:ind w:left="300"/>
            </w:pPr>
            <w:r>
              <w:rPr>
                <w:i/>
                <w:iCs/>
                <w:color w:val="5F6B79"/>
                <w:sz w:val="19"/>
                <w:szCs w:val="19"/>
              </w:rPr>
              <w:t xml:space="preserve">Model one row on the board.</w:t>
            </w:r>
          </w:p>
          <w:p>
            <w:pPr>
              <w:spacing w:after="130" w:line="320"/>
            </w:pPr>
            <w:r>
              <w:rPr>
                <w:color w:val="1B1B1B"/>
                <w:sz w:val="23"/>
                <w:szCs w:val="23"/>
              </w:rPr>
              <w:t xml:space="preserve">Say the statute requires that the property belonged to somebody else. What fact satisfies that? Vance said she bought them in February and she keeps the inventory. Where did that come from? Vance statement. That is a complete row.</w:t>
            </w:r>
          </w:p>
          <w:p>
            <w:pPr>
              <w:spacing w:after="130" w:line="320"/>
            </w:pPr>
            <w:r>
              <w:rPr>
                <w:color w:val="1B1B1B"/>
                <w:sz w:val="23"/>
                <w:szCs w:val="23"/>
              </w:rPr>
              <w:t xml:space="preserve">Now you do the rest. And if you cannot fill a row — stop and look at that. A row you cannot fill means you do not have probable cause. You have a theory.</w:t>
            </w:r>
          </w:p>
        </w:tc>
      </w:tr>
    </w:tbl>
    <w:p>
      <w:pPr>
        <w:spacing w:after="230" w:line="276"/>
      </w:pPr>
      <w:r>
        <w:rPr>
          <w:color w:val="1B1B1B"/>
          <w:sz w:val="21"/>
          <w:szCs w:val="21"/>
        </w:rPr>
        <w:t xml:space="preserve"/>
      </w:r>
    </w:p>
    <w:tbl>
      <w:tblPr>
        <w:tblW w:type="dxa" w:w="9360"/>
        <w:tblBorders>
          <w:top w:val="single" w:color="9A3412" w:sz="8"/>
          <w:left w:val="single" w:color="9A3412" w:sz="8"/>
          <w:bottom w:val="single" w:color="9A3412" w:sz="8"/>
          <w:right w:val="single" w:color="9A3412" w:sz="8"/>
          <w:insideH w:val="single" w:color="9A3412" w:sz="8"/>
          <w:insideV w:val="single" w:color="9A3412" w:sz="8"/>
        </w:tblBorders>
      </w:tblPr>
      <w:tblGrid>
        <w:gridCol w:w="7100"/>
        <w:gridCol w:w="2260"/>
      </w:tblGrid>
      <w:tr>
        <w:tc>
          <w:tcPr>
            <w:tcW w:type="dxa" w:w="7100"/>
            <w:shd w:fill="9A3412" w:val="clear"/>
            <w:tcMar>
              <w:top w:type="dxa" w:w="100"/>
              <w:left w:type="dxa" w:w="170"/>
              <w:bottom w:type="dxa" w:w="100"/>
              <w:right w:type="dxa" w:w="150"/>
            </w:tcMar>
          </w:tcPr>
          <w:p>
            <w:r>
              <w:rPr>
                <w:b/>
                <w:bCs/>
                <w:color w:val="FFFFFF"/>
                <w:sz w:val="17"/>
                <w:szCs w:val="17"/>
                <w:spacing w:val="30"/>
              </w:rPr>
              <w:t xml:space="preserve">PART 7</w:t>
            </w:r>
            <w:r>
              <w:rPr>
                <w:b/>
                <w:bCs/>
                <w:color w:val="FFFFFF"/>
                <w:sz w:val="17"/>
                <w:szCs w:val="17"/>
                <w:spacing w:val="20"/>
              </w:rPr>
              <w:t xml:space="preserve">    SEND-OFF — PART D, THE AFFIDAVIT</w:t>
            </w:r>
          </w:p>
        </w:tc>
        <w:tc>
          <w:tcPr>
            <w:tcW w:type="dxa" w:w="2260"/>
            <w:shd w:fill="9A3412" w:val="clear"/>
            <w:tcMar>
              <w:top w:type="dxa" w:w="100"/>
              <w:left w:type="dxa" w:w="150"/>
              <w:bottom w:type="dxa" w:w="100"/>
              <w:right w:type="dxa" w:w="170"/>
            </w:tcMar>
          </w:tcPr>
          <w:p>
            <w:pPr>
              <w:jc w:val="right"/>
            </w:pPr>
            <w:r>
              <w:rPr>
                <w:b/>
                <w:bCs/>
                <w:color w:val="FFFFFF"/>
                <w:sz w:val="17"/>
                <w:szCs w:val="17"/>
                <w:spacing w:val="20"/>
              </w:rPr>
              <w:t xml:space="preserve">MIN 62–80</w:t>
            </w:r>
          </w:p>
        </w:tc>
      </w:tr>
    </w:tbl>
    <w:tbl>
      <w:tblPr>
        <w:tblW w:type="dxa" w:w="9360"/>
        <w:tblBorders>
          <w:top w:val="single" w:color="9A3412" w:sz="8"/>
          <w:left w:val="single" w:color="9A3412" w:sz="8"/>
          <w:bottom w:val="single" w:color="9A3412" w:sz="8"/>
          <w:right w:val="single" w:color="9A3412" w:sz="8"/>
          <w:insideH w:val="single" w:color="9A3412" w:sz="8"/>
          <w:insideV w:val="single" w:color="9A3412" w:sz="8"/>
        </w:tblBorders>
      </w:tblPr>
      <w:tblGrid>
        <w:gridCol w:w="9360"/>
      </w:tblGrid>
      <w:tr>
        <w:tc>
          <w:tcPr>
            <w:tcW w:type="dxa" w:w="9360"/>
            <w:shd w:fill="FDF3EC" w:val="clear"/>
            <w:tcMar>
              <w:top w:type="dxa" w:w="110"/>
              <w:left w:type="dxa" w:w="170"/>
              <w:bottom w:type="dxa" w:w="110"/>
              <w:right w:type="dxa" w:w="170"/>
            </w:tcMar>
          </w:tcPr>
          <w:p>
            <w:pPr>
              <w:spacing w:after="0" w:line="275"/>
            </w:pPr>
            <w:r>
              <w:rPr>
                <w:b/>
                <w:bCs/>
                <w:color w:val="9A3412"/>
                <w:sz w:val="15"/>
                <w:szCs w:val="15"/>
                <w:spacing w:val="20"/>
              </w:rPr>
              <w:t xml:space="preserve">CUE   </w:t>
            </w:r>
            <w:r>
              <w:rPr>
                <w:i/>
                <w:iCs/>
                <w:color w:val="5F6B79"/>
                <w:sz w:val="19"/>
                <w:szCs w:val="19"/>
              </w:rPr>
              <w:t xml:space="preserve">Eighteen minutes. Short and sworn. Do not let them retell the whole narrative.</w:t>
            </w:r>
          </w:p>
        </w:tc>
      </w:tr>
      <w:tr>
        <w:tc>
          <w:tcPr>
            <w:tcW w:type="dxa" w:w="9360"/>
            <w:tcMar>
              <w:top w:type="dxa" w:w="170"/>
              <w:left w:type="dxa" w:w="200"/>
              <w:bottom w:type="dxa" w:w="150"/>
              <w:right w:type="dxa" w:w="200"/>
            </w:tcMar>
          </w:tcPr>
          <w:p>
            <w:pPr>
              <w:spacing w:after="130" w:line="320"/>
            </w:pPr>
            <w:r>
              <w:rPr>
                <w:color w:val="1B1B1B"/>
                <w:sz w:val="23"/>
                <w:szCs w:val="23"/>
              </w:rPr>
              <w:t xml:space="preserve">Part D. Eighteen minutes. This is the affidavit.</w:t>
            </w:r>
          </w:p>
          <w:p>
            <w:pPr>
              <w:spacing w:after="130" w:line="320"/>
            </w:pPr>
            <w:r>
              <w:rPr>
                <w:color w:val="1B1B1B"/>
                <w:sz w:val="23"/>
                <w:szCs w:val="23"/>
              </w:rPr>
              <w:t xml:space="preserve">Defendant, charge, when, where, and then the sworn statement.</w:t>
            </w:r>
          </w:p>
          <w:p>
            <w:pPr>
              <w:spacing w:after="130" w:line="320"/>
            </w:pPr>
            <w:r>
              <w:rPr>
                <w:color w:val="1B1B1B"/>
                <w:sz w:val="23"/>
                <w:szCs w:val="23"/>
              </w:rPr>
              <w:t xml:space="preserve">The sworn statement is short. Eight to twelve sentences. You are not retelling your narrative — you already wrote that. You are walking a judge from your report, to the asset tags, to the pawn record, and then you stop.</w:t>
            </w:r>
          </w:p>
          <w:p>
            <w:pPr>
              <w:spacing w:after="130" w:line="320"/>
            </w:pPr>
            <w:r>
              <w:rPr>
                <w:color w:val="1B1B1B"/>
                <w:sz w:val="23"/>
                <w:szCs w:val="23"/>
              </w:rPr>
              <w:t xml:space="preserve">Name your source for every fact. And look at the identification line — what specifically ties that name to those two laptops? That is the first sentence a defence attorney goes after. Make it hold.</w:t>
            </w:r>
          </w:p>
          <w:p>
            <w:pPr>
              <w:spacing w:after="130" w:line="320"/>
            </w:pPr>
            <w:r>
              <w:rPr>
                <w:color w:val="1B1B1B"/>
                <w:sz w:val="23"/>
                <w:szCs w:val="23"/>
              </w:rPr>
              <w:t xml:space="preserve">Then sign the oath block. Read what you are signing before you sign it.</w:t>
            </w:r>
          </w:p>
          <w:p>
            <w:pPr>
              <w:spacing w:after="130" w:line="320"/>
            </w:pPr>
            <w:r>
              <w:rPr>
                <w:color w:val="1B1B1B"/>
                <w:sz w:val="23"/>
                <w:szCs w:val="23"/>
              </w:rPr>
              <w:t xml:space="preserve">Go.</w:t>
            </w:r>
          </w:p>
        </w:tc>
      </w:tr>
    </w:tbl>
    <w:p>
      <w:pPr>
        <w:spacing w:after="230" w:line="276"/>
      </w:pPr>
      <w:r>
        <w:rPr>
          <w:color w:val="1B1B1B"/>
          <w:sz w:val="21"/>
          <w:szCs w:val="21"/>
        </w:rPr>
        <w:t xml:space="preserve"/>
      </w:r>
    </w:p>
    <w:tbl>
      <w:tblPr>
        <w:tblW w:type="dxa" w:w="9360"/>
        <w:tblBorders>
          <w:top w:val="single" w:color="10243A" w:sz="8"/>
          <w:left w:val="single" w:color="10243A" w:sz="8"/>
          <w:bottom w:val="single" w:color="10243A" w:sz="8"/>
          <w:right w:val="single" w:color="10243A" w:sz="8"/>
          <w:insideH w:val="single" w:color="10243A" w:sz="8"/>
          <w:insideV w:val="single" w:color="10243A" w:sz="8"/>
        </w:tblBorders>
      </w:tblPr>
      <w:tblGrid>
        <w:gridCol w:w="7100"/>
        <w:gridCol w:w="2260"/>
      </w:tblGrid>
      <w:tr>
        <w:tc>
          <w:tcPr>
            <w:tcW w:type="dxa" w:w="7100"/>
            <w:shd w:fill="10243A" w:val="clear"/>
            <w:tcMar>
              <w:top w:type="dxa" w:w="100"/>
              <w:left w:type="dxa" w:w="170"/>
              <w:bottom w:type="dxa" w:w="100"/>
              <w:right w:type="dxa" w:w="150"/>
            </w:tcMar>
          </w:tcPr>
          <w:p>
            <w:r>
              <w:rPr>
                <w:b/>
                <w:bCs/>
                <w:color w:val="FFFFFF"/>
                <w:sz w:val="17"/>
                <w:szCs w:val="17"/>
                <w:spacing w:val="30"/>
              </w:rPr>
              <w:t xml:space="preserve">PART 8</w:t>
            </w:r>
            <w:r>
              <w:rPr>
                <w:b/>
                <w:bCs/>
                <w:color w:val="FFFFFF"/>
                <w:sz w:val="17"/>
                <w:szCs w:val="17"/>
                <w:spacing w:val="20"/>
              </w:rPr>
              <w:t xml:space="preserve">    THE LANDING — THE BURGLARY QUESTION</w:t>
            </w:r>
          </w:p>
        </w:tc>
        <w:tc>
          <w:tcPr>
            <w:tcW w:type="dxa" w:w="2260"/>
            <w:shd w:fill="10243A" w:val="clear"/>
            <w:tcMar>
              <w:top w:type="dxa" w:w="100"/>
              <w:left w:type="dxa" w:w="150"/>
              <w:bottom w:type="dxa" w:w="100"/>
              <w:right w:type="dxa" w:w="170"/>
            </w:tcMar>
          </w:tcPr>
          <w:p>
            <w:pPr>
              <w:jc w:val="right"/>
            </w:pPr>
            <w:r>
              <w:rPr>
                <w:b/>
                <w:bCs/>
                <w:color w:val="FFFFFF"/>
                <w:sz w:val="17"/>
                <w:szCs w:val="17"/>
                <w:spacing w:val="20"/>
              </w:rPr>
              <w:t xml:space="preserve">MIN 80–88</w:t>
            </w:r>
          </w:p>
        </w:tc>
      </w:tr>
    </w:tbl>
    <w:tbl>
      <w:tblPr>
        <w:tblW w:type="dxa" w:w="9360"/>
        <w:tblBorders>
          <w:top w:val="single" w:color="10243A" w:sz="8"/>
          <w:left w:val="single" w:color="10243A" w:sz="8"/>
          <w:bottom w:val="single" w:color="10243A" w:sz="8"/>
          <w:right w:val="single" w:color="10243A" w:sz="8"/>
          <w:insideH w:val="single" w:color="10243A" w:sz="8"/>
          <w:insideV w:val="single" w:color="10243A" w:sz="8"/>
        </w:tblBorders>
      </w:tblPr>
      <w:tblGrid>
        <w:gridCol w:w="9360"/>
      </w:tblGrid>
      <w:tr>
        <w:tc>
          <w:tcPr>
            <w:tcW w:type="dxa" w:w="9360"/>
            <w:shd w:fill="F2F5F8" w:val="clear"/>
            <w:tcMar>
              <w:top w:type="dxa" w:w="110"/>
              <w:left w:type="dxa" w:w="170"/>
              <w:bottom w:type="dxa" w:w="110"/>
              <w:right w:type="dxa" w:w="170"/>
            </w:tcMar>
          </w:tcPr>
          <w:p>
            <w:pPr>
              <w:spacing w:after="0" w:line="275"/>
            </w:pPr>
            <w:r>
              <w:rPr>
                <w:b/>
                <w:bCs/>
                <w:color w:val="10243A"/>
                <w:sz w:val="15"/>
                <w:szCs w:val="15"/>
                <w:spacing w:val="20"/>
              </w:rPr>
              <w:t xml:space="preserve">CUE   </w:t>
            </w:r>
            <w:r>
              <w:rPr>
                <w:i/>
                <w:iCs/>
                <w:color w:val="5F6B79"/>
                <w:sz w:val="19"/>
                <w:szCs w:val="19"/>
              </w:rPr>
              <w:t xml:space="preserve">Stop the room. This is the whole unit in six minutes. Take the argument.</w:t>
            </w:r>
          </w:p>
        </w:tc>
      </w:tr>
      <w:tr>
        <w:tc>
          <w:tcPr>
            <w:tcW w:type="dxa" w:w="9360"/>
            <w:tcMar>
              <w:top w:type="dxa" w:w="170"/>
              <w:left w:type="dxa" w:w="200"/>
              <w:bottom w:type="dxa" w:w="150"/>
              <w:right w:type="dxa" w:w="200"/>
            </w:tcMar>
          </w:tcPr>
          <w:p>
            <w:pPr>
              <w:spacing w:after="130" w:line="320"/>
            </w:pPr>
            <w:r>
              <w:rPr>
                <w:color w:val="1B1B1B"/>
                <w:sz w:val="23"/>
                <w:szCs w:val="23"/>
              </w:rPr>
              <w:t xml:space="preserve">Pencils down. Part E.</w:t>
            </w:r>
          </w:p>
          <w:p>
            <w:pPr>
              <w:spacing w:after="130" w:line="320"/>
            </w:pPr>
            <w:r>
              <w:rPr>
                <w:color w:val="1B1B1B"/>
                <w:sz w:val="23"/>
                <w:szCs w:val="23"/>
              </w:rPr>
              <w:t xml:space="preserve">The call came in as a burglary. You have been looking at the word burglary for two weeks.</w:t>
            </w:r>
          </w:p>
          <w:p>
            <w:pPr>
              <w:spacing w:after="130" w:line="320"/>
            </w:pPr>
            <w:r>
              <w:rPr>
                <w:color w:val="1B1B1B"/>
                <w:sz w:val="23"/>
                <w:szCs w:val="23"/>
              </w:rPr>
              <w:t xml:space="preserve">Burglary requires proof that somebody entered that building unlawfully. So — do you have probable cause to charge Rivers with burglary?</w:t>
            </w:r>
          </w:p>
          <w:p>
            <w:pPr>
              <w:spacing w:before="60" w:after="110" w:line="280"/>
              <w:ind w:left="300"/>
            </w:pPr>
            <w:r>
              <w:rPr>
                <w:i/>
                <w:iCs/>
                <w:color w:val="5F6B79"/>
                <w:sz w:val="19"/>
                <w:szCs w:val="19"/>
              </w:rPr>
              <w:t xml:space="preserve">Take it. Let them argue both sides. Somebody will say yes.</w:t>
            </w:r>
          </w:p>
          <w:p>
            <w:pPr>
              <w:spacing w:after="130" w:line="320"/>
            </w:pPr>
            <w:r>
              <w:rPr>
                <w:color w:val="1B1B1B"/>
                <w:sz w:val="23"/>
                <w:szCs w:val="23"/>
              </w:rPr>
              <w:t xml:space="preserve">Walk me through it. You have two laptops in a pawn shop with his thumbprint on the form. What does that prove? It proves he had them.</w:t>
            </w:r>
          </w:p>
          <w:p>
            <w:pPr>
              <w:spacing w:after="130" w:line="320"/>
            </w:pPr>
            <w:r>
              <w:rPr>
                <w:color w:val="1B1B1B"/>
                <w:sz w:val="23"/>
                <w:szCs w:val="23"/>
              </w:rPr>
              <w:t xml:space="preserve">Does it prove he went in that building? Did anybody see him there? Did anybody see anybody? Was the camera working?</w:t>
            </w:r>
          </w:p>
          <w:p>
            <w:pPr>
              <w:spacing w:after="130" w:line="320"/>
            </w:pPr>
            <w:r>
              <w:rPr>
                <w:color w:val="1B1B1B"/>
                <w:sz w:val="23"/>
                <w:szCs w:val="23"/>
              </w:rPr>
              <w:t xml:space="preserve">You have probable cause for theft. You do not have it for burglary. Same case, same person, two different answers — because they are two different statutes with two different lists of elements.</w:t>
            </w:r>
          </w:p>
          <w:p>
            <w:pPr>
              <w:spacing w:after="130" w:line="320"/>
            </w:pPr>
            <w:r>
              <w:rPr>
                <w:color w:val="1B1B1B"/>
                <w:sz w:val="23"/>
                <w:szCs w:val="23"/>
              </w:rPr>
              <w:t xml:space="preserve">And that is why you did not get to write the word burglary in your report two weeks ago. Not because I was being difficult. Because it was never established.</w:t>
            </w:r>
          </w:p>
          <w:p>
            <w:pPr>
              <w:spacing w:after="130" w:line="320"/>
            </w:pPr>
            <w:r>
              <w:rPr>
                <w:color w:val="1B1B1B"/>
                <w:sz w:val="23"/>
                <w:szCs w:val="23"/>
              </w:rPr>
              <w:t xml:space="preserve">Fill in Part E. Say what you cannot prove and what it would take. Then submit.</w:t>
            </w:r>
          </w:p>
        </w:tc>
      </w:tr>
    </w:tbl>
    <w:p>
      <w:pPr>
        <w:spacing w:after="230" w:line="276"/>
      </w:pPr>
      <w:r>
        <w:rPr>
          <w:color w:val="1B1B1B"/>
          <w:sz w:val="21"/>
          <w:szCs w:val="21"/>
        </w:rPr>
        <w:t xml:space="preserve"/>
      </w:r>
    </w:p>
    <w:tbl>
      <w:tblPr>
        <w:tblW w:type="dxa" w:w="9360"/>
        <w:tblBorders>
          <w:top w:val="single" w:color="10243A" w:sz="8"/>
          <w:left w:val="single" w:color="10243A" w:sz="8"/>
          <w:bottom w:val="single" w:color="10243A" w:sz="8"/>
          <w:right w:val="single" w:color="10243A" w:sz="8"/>
          <w:insideH w:val="single" w:color="10243A" w:sz="8"/>
          <w:insideV w:val="single" w:color="10243A" w:sz="8"/>
        </w:tblBorders>
      </w:tblPr>
      <w:tblGrid>
        <w:gridCol w:w="7100"/>
        <w:gridCol w:w="2260"/>
      </w:tblGrid>
      <w:tr>
        <w:tc>
          <w:tcPr>
            <w:tcW w:type="dxa" w:w="7100"/>
            <w:shd w:fill="10243A" w:val="clear"/>
            <w:tcMar>
              <w:top w:type="dxa" w:w="100"/>
              <w:left w:type="dxa" w:w="170"/>
              <w:bottom w:type="dxa" w:w="100"/>
              <w:right w:type="dxa" w:w="150"/>
            </w:tcMar>
          </w:tcPr>
          <w:p>
            <w:r>
              <w:rPr>
                <w:b/>
                <w:bCs/>
                <w:color w:val="FFFFFF"/>
                <w:sz w:val="17"/>
                <w:szCs w:val="17"/>
                <w:spacing w:val="30"/>
              </w:rPr>
              <w:t xml:space="preserve">PART 9</w:t>
            </w:r>
            <w:r>
              <w:rPr>
                <w:b/>
                <w:bCs/>
                <w:color w:val="FFFFFF"/>
                <w:sz w:val="17"/>
                <w:szCs w:val="17"/>
                <w:spacing w:val="20"/>
              </w:rPr>
              <w:t xml:space="preserve">    THE CLOSE</w:t>
            </w:r>
          </w:p>
        </w:tc>
        <w:tc>
          <w:tcPr>
            <w:tcW w:type="dxa" w:w="2260"/>
            <w:shd w:fill="10243A" w:val="clear"/>
            <w:tcMar>
              <w:top w:type="dxa" w:w="100"/>
              <w:left w:type="dxa" w:w="150"/>
              <w:bottom w:type="dxa" w:w="100"/>
              <w:right w:type="dxa" w:w="170"/>
            </w:tcMar>
          </w:tcPr>
          <w:p>
            <w:pPr>
              <w:jc w:val="right"/>
            </w:pPr>
            <w:r>
              <w:rPr>
                <w:b/>
                <w:bCs/>
                <w:color w:val="FFFFFF"/>
                <w:sz w:val="17"/>
                <w:szCs w:val="17"/>
                <w:spacing w:val="20"/>
              </w:rPr>
              <w:t xml:space="preserve">MIN 88–90</w:t>
            </w:r>
          </w:p>
        </w:tc>
      </w:tr>
    </w:tbl>
    <w:tbl>
      <w:tblPr>
        <w:tblW w:type="dxa" w:w="9360"/>
        <w:tblBorders>
          <w:top w:val="single" w:color="10243A" w:sz="8"/>
          <w:left w:val="single" w:color="10243A" w:sz="8"/>
          <w:bottom w:val="single" w:color="10243A" w:sz="8"/>
          <w:right w:val="single" w:color="10243A" w:sz="8"/>
          <w:insideH w:val="single" w:color="10243A" w:sz="8"/>
          <w:insideV w:val="single" w:color="10243A" w:sz="8"/>
        </w:tblBorders>
      </w:tblPr>
      <w:tblGrid>
        <w:gridCol w:w="9360"/>
      </w:tblGrid>
      <w:tr>
        <w:tc>
          <w:tcPr>
            <w:tcW w:type="dxa" w:w="9360"/>
            <w:shd w:fill="F2F5F8" w:val="clear"/>
            <w:tcMar>
              <w:top w:type="dxa" w:w="110"/>
              <w:left w:type="dxa" w:w="170"/>
              <w:bottom w:type="dxa" w:w="110"/>
              <w:right w:type="dxa" w:w="170"/>
            </w:tcMar>
          </w:tcPr>
          <w:p>
            <w:pPr>
              <w:spacing w:after="0" w:line="275"/>
            </w:pPr>
            <w:r>
              <w:rPr>
                <w:b/>
                <w:bCs/>
                <w:color w:val="10243A"/>
                <w:sz w:val="15"/>
                <w:szCs w:val="15"/>
                <w:spacing w:val="20"/>
              </w:rPr>
              <w:t xml:space="preserve">CUE   </w:t>
            </w:r>
            <w:r>
              <w:rPr>
                <w:i/>
                <w:iCs/>
                <w:color w:val="5F6B79"/>
                <w:sz w:val="19"/>
                <w:szCs w:val="19"/>
              </w:rPr>
              <w:t xml:space="preserve">Two minutes. Name the arc, then let them go.</w:t>
            </w:r>
          </w:p>
        </w:tc>
      </w:tr>
      <w:tr>
        <w:tc>
          <w:tcPr>
            <w:tcW w:type="dxa" w:w="9360"/>
            <w:tcMar>
              <w:top w:type="dxa" w:w="170"/>
              <w:left w:type="dxa" w:w="200"/>
              <w:bottom w:type="dxa" w:w="150"/>
              <w:right w:type="dxa" w:w="200"/>
            </w:tcMar>
          </w:tcPr>
          <w:p>
            <w:pPr>
              <w:spacing w:after="130" w:line="320"/>
            </w:pPr>
            <w:r>
              <w:rPr>
                <w:color w:val="1B1B1B"/>
                <w:sz w:val="23"/>
                <w:szCs w:val="23"/>
              </w:rPr>
              <w:t xml:space="preserve">Look at what you did across two weeks. You took a call at one in the morning off one nervous witness. You worked out what was missing. You interviewed somebody to close the gaps. You wrote down nine asset tags that did not seem to matter.</w:t>
            </w:r>
          </w:p>
          <w:p>
            <w:pPr>
              <w:spacing w:after="130" w:line="320"/>
            </w:pPr>
            <w:r>
              <w:rPr>
                <w:color w:val="1B1B1B"/>
                <w:sz w:val="23"/>
                <w:szCs w:val="23"/>
              </w:rPr>
              <w:t xml:space="preserve">And one of those numbers is the reason you have a suspect at all.</w:t>
            </w:r>
          </w:p>
          <w:p>
            <w:pPr>
              <w:spacing w:after="130" w:line="320"/>
            </w:pPr>
            <w:r>
              <w:rPr>
                <w:color w:val="1B1B1B"/>
                <w:sz w:val="23"/>
                <w:szCs w:val="23"/>
              </w:rPr>
              <w:t xml:space="preserve">Seven of those laptops are still out there. The case is still open. That is the normal condition of police work — not solved, not closed, just honestly documented.</w:t>
            </w:r>
          </w:p>
        </w:tc>
      </w:tr>
    </w:tbl>
    <w:p>
      <w:pPr>
        <w:spacing w:after="230" w:line="276"/>
      </w:pPr>
      <w:r>
        <w:rPr>
          <w:color w:val="1B1B1B"/>
          <w:sz w:val="21"/>
          <w:szCs w:val="21"/>
        </w:rPr>
        <w:t xml:space="preserve"/>
      </w:r>
    </w:p>
    <w:p>
      <w:r>
        <w:br w:type="page"/>
      </w:r>
    </w:p>
    <w:p>
      <w:pPr>
        <w:spacing w:after="60"/>
      </w:pPr>
      <w:r>
        <w:rPr>
          <w:b/>
          <w:bCs/>
          <w:color w:val="10243A"/>
          <w:sz w:val="32"/>
          <w:szCs w:val="32"/>
        </w:rPr>
        <w:t xml:space="preserve">If it comes up</w:t>
      </w:r>
    </w:p>
    <w:p>
      <w:pPr>
        <w:spacing w:after="200" w:line="290"/>
      </w:pPr>
      <w:r>
        <w:rPr>
          <w:color w:val="5F6B79"/>
          <w:sz w:val="21"/>
          <w:szCs w:val="21"/>
        </w:rPr>
        <w:t xml:space="preserve">These three come up in nearly every room. Have the words ready.</w:t>
      </w:r>
    </w:p>
    <w:tbl>
      <w:tblPr>
        <w:tblW w:type="dxa" w:w="9360"/>
        <w:tblBorders>
          <w:top w:val="single" w:color="1A5FB4" w:sz="8"/>
          <w:left w:val="single" w:color="1A5FB4" w:sz="8"/>
          <w:bottom w:val="single" w:color="1A5FB4" w:sz="8"/>
          <w:right w:val="single" w:color="1A5FB4" w:sz="8"/>
          <w:insideH w:val="single" w:color="1A5FB4" w:sz="8"/>
          <w:insideV w:val="single" w:color="1A5FB4" w:sz="8"/>
        </w:tblBorders>
      </w:tblPr>
      <w:tblGrid>
        <w:gridCol w:w="9360"/>
      </w:tblGrid>
      <w:tr>
        <w:tc>
          <w:tcPr>
            <w:tcW w:type="dxa" w:w="9360"/>
            <w:shd w:fill="F2F5F8" w:val="clear"/>
            <w:tcMar>
              <w:top w:type="dxa" w:w="110"/>
              <w:left w:type="dxa" w:w="170"/>
              <w:bottom w:type="dxa" w:w="110"/>
              <w:right w:type="dxa" w:w="170"/>
            </w:tcMar>
          </w:tcPr>
          <w:p>
            <w:pPr>
              <w:spacing w:after="0" w:line="280"/>
            </w:pPr>
            <w:r>
              <w:rPr>
                <w:b/>
                <w:bCs/>
                <w:color w:val="1A5FB4"/>
                <w:sz w:val="15"/>
                <w:szCs w:val="15"/>
                <w:spacing w:val="20"/>
              </w:rPr>
              <w:t xml:space="preserve">WHEN   </w:t>
            </w:r>
            <w:r>
              <w:rPr>
                <w:b/>
                <w:bCs/>
                <w:color w:val="1B1B1B"/>
                <w:sz w:val="20"/>
                <w:szCs w:val="20"/>
              </w:rPr>
              <w:t xml:space="preserve">A student insists this is burglary because he obviously broke in.</w:t>
            </w:r>
          </w:p>
        </w:tc>
      </w:tr>
      <w:tr>
        <w:tc>
          <w:tcPr>
            <w:tcW w:type="dxa" w:w="9360"/>
            <w:tcMar>
              <w:top w:type="dxa" w:w="170"/>
              <w:left w:type="dxa" w:w="200"/>
              <w:bottom w:type="dxa" w:w="150"/>
              <w:right w:type="dxa" w:w="200"/>
            </w:tcMar>
          </w:tcPr>
          <w:p>
            <w:pPr>
              <w:spacing w:after="130" w:line="320"/>
            </w:pPr>
            <w:r>
              <w:rPr>
                <w:color w:val="1B1B1B"/>
                <w:sz w:val="23"/>
                <w:szCs w:val="23"/>
              </w:rPr>
              <w:t xml:space="preserve">Obviously is not an element. Read me the element.</w:t>
            </w:r>
          </w:p>
          <w:p>
            <w:pPr>
              <w:spacing w:after="130" w:line="320"/>
            </w:pPr>
            <w:r>
              <w:rPr>
                <w:color w:val="1B1B1B"/>
                <w:sz w:val="23"/>
                <w:szCs w:val="23"/>
              </w:rPr>
              <w:t xml:space="preserve">You have to prove entry. Who saw him enter? Nobody saw anybody — that has been true since the first night.</w:t>
            </w:r>
          </w:p>
          <w:p>
            <w:pPr>
              <w:spacing w:after="130" w:line="320"/>
            </w:pPr>
            <w:r>
              <w:rPr>
                <w:color w:val="1B1B1B"/>
                <w:sz w:val="23"/>
                <w:szCs w:val="23"/>
              </w:rPr>
              <w:t xml:space="preserve">You might be right about what happened. You are almost certainly right. But a charge is not about what you believe, it is about what you can prove, and a judge will throw out what you cannot.</w:t>
            </w:r>
          </w:p>
          <w:p>
            <w:pPr>
              <w:spacing w:after="130" w:line="320"/>
            </w:pPr>
            <w:r>
              <w:rPr>
                <w:color w:val="1B1B1B"/>
                <w:sz w:val="23"/>
                <w:szCs w:val="23"/>
              </w:rPr>
              <w:t xml:space="preserve">This is why burglary cases live and die on cameras, prints and keys — and we have a dead camera, no prints yet, and a key she cannot account for.</w:t>
            </w:r>
          </w:p>
        </w:tc>
      </w:tr>
    </w:tbl>
    <w:p>
      <w:pPr>
        <w:spacing w:after="230" w:line="276"/>
      </w:pPr>
      <w:r>
        <w:rPr>
          <w:color w:val="1B1B1B"/>
          <w:sz w:val="21"/>
          <w:szCs w:val="21"/>
        </w:rPr>
        <w:t xml:space="preserve"/>
      </w:r>
    </w:p>
    <w:tbl>
      <w:tblPr>
        <w:tblW w:type="dxa" w:w="9360"/>
        <w:tblBorders>
          <w:top w:val="single" w:color="1A5FB4" w:sz="8"/>
          <w:left w:val="single" w:color="1A5FB4" w:sz="8"/>
          <w:bottom w:val="single" w:color="1A5FB4" w:sz="8"/>
          <w:right w:val="single" w:color="1A5FB4" w:sz="8"/>
          <w:insideH w:val="single" w:color="1A5FB4" w:sz="8"/>
          <w:insideV w:val="single" w:color="1A5FB4" w:sz="8"/>
        </w:tblBorders>
      </w:tblPr>
      <w:tblGrid>
        <w:gridCol w:w="9360"/>
      </w:tblGrid>
      <w:tr>
        <w:tc>
          <w:tcPr>
            <w:tcW w:type="dxa" w:w="9360"/>
            <w:shd w:fill="F2F5F8" w:val="clear"/>
            <w:tcMar>
              <w:top w:type="dxa" w:w="110"/>
              <w:left w:type="dxa" w:w="170"/>
              <w:bottom w:type="dxa" w:w="110"/>
              <w:right w:type="dxa" w:w="170"/>
            </w:tcMar>
          </w:tcPr>
          <w:p>
            <w:pPr>
              <w:spacing w:after="0" w:line="280"/>
            </w:pPr>
            <w:r>
              <w:rPr>
                <w:b/>
                <w:bCs/>
                <w:color w:val="1A5FB4"/>
                <w:sz w:val="15"/>
                <w:szCs w:val="15"/>
                <w:spacing w:val="20"/>
              </w:rPr>
              <w:t xml:space="preserve">WHEN   </w:t>
            </w:r>
            <w:r>
              <w:rPr>
                <w:b/>
                <w:bCs/>
                <w:color w:val="1B1B1B"/>
                <w:sz w:val="20"/>
                <w:szCs w:val="20"/>
              </w:rPr>
              <w:t xml:space="preserve">Somebody asks why he only got sixty dollars for a five-hundred-dollar laptop.</w:t>
            </w:r>
          </w:p>
        </w:tc>
      </w:tr>
      <w:tr>
        <w:tc>
          <w:tcPr>
            <w:tcW w:type="dxa" w:w="9360"/>
            <w:tcMar>
              <w:top w:type="dxa" w:w="170"/>
              <w:left w:type="dxa" w:w="200"/>
              <w:bottom w:type="dxa" w:w="150"/>
              <w:right w:type="dxa" w:w="200"/>
            </w:tcMar>
          </w:tcPr>
          <w:p>
            <w:pPr>
              <w:spacing w:after="130" w:line="320"/>
            </w:pPr>
            <w:r>
              <w:rPr>
                <w:color w:val="1B1B1B"/>
                <w:sz w:val="23"/>
                <w:szCs w:val="23"/>
              </w:rPr>
              <w:t xml:space="preserve">Good question, and you can put it in your report as an observation. What you cannot do is write down what it means.</w:t>
            </w:r>
          </w:p>
          <w:p>
            <w:pPr>
              <w:spacing w:after="130" w:line="320"/>
            </w:pPr>
            <w:r>
              <w:rPr>
                <w:color w:val="1B1B1B"/>
                <w:sz w:val="23"/>
                <w:szCs w:val="23"/>
              </w:rPr>
              <w:t xml:space="preserve">You may write: the pawn record shows sixty dollars advanced against each unit. That is a fact.</w:t>
            </w:r>
          </w:p>
          <w:p>
            <w:pPr>
              <w:spacing w:after="130" w:line="320"/>
            </w:pPr>
            <w:r>
              <w:rPr>
                <w:color w:val="1B1B1B"/>
                <w:sz w:val="23"/>
                <w:szCs w:val="23"/>
              </w:rPr>
              <w:t xml:space="preserve">You may not write: he sold them cheap because he knew they were stolen. That is a conclusion, and you did not see inside his head.</w:t>
            </w:r>
          </w:p>
          <w:p>
            <w:pPr>
              <w:spacing w:after="130" w:line="320"/>
            </w:pPr>
            <w:r>
              <w:rPr>
                <w:color w:val="1B1B1B"/>
                <w:sz w:val="23"/>
                <w:szCs w:val="23"/>
              </w:rPr>
              <w:t xml:space="preserve">A prosecutor can argue that later. You just hand them the number.</w:t>
            </w:r>
          </w:p>
        </w:tc>
      </w:tr>
    </w:tbl>
    <w:p>
      <w:pPr>
        <w:spacing w:after="230" w:line="276"/>
      </w:pPr>
      <w:r>
        <w:rPr>
          <w:color w:val="1B1B1B"/>
          <w:sz w:val="21"/>
          <w:szCs w:val="21"/>
        </w:rPr>
        <w:t xml:space="preserve"/>
      </w:r>
    </w:p>
    <w:tbl>
      <w:tblPr>
        <w:tblW w:type="dxa" w:w="9360"/>
        <w:tblBorders>
          <w:top w:val="single" w:color="1A5FB4" w:sz="8"/>
          <w:left w:val="single" w:color="1A5FB4" w:sz="8"/>
          <w:bottom w:val="single" w:color="1A5FB4" w:sz="8"/>
          <w:right w:val="single" w:color="1A5FB4" w:sz="8"/>
          <w:insideH w:val="single" w:color="1A5FB4" w:sz="8"/>
          <w:insideV w:val="single" w:color="1A5FB4" w:sz="8"/>
        </w:tblBorders>
      </w:tblPr>
      <w:tblGrid>
        <w:gridCol w:w="9360"/>
      </w:tblGrid>
      <w:tr>
        <w:tc>
          <w:tcPr>
            <w:tcW w:type="dxa" w:w="9360"/>
            <w:shd w:fill="F2F5F8" w:val="clear"/>
            <w:tcMar>
              <w:top w:type="dxa" w:w="110"/>
              <w:left w:type="dxa" w:w="170"/>
              <w:bottom w:type="dxa" w:w="110"/>
              <w:right w:type="dxa" w:w="170"/>
            </w:tcMar>
          </w:tcPr>
          <w:p>
            <w:pPr>
              <w:spacing w:after="0" w:line="280"/>
            </w:pPr>
            <w:r>
              <w:rPr>
                <w:b/>
                <w:bCs/>
                <w:color w:val="1A5FB4"/>
                <w:sz w:val="15"/>
                <w:szCs w:val="15"/>
                <w:spacing w:val="20"/>
              </w:rPr>
              <w:t xml:space="preserve">WHEN   </w:t>
            </w:r>
            <w:r>
              <w:rPr>
                <w:b/>
                <w:bCs/>
                <w:color w:val="1B1B1B"/>
                <w:sz w:val="20"/>
                <w:szCs w:val="20"/>
              </w:rPr>
              <w:t xml:space="preserve">A student asks whether the thumbprint proves it.</w:t>
            </w:r>
          </w:p>
        </w:tc>
      </w:tr>
      <w:tr>
        <w:tc>
          <w:tcPr>
            <w:tcW w:type="dxa" w:w="9360"/>
            <w:tcMar>
              <w:top w:type="dxa" w:w="170"/>
              <w:left w:type="dxa" w:w="200"/>
              <w:bottom w:type="dxa" w:w="150"/>
              <w:right w:type="dxa" w:w="200"/>
            </w:tcMar>
          </w:tcPr>
          <w:p>
            <w:pPr>
              <w:spacing w:after="130" w:line="320"/>
            </w:pPr>
            <w:r>
              <w:rPr>
                <w:color w:val="1B1B1B"/>
                <w:sz w:val="23"/>
                <w:szCs w:val="23"/>
              </w:rPr>
              <w:t xml:space="preserve">It proves he stood at that counter and signed that form. That is not nothing — it is a strong identification and it is exactly what you want in the affidavit.</w:t>
            </w:r>
          </w:p>
          <w:p>
            <w:pPr>
              <w:spacing w:after="130" w:line="320"/>
            </w:pPr>
            <w:r>
              <w:rPr>
                <w:color w:val="1B1B1B"/>
                <w:sz w:val="23"/>
                <w:szCs w:val="23"/>
              </w:rPr>
              <w:t xml:space="preserve">It does not prove where he got them. Keep those two things separate, because the affidavit has to.</w:t>
            </w:r>
          </w:p>
        </w:tc>
      </w:tr>
    </w:tbl>
    <w:p>
      <w:pPr>
        <w:spacing w:after="230" w:line="276"/>
      </w:pPr>
      <w:r>
        <w:rPr>
          <w:color w:val="1B1B1B"/>
          <w:sz w:val="21"/>
          <w:szCs w:val="21"/>
        </w:rPr>
        <w:t xml:space="preserve"/>
      </w:r>
    </w:p>
    <w:p>
      <w:r>
        <w:br w:type="page"/>
      </w:r>
    </w:p>
    <w:p>
      <w:pPr>
        <w:spacing w:after="50"/>
      </w:pPr>
      <w:r>
        <w:rPr>
          <w:b/>
          <w:bCs/>
          <w:color w:val="10243A"/>
          <w:sz w:val="30"/>
          <w:szCs w:val="30"/>
        </w:rPr>
        <w:t xml:space="preserve">Where the lesson is meant to land</w:t>
      </w:r>
    </w:p>
    <w:p>
      <w:pPr>
        <w:spacing w:after="170" w:line="276"/>
      </w:pPr>
      <w:r>
        <w:rPr>
          <w:b/>
          <w:bCs/>
          <w:color w:val="9A3412"/>
          <w:sz w:val="20"/>
          <w:szCs w:val="20"/>
        </w:rPr>
        <w:t xml:space="preserve">Do not give this page to students.</w:t>
      </w:r>
    </w:p>
    <w:tbl>
      <w:tblPr>
        <w:tblW w:type="dxa" w:w="9360"/>
        <w:tblBorders>
          <w:top w:val="single" w:color="B9C4D0" w:sz="4"/>
          <w:left w:val="single" w:color="B9C4D0" w:sz="4"/>
          <w:bottom w:val="single" w:color="B9C4D0" w:sz="4"/>
          <w:right w:val="single" w:color="B9C4D0" w:sz="4"/>
          <w:insideH w:val="single" w:color="B9C4D0" w:sz="4"/>
          <w:insideV w:val="single" w:color="B9C4D0" w:sz="4"/>
        </w:tblBorders>
      </w:tblPr>
      <w:tblGrid>
        <w:gridCol w:w="1500"/>
        <w:gridCol w:w="7860"/>
      </w:tblGrid>
      <w:tr>
        <w:tc>
          <w:tcPr>
            <w:tcW w:type="dxa" w:w="1500"/>
            <w:shd w:fill="F2F5F8" w:val="clear"/>
            <w:tcMar>
              <w:top w:type="dxa" w:w="90"/>
              <w:left w:type="dxa" w:w="150"/>
              <w:bottom w:type="dxa" w:w="90"/>
              <w:right w:type="dxa" w:w="150"/>
            </w:tcMar>
          </w:tcPr>
          <w:p>
            <w:r>
              <w:rPr>
                <w:b/>
                <w:bCs/>
                <w:color w:val="5F6B79"/>
                <w:sz w:val="18"/>
                <w:szCs w:val="18"/>
              </w:rPr>
              <w:t xml:space="preserve">PART A</w:t>
            </w:r>
          </w:p>
        </w:tc>
        <w:tc>
          <w:tcPr>
            <w:tcW w:type="dxa" w:w="7860"/>
            <w:tcMar>
              <w:top w:type="dxa" w:w="90"/>
              <w:left w:type="dxa" w:w="150"/>
              <w:bottom w:type="dxa" w:w="90"/>
              <w:right w:type="dxa" w:w="150"/>
            </w:tcMar>
          </w:tcPr>
          <w:p>
            <w:r>
              <w:rPr>
                <w:color w:val="1B1B1B"/>
                <w:sz w:val="22"/>
                <w:szCs w:val="22"/>
              </w:rPr>
              <w:t xml:space="preserve">The honest answer to “where was this case on the ladder?” is: nowhere, against a named person — there was no named person. Against the building, you had a crime but no suspect.</w:t>
            </w:r>
          </w:p>
        </w:tc>
      </w:tr>
      <w:tr>
        <w:tc>
          <w:tcPr>
            <w:tcW w:type="dxa" w:w="1500"/>
            <w:shd w:fill="F2F5F8" w:val="clear"/>
            <w:tcMar>
              <w:top w:type="dxa" w:w="90"/>
              <w:left w:type="dxa" w:w="150"/>
              <w:bottom w:type="dxa" w:w="90"/>
              <w:right w:type="dxa" w:w="150"/>
            </w:tcMar>
          </w:tcPr>
          <w:p>
            <w:r>
              <w:rPr>
                <w:b/>
                <w:bCs/>
                <w:color w:val="5F6B79"/>
                <w:sz w:val="18"/>
                <w:szCs w:val="18"/>
              </w:rPr>
              <w:t xml:space="preserve">PART B</w:t>
            </w:r>
          </w:p>
        </w:tc>
        <w:tc>
          <w:tcPr>
            <w:tcW w:type="dxa" w:w="7860"/>
            <w:tcMar>
              <w:top w:type="dxa" w:w="90"/>
              <w:left w:type="dxa" w:w="150"/>
              <w:bottom w:type="dxa" w:w="90"/>
              <w:right w:type="dxa" w:w="150"/>
            </w:tcMar>
          </w:tcPr>
          <w:p>
            <w:r>
              <w:rPr>
                <w:color w:val="1B1B1B"/>
                <w:sz w:val="22"/>
                <w:szCs w:val="22"/>
              </w:rPr>
              <w:t xml:space="preserve">Chapter 812, the theft section. Nine units at about $520 is roughly $4,680, which falls in the tier running from $750 up to $5,000. Have them quote the statute’s own words rather than take your number for it — that is the benchmark.</w:t>
            </w:r>
          </w:p>
        </w:tc>
      </w:tr>
      <w:tr>
        <w:tc>
          <w:tcPr>
            <w:tcW w:type="dxa" w:w="1500"/>
            <w:shd w:fill="F2F5F8" w:val="clear"/>
            <w:tcMar>
              <w:top w:type="dxa" w:w="90"/>
              <w:left w:type="dxa" w:w="150"/>
              <w:bottom w:type="dxa" w:w="90"/>
              <w:right w:type="dxa" w:w="150"/>
            </w:tcMar>
          </w:tcPr>
          <w:p>
            <w:r>
              <w:rPr>
                <w:b/>
                <w:bCs/>
                <w:color w:val="5F6B79"/>
                <w:sz w:val="18"/>
                <w:szCs w:val="18"/>
              </w:rPr>
              <w:t xml:space="preserve">PART C</w:t>
            </w:r>
          </w:p>
        </w:tc>
        <w:tc>
          <w:tcPr>
            <w:tcW w:type="dxa" w:w="7860"/>
            <w:tcMar>
              <w:top w:type="dxa" w:w="90"/>
              <w:left w:type="dxa" w:w="150"/>
              <w:bottom w:type="dxa" w:w="90"/>
              <w:right w:type="dxa" w:w="150"/>
            </w:tcMar>
          </w:tcPr>
          <w:p>
            <w:r>
              <w:rPr>
                <w:color w:val="1B1B1B"/>
                <w:sz w:val="22"/>
                <w:szCs w:val="22"/>
              </w:rPr>
              <w:t xml:space="preserve">Rows should source to: Vance for ownership and value, the asset tags for identity of the property, the pawn record for possession and identification, Delgado and the dispatch entry for the time window.</w:t>
            </w:r>
          </w:p>
        </w:tc>
      </w:tr>
      <w:tr>
        <w:tc>
          <w:tcPr>
            <w:tcW w:type="dxa" w:w="1500"/>
            <w:shd w:fill="F2F5F8" w:val="clear"/>
            <w:tcMar>
              <w:top w:type="dxa" w:w="90"/>
              <w:left w:type="dxa" w:w="150"/>
              <w:bottom w:type="dxa" w:w="90"/>
              <w:right w:type="dxa" w:w="150"/>
            </w:tcMar>
          </w:tcPr>
          <w:p>
            <w:r>
              <w:rPr>
                <w:b/>
                <w:bCs/>
                <w:color w:val="5F6B79"/>
                <w:sz w:val="18"/>
                <w:szCs w:val="18"/>
              </w:rPr>
              <w:t xml:space="preserve">PART D</w:t>
            </w:r>
          </w:p>
        </w:tc>
        <w:tc>
          <w:tcPr>
            <w:tcW w:type="dxa" w:w="7860"/>
            <w:tcMar>
              <w:top w:type="dxa" w:w="90"/>
              <w:left w:type="dxa" w:w="150"/>
              <w:bottom w:type="dxa" w:w="90"/>
              <w:right w:type="dxa" w:w="150"/>
            </w:tcMar>
          </w:tcPr>
          <w:p>
            <w:r>
              <w:rPr>
                <w:color w:val="1B1B1B"/>
                <w:sz w:val="22"/>
                <w:szCs w:val="22"/>
              </w:rPr>
              <w:t xml:space="preserve">Watch the identification line. The strong answer names the asset tags matching Vance’s inventory PLUS the licence and thumbprint on the pawn form. A weak answer just says “he pawned them”.</w:t>
            </w:r>
          </w:p>
        </w:tc>
      </w:tr>
      <w:tr>
        <w:tc>
          <w:tcPr>
            <w:tcW w:type="dxa" w:w="1500"/>
            <w:shd w:fill="F2F5F8" w:val="clear"/>
            <w:tcMar>
              <w:top w:type="dxa" w:w="90"/>
              <w:left w:type="dxa" w:w="150"/>
              <w:bottom w:type="dxa" w:w="90"/>
              <w:right w:type="dxa" w:w="150"/>
            </w:tcMar>
          </w:tcPr>
          <w:p>
            <w:r>
              <w:rPr>
                <w:b/>
                <w:bCs/>
                <w:color w:val="5F6B79"/>
                <w:sz w:val="18"/>
                <w:szCs w:val="18"/>
              </w:rPr>
              <w:t xml:space="preserve">PART E</w:t>
            </w:r>
          </w:p>
        </w:tc>
        <w:tc>
          <w:tcPr>
            <w:tcW w:type="dxa" w:w="7860"/>
            <w:tcMar>
              <w:top w:type="dxa" w:w="90"/>
              <w:left w:type="dxa" w:w="150"/>
              <w:bottom w:type="dxa" w:w="90"/>
              <w:right w:type="dxa" w:w="150"/>
            </w:tcMar>
          </w:tcPr>
          <w:p>
            <w:r>
              <w:rPr>
                <w:color w:val="1B1B1B"/>
                <w:sz w:val="22"/>
                <w:szCs w:val="22"/>
              </w:rPr>
              <w:t xml:space="preserve">No probable cause for burglary — no proof of entry, nobody saw anybody, the camera was inoperative. What it would take: prints from the equipment room, a working camera, the recovered key, or a witness. Possession is not entry.</w:t>
            </w:r>
          </w:p>
        </w:tc>
      </w:tr>
    </w:tbl>
    <w:sectPr>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1B1B1B"/>
        <w:sz w:val="21"/>
        <w:szCs w:val="21"/>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Run Sheet</dc:title>
  <dc:creator>Criminal Justice Operations</dc:creator>
  <cp:lastModifiedBy>Un-named</cp:lastModifiedBy>
  <cp:revision>1</cp:revision>
  <dcterms:created xsi:type="dcterms:W3CDTF">2026-10-15T12:25:08.629Z</dcterms:created>
  <dcterms:modified xsi:type="dcterms:W3CDTF">2026-10-15T12:25:08.644Z</dcterms:modified>
</cp:coreProperties>
</file>

<file path=docProps/custom.xml><?xml version="1.0" encoding="utf-8"?>
<Properties xmlns="http://schemas.openxmlformats.org/officeDocument/2006/custom-properties" xmlns:vt="http://schemas.openxmlformats.org/officeDocument/2006/docPropsVTypes"/>
</file>