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6779"/>
          <w:sz w:val="18"/>
          <w:szCs w:val="18"/>
        </w:rPr>
        <w:t xml:space="preserve">CRIMINAL JUSTICE OPERATIONS · TEACHER GUIDE</w:t>
      </w:r>
    </w:p>
    <w:p>
      <w:pPr>
        <w:spacing w:after="60"/>
      </w:pPr>
      <w:r>
        <w:rPr>
          <w:b/>
          <w:bCs/>
          <w:color w:val="1F4E79"/>
          <w:sz w:val="44"/>
          <w:szCs w:val="44"/>
        </w:rPr>
        <w:t xml:space="preserve">How a Case Moves</w:t>
      </w:r>
    </w:p>
    <w:p>
      <w:pPr>
        <w:spacing w:after="220"/>
      </w:pPr>
      <w:r>
        <w:rPr>
          <w:color w:val="5A6779"/>
          <w:sz w:val="24"/>
          <w:szCs w:val="24"/>
        </w:rPr>
        <w:t xml:space="preserve">One 90-minute lesson — from the 911 call to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Do not share this file with students - it contains the answer key</w:t>
            </w:r>
          </w:p>
          <w:p>
            <w:pPr>
              <w:spacing w:after="60" w:line="276"/>
            </w:pPr>
            <w:r>
              <w:rPr>
                <w:sz w:val="21"/>
                <w:szCs w:val="21"/>
              </w:rPr>
              <w:t xml:space="preserve">Students get the separate file: "How a Case Moves - STUDENT".</w:t>
            </w:r>
          </w:p>
          <w:p>
            <w:pPr>
              <w:spacing w:after="60" w:line="276"/>
            </w:pPr>
            <w:r>
              <w:rPr>
                <w:sz w:val="21"/>
                <w:szCs w:val="21"/>
              </w:rPr>
              <w:t xml:space="preserve">Assign it through Google Classroom with Make a copy for each student. Nothing needs printing.</w:t>
            </w:r>
          </w:p>
        </w:tc>
      </w:tr>
    </w:tbl>
    <w:p>
      <w:pPr>
        <w:spacing w:after="12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Running it on Chromebooks</w:t>
            </w:r>
          </w:p>
          <w:p>
            <w:pPr>
              <w:spacing w:after="60" w:line="276"/>
            </w:pPr>
            <w:r>
              <w:rPr>
                <w:sz w:val="21"/>
                <w:szCs w:val="21"/>
              </w:rPr>
              <w:t xml:space="preserve">Upload the student file to Google Drive. Right-click it and choose Open with &gt; Google Docs, which converts it and keeps the tables.</w:t>
            </w:r>
          </w:p>
          <w:p>
            <w:pPr>
              <w:spacing w:after="60" w:line="276"/>
            </w:pPr>
            <w:r>
              <w:rPr>
                <w:sz w:val="21"/>
                <w:szCs w:val="21"/>
              </w:rPr>
              <w:t xml:space="preserve">In Classroom: Classwork &gt; Create &gt; Assignment &gt; Add &gt; Drive &gt; pick the student doc &gt; change the dropdown to Make a copy for each student &gt; Assign.</w:t>
            </w:r>
          </w:p>
          <w:p>
            <w:pPr>
              <w:spacing w:after="60" w:line="276"/>
            </w:pPr>
            <w:r>
              <w:rPr>
                <w:sz w:val="21"/>
                <w:szCs w:val="21"/>
              </w:rPr>
              <w:t xml:space="preserve">Every student gets their own copy that saves as they type. You see their work in progress and grade it in Classroom. No copies, no paper.</w:t>
            </w:r>
          </w:p>
          <w:p>
            <w:pPr>
              <w:spacing w:after="60" w:line="276"/>
            </w:pPr>
            <w:r>
              <w:rPr>
                <w:sz w:val="21"/>
                <w:szCs w:val="21"/>
              </w:rPr>
              <w:t xml:space="preserve">Reuse it for every section with Classwork &gt; Reuse post. Assign once, use it for all 150 students.</w:t>
            </w:r>
          </w:p>
          <w:p>
            <w:pPr>
              <w:spacing w:after="60" w:line="276"/>
            </w:pPr>
            <w:r>
              <w:rPr>
                <w:sz w:val="21"/>
                <w:szCs w:val="21"/>
              </w:rPr>
              <w:t xml:space="preserve">Project this guide or the student doc on the Promethean board while you teach. Students follow along in their own copy.</w:t>
            </w:r>
          </w:p>
        </w:tc>
      </w:tr>
    </w:tbl>
    <w:p>
      <w:pPr>
        <w:pStyle w:val="Heading1"/>
      </w:pPr>
      <w:r>
        <w:t xml:space="preserve">Part 1 — Before you teach: what you need to know</w:t>
      </w:r>
    </w:p>
    <w:p>
      <w:pPr>
        <w:spacing w:after="120" w:line="276"/>
      </w:pPr>
      <w:r>
        <w:rPr>
          <w:i/>
          <w:iCs/>
          <w:color w:val="5A6779"/>
          <w:sz w:val="22"/>
          <w:szCs w:val="22"/>
        </w:rPr>
        <w:t xml:space="preserve">Read this once before class. It is the whole content of the lesson written out plainly, and it is more than you will need to say out loud. If a student asks something past this, the honest answer is "good question, let us look it up" - and looking it up together is a legitimate criminal justice lesson in itself.</w:t>
      </w:r>
    </w:p>
    <w:p>
      <w:pPr>
        <w:pStyle w:val="Heading2"/>
      </w:pPr>
      <w:r>
        <w:t xml:space="preserve">The big picture: three branches, three components, four levels</w:t>
      </w:r>
    </w:p>
    <w:p>
      <w:pPr>
        <w:spacing w:after="120" w:line="276"/>
      </w:pPr>
      <w:r>
        <w:rPr>
          <w:sz w:val="22"/>
          <w:szCs w:val="22"/>
        </w:rPr>
        <w:t xml:space="preserve">Students mix these up constantly, so separate them clearly.</w:t>
      </w:r>
    </w:p>
    <w:p>
      <w:pPr>
        <w:pStyle w:val="Heading3"/>
      </w:pPr>
      <w:r>
        <w:t xml:space="preserve">Three branches of government</w:t>
      </w:r>
    </w:p>
    <w:p>
      <w:pPr>
        <w:pStyle w:val="ListParagraph"/>
        <w:numPr>
          <w:ilvl w:val="0"/>
          <w:numId w:val="2"/>
        </w:numPr>
        <w:spacing w:after="60" w:line="276"/>
      </w:pPr>
      <w:r>
        <w:rPr>
          <w:sz w:val="22"/>
          <w:szCs w:val="22"/>
        </w:rPr>
        <w:t xml:space="preserve">Legislative makes the law. The Florida Legislature writes the criminal statutes.</w:t>
      </w:r>
    </w:p>
    <w:p>
      <w:pPr>
        <w:pStyle w:val="ListParagraph"/>
        <w:numPr>
          <w:ilvl w:val="0"/>
          <w:numId w:val="2"/>
        </w:numPr>
        <w:spacing w:after="60" w:line="276"/>
      </w:pPr>
      <w:r>
        <w:rPr>
          <w:sz w:val="22"/>
          <w:szCs w:val="22"/>
        </w:rPr>
        <w:t xml:space="preserve">Executive enforces the law. Police, sheriffs, corrections officers and the State Attorney sit here.</w:t>
      </w:r>
    </w:p>
    <w:p>
      <w:pPr>
        <w:pStyle w:val="ListParagraph"/>
        <w:numPr>
          <w:ilvl w:val="0"/>
          <w:numId w:val="2"/>
        </w:numPr>
        <w:spacing w:after="60" w:line="276"/>
      </w:pPr>
      <w:r>
        <w:rPr>
          <w:sz w:val="22"/>
          <w:szCs w:val="22"/>
        </w:rPr>
        <w:t xml:space="preserve">Judicial interprets the law. Judges and courts.</w:t>
      </w:r>
    </w:p>
    <w:p>
      <w:pPr>
        <w:pStyle w:val="Heading3"/>
      </w:pPr>
      <w:r>
        <w:t xml:space="preserve">Three components of the criminal justice system</w:t>
      </w:r>
    </w:p>
    <w:p>
      <w:pPr>
        <w:pStyle w:val="ListParagraph"/>
        <w:numPr>
          <w:ilvl w:val="0"/>
          <w:numId w:val="2"/>
        </w:numPr>
        <w:spacing w:after="60" w:line="276"/>
      </w:pPr>
      <w:r>
        <w:rPr>
          <w:sz w:val="22"/>
          <w:szCs w:val="22"/>
        </w:rPr>
        <w:t xml:space="preserve">Law enforcement - responds, investigates, arrests.</w:t>
      </w:r>
    </w:p>
    <w:p>
      <w:pPr>
        <w:pStyle w:val="ListParagraph"/>
        <w:numPr>
          <w:ilvl w:val="0"/>
          <w:numId w:val="2"/>
        </w:numPr>
        <w:spacing w:after="60" w:line="276"/>
      </w:pPr>
      <w:r>
        <w:rPr>
          <w:sz w:val="22"/>
          <w:szCs w:val="22"/>
        </w:rPr>
        <w:t xml:space="preserve">Courts - charges, tries, sentences.</w:t>
      </w:r>
    </w:p>
    <w:p>
      <w:pPr>
        <w:pStyle w:val="ListParagraph"/>
        <w:numPr>
          <w:ilvl w:val="0"/>
          <w:numId w:val="2"/>
        </w:numPr>
        <w:spacing w:after="60" w:line="276"/>
      </w:pPr>
      <w:r>
        <w:rPr>
          <w:sz w:val="22"/>
          <w:szCs w:val="22"/>
        </w:rPr>
        <w:t xml:space="preserve">Corrections - jails, prisons, probation, community supervision.</w:t>
      </w:r>
    </w:p>
    <w:p>
      <w:pPr>
        <w:spacing w:after="120" w:line="276"/>
      </w:pPr>
      <w:r>
        <w:rPr>
          <w:sz w:val="22"/>
          <w:szCs w:val="22"/>
        </w:rPr>
        <w:t xml:space="preserve">A case passes through all three, in that order. That is the spine of the lesson.</w:t>
      </w:r>
    </w:p>
    <w:p>
      <w:pPr>
        <w:pStyle w:val="Heading3"/>
      </w:pPr>
      <w:r>
        <w:t xml:space="preserve">Four levels of government</w:t>
      </w:r>
    </w:p>
    <w:p>
      <w:pPr>
        <w:pStyle w:val="ListParagraph"/>
        <w:numPr>
          <w:ilvl w:val="0"/>
          <w:numId w:val="2"/>
        </w:numPr>
        <w:spacing w:after="60" w:line="276"/>
      </w:pPr>
      <w:r>
        <w:rPr>
          <w:sz w:val="22"/>
          <w:szCs w:val="22"/>
        </w:rPr>
        <w:t xml:space="preserve">Federal - FBI, DEA, U.S. Attorney, federal courts, federal prisons.</w:t>
      </w:r>
    </w:p>
    <w:p>
      <w:pPr>
        <w:pStyle w:val="ListParagraph"/>
        <w:numPr>
          <w:ilvl w:val="0"/>
          <w:numId w:val="2"/>
        </w:numPr>
        <w:spacing w:after="60" w:line="276"/>
      </w:pPr>
      <w:r>
        <w:rPr>
          <w:sz w:val="22"/>
          <w:szCs w:val="22"/>
        </w:rPr>
        <w:t xml:space="preserve">State - Florida Highway Patrol, FDLE, State Attorney, circuit courts, Florida Department of Corrections.</w:t>
      </w:r>
    </w:p>
    <w:p>
      <w:pPr>
        <w:pStyle w:val="ListParagraph"/>
        <w:numPr>
          <w:ilvl w:val="0"/>
          <w:numId w:val="2"/>
        </w:numPr>
        <w:spacing w:after="60" w:line="276"/>
      </w:pPr>
      <w:r>
        <w:rPr>
          <w:sz w:val="22"/>
          <w:szCs w:val="22"/>
        </w:rPr>
        <w:t xml:space="preserve">County - Sheriff’s Office, county jail, county court.</w:t>
      </w:r>
    </w:p>
    <w:p>
      <w:pPr>
        <w:pStyle w:val="ListParagraph"/>
        <w:numPr>
          <w:ilvl w:val="0"/>
          <w:numId w:val="2"/>
        </w:numPr>
        <w:spacing w:after="60" w:line="276"/>
      </w:pPr>
      <w:r>
        <w:rPr>
          <w:sz w:val="22"/>
          <w:szCs w:val="22"/>
        </w:rPr>
        <w:t xml:space="preserve">Local - city police department, city code enforcement.</w:t>
      </w:r>
    </w:p>
    <w:p>
      <w:pPr>
        <w:pStyle w:val="Heading2"/>
      </w:pPr>
      <w:r>
        <w:t xml:space="preserve">The eleven stages of a Florida criminal case</w:t>
      </w:r>
    </w:p>
    <w:p>
      <w:pPr>
        <w:spacing w:after="120" w:line="276"/>
      </w:pPr>
      <w:r>
        <w:rPr>
          <w:sz w:val="22"/>
          <w:szCs w:val="22"/>
        </w:rPr>
        <w:t xml:space="preserve">This is the core content. Teach it in order while students fill in Section A of their copy.</w:t>
      </w:r>
    </w:p>
    <w:p>
      <w:pPr>
        <w:pStyle w:val="ListParagraph"/>
        <w:numPr>
          <w:ilvl w:val="0"/>
          <w:numId w:val="3"/>
        </w:numPr>
        <w:spacing w:after="80" w:line="276"/>
      </w:pPr>
      <w:r>
        <w:rPr>
          <w:sz w:val="22"/>
          <w:szCs w:val="22"/>
        </w:rPr>
        <w:t xml:space="preserve">Report or call for service. Someone calls 911, walks into a lobby, or an officer sees it happen. Dispatch assigns it.</w:t>
      </w:r>
    </w:p>
    <w:p>
      <w:pPr>
        <w:pStyle w:val="ListParagraph"/>
        <w:numPr>
          <w:ilvl w:val="0"/>
          <w:numId w:val="3"/>
        </w:numPr>
        <w:spacing w:after="80" w:line="276"/>
      </w:pPr>
      <w:r>
        <w:rPr>
          <w:sz w:val="22"/>
          <w:szCs w:val="22"/>
        </w:rPr>
        <w:t xml:space="preserve">Patrol response and preliminary investigation. The officer secures the scene, identifies witnesses, collects what evidence is there, and writes a report. Everything later in the case is built on that report.</w:t>
      </w:r>
    </w:p>
    <w:p>
      <w:pPr>
        <w:pStyle w:val="ListParagraph"/>
        <w:numPr>
          <w:ilvl w:val="0"/>
          <w:numId w:val="3"/>
        </w:numPr>
        <w:spacing w:after="80" w:line="276"/>
      </w:pPr>
      <w:r>
        <w:rPr>
          <w:sz w:val="22"/>
          <w:szCs w:val="22"/>
        </w:rPr>
        <w:t xml:space="preserve">Arrest, or a notice to appear. An arrest requires probable cause - more than a hunch, less than certainty. For many misdemeanors an officer may instead issue a notice to appear, a written order to show up in court rather than going to jail.</w:t>
      </w:r>
    </w:p>
    <w:p>
      <w:pPr>
        <w:pStyle w:val="ListParagraph"/>
        <w:numPr>
          <w:ilvl w:val="0"/>
          <w:numId w:val="3"/>
        </w:numPr>
        <w:spacing w:after="80" w:line="276"/>
      </w:pPr>
      <w:r>
        <w:rPr>
          <w:sz w:val="22"/>
          <w:szCs w:val="22"/>
        </w:rPr>
        <w:t xml:space="preserve">Booking. Identification, photographs, fingerprints, property inventory, medical screening. The fingerprints go into state and national systems.</w:t>
      </w:r>
    </w:p>
    <w:p>
      <w:pPr>
        <w:pStyle w:val="ListParagraph"/>
        <w:numPr>
          <w:ilvl w:val="0"/>
          <w:numId w:val="3"/>
        </w:numPr>
        <w:spacing w:after="80" w:line="276"/>
      </w:pPr>
      <w:r>
        <w:rPr>
          <w:sz w:val="22"/>
          <w:szCs w:val="22"/>
        </w:rPr>
        <w:t xml:space="preserve">First appearance, within 24 hours of arrest. A judge confirms there was probable cause, states the charges, advises the right to counsel, and sets bond or releases. This is fast and it is required.</w:t>
      </w:r>
    </w:p>
    <w:p>
      <w:pPr>
        <w:pStyle w:val="ListParagraph"/>
        <w:numPr>
          <w:ilvl w:val="0"/>
          <w:numId w:val="3"/>
        </w:numPr>
        <w:spacing w:after="80" w:line="276"/>
      </w:pPr>
      <w:r>
        <w:rPr>
          <w:sz w:val="22"/>
          <w:szCs w:val="22"/>
        </w:rPr>
        <w:t xml:space="preserve">Charging decision. This surprises students: the police do not decide the charges - the State Attorney does. For most felonies the State Attorney files a document called an information. For a capital crime the Florida Constitution requires a grand jury indictment instead. The State Attorney can also decline to file at all.</w:t>
      </w:r>
    </w:p>
    <w:p>
      <w:pPr>
        <w:pStyle w:val="ListParagraph"/>
        <w:numPr>
          <w:ilvl w:val="0"/>
          <w:numId w:val="3"/>
        </w:numPr>
        <w:spacing w:after="80" w:line="276"/>
      </w:pPr>
      <w:r>
        <w:rPr>
          <w:sz w:val="22"/>
          <w:szCs w:val="22"/>
        </w:rPr>
        <w:t xml:space="preserve">Arraignment. The defendant is formally told the charges and enters a plea - guilty, not guilty, or no contest.</w:t>
      </w:r>
    </w:p>
    <w:p>
      <w:pPr>
        <w:pStyle w:val="ListParagraph"/>
        <w:numPr>
          <w:ilvl w:val="0"/>
          <w:numId w:val="3"/>
        </w:numPr>
        <w:spacing w:after="80" w:line="276"/>
      </w:pPr>
      <w:r>
        <w:rPr>
          <w:sz w:val="22"/>
          <w:szCs w:val="22"/>
        </w:rPr>
        <w:t xml:space="preserve">Pretrial: discovery, motions, negotiation. Both sides exchange evidence. The defense may move to suppress evidence gathered improperly. The large majority of criminal cases end here in a plea agreement, not at trial.</w:t>
      </w:r>
    </w:p>
    <w:p>
      <w:pPr>
        <w:pStyle w:val="ListParagraph"/>
        <w:numPr>
          <w:ilvl w:val="0"/>
          <w:numId w:val="3"/>
        </w:numPr>
        <w:spacing w:after="80" w:line="276"/>
      </w:pPr>
      <w:r>
        <w:rPr>
          <w:sz w:val="22"/>
          <w:szCs w:val="22"/>
        </w:rPr>
        <w:t xml:space="preserve">Trial. The State must prove guilt beyond a reasonable doubt. The defendant does not have to prove anything, does not have to testify, and cannot be made to.</w:t>
      </w:r>
    </w:p>
    <w:p>
      <w:pPr>
        <w:pStyle w:val="ListParagraph"/>
        <w:numPr>
          <w:ilvl w:val="0"/>
          <w:numId w:val="3"/>
        </w:numPr>
        <w:spacing w:after="80" w:line="276"/>
      </w:pPr>
      <w:r>
        <w:rPr>
          <w:sz w:val="22"/>
          <w:szCs w:val="22"/>
        </w:rPr>
        <w:t xml:space="preserve">Sentencing. Fines, probation, community control, jail, prison, restitution - often a combination.</w:t>
      </w:r>
    </w:p>
    <w:p>
      <w:pPr>
        <w:pStyle w:val="ListParagraph"/>
        <w:numPr>
          <w:ilvl w:val="0"/>
          <w:numId w:val="3"/>
        </w:numPr>
        <w:spacing w:after="80" w:line="276"/>
      </w:pPr>
      <w:r>
        <w:rPr>
          <w:sz w:val="22"/>
          <w:szCs w:val="22"/>
        </w:rPr>
        <w:t xml:space="preserve">Corrections and release. County jail holds sentences of one year or less. The Florida Department of Corrections holds sentences of more than one year. Probation and community control are served in the community under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The line that makes it stick</w:t>
            </w:r>
          </w:p>
          <w:p>
            <w:pPr>
              <w:spacing w:after="60" w:line="276"/>
            </w:pPr>
            <w:r>
              <w:rPr>
                <w:sz w:val="21"/>
                <w:szCs w:val="21"/>
              </w:rPr>
              <w:t xml:space="preserve">Misdemeanor: maximum penalty up to one year, served in the county jail.</w:t>
            </w:r>
          </w:p>
          <w:p>
            <w:pPr>
              <w:spacing w:after="60" w:line="276"/>
            </w:pPr>
            <w:r>
              <w:rPr>
                <w:sz w:val="21"/>
                <w:szCs w:val="21"/>
              </w:rPr>
              <w:t xml:space="preserve">Felony: maximum penalty more than one year, served in state prison.</w:t>
            </w:r>
          </w:p>
          <w:p>
            <w:pPr>
              <w:spacing w:after="60" w:line="276"/>
            </w:pPr>
            <w:r>
              <w:rPr>
                <w:sz w:val="21"/>
                <w:szCs w:val="21"/>
              </w:rPr>
              <w:t xml:space="preserve">That one distinction decides which court hears the case - county court for misdemeanors, circuit court for felonies - and where any sentence is served.</w:t>
            </w:r>
          </w:p>
        </w:tc>
      </w:tr>
    </w:tbl>
    <w:p>
      <w:pPr>
        <w:pStyle w:val="Heading2"/>
      </w:pPr>
      <w:r>
        <w:t xml:space="preserve">One Florida case worth knowing</w:t>
      </w:r>
    </w:p>
    <w:p>
      <w:pPr>
        <w:spacing w:after="120" w:line="276"/>
      </w:pPr>
      <w:r>
        <w:rPr>
          <w:sz w:val="22"/>
          <w:szCs w:val="22"/>
        </w:rPr>
        <w:t xml:space="preserve">Clarence Earl Gideon was charged with breaking into a pool hall in Panama City in 1961. He could not afford a lawyer, asked the court for one, and was told Florida did not have to provide one. He defended himself, lost, and went to prison - where he hand-wrote a petition to the U.S. Supreme Court in pencil.</w:t>
      </w:r>
    </w:p>
    <w:p>
      <w:pPr>
        <w:spacing w:after="120" w:line="276"/>
      </w:pPr>
      <w:r>
        <w:rPr>
          <w:sz w:val="22"/>
          <w:szCs w:val="22"/>
        </w:rPr>
        <w:t xml:space="preserve">In Gideon v. Wainwright (1963) the Court held unanimously that anyone facing serious criminal charges has the right to a lawyer, paid for by the state if they cannot afford one. Gideon was retried with a lawyer and acquitted.</w:t>
      </w:r>
    </w:p>
    <w:p>
      <w:pPr>
        <w:spacing w:after="120" w:line="276"/>
      </w:pPr>
      <w:r>
        <w:rPr>
          <w:i/>
          <w:iCs/>
          <w:color w:val="5A6779"/>
          <w:sz w:val="22"/>
          <w:szCs w:val="22"/>
        </w:rPr>
        <w:t xml:space="preserve">That is why there is a public defender in the courtroom, and it started with a Florida case. Students remember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One thing that changed recently - do not teach the old version</w:t>
            </w:r>
          </w:p>
          <w:p>
            <w:pPr>
              <w:spacing w:after="60" w:line="276"/>
            </w:pPr>
            <w:r>
              <w:rPr>
                <w:sz w:val="21"/>
                <w:szCs w:val="21"/>
              </w:rPr>
              <w:t xml:space="preserve">Florida’s speedy trial rule used to say the clock started at arrest: 90 days for a misdemeanor, 175 days for a felony.</w:t>
            </w:r>
          </w:p>
          <w:p>
            <w:pPr>
              <w:spacing w:after="60" w:line="276"/>
            </w:pPr>
            <w:r>
              <w:rPr>
                <w:sz w:val="21"/>
                <w:szCs w:val="21"/>
              </w:rPr>
              <w:t xml:space="preserve">Effective July 1, 2025 the Florida Supreme Court revised Rule 3.191. The clock now starts when the State files formal charges, not at arrest.</w:t>
            </w:r>
          </w:p>
          <w:p>
            <w:pPr>
              <w:spacing w:after="60" w:line="276"/>
            </w:pPr>
            <w:r>
              <w:rPr>
                <w:sz w:val="21"/>
                <w:szCs w:val="21"/>
              </w:rPr>
              <w:t xml:space="preserve">Most lesson plans and websites still describe the old rule. If a student finds the old numbers online, that is a good teaching moment about checking the date on a source.</w:t>
            </w:r>
          </w:p>
        </w:tc>
      </w:tr>
    </w:tbl>
    <w:p>
      <w:r>
        <w:br w:type="page"/>
      </w:r>
    </w:p>
    <w:p>
      <w:pPr>
        <w:pStyle w:val="Heading1"/>
      </w:pPr>
      <w:r>
        <w:t xml:space="preserve">Part 2 — The 90 minutes</w:t>
      </w:r>
    </w:p>
    <w:p>
      <w:pPr>
        <w:spacing w:after="120" w:line="276"/>
      </w:pPr>
      <w:r>
        <w:rPr>
          <w:i/>
          <w:iCs/>
          <w:color w:val="5A6779"/>
          <w:sz w:val="22"/>
          <w:szCs w:val="22"/>
        </w:rPr>
        <w:t xml:space="preserve">Timings are generous on purpose. If discussion is going well, Section C can shrink or move to homework.</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1100"/>
        <w:gridCol w:w="4200"/>
        <w:gridCol w:w="4060"/>
      </w:tblGrid>
      <w:tr>
        <w:trPr>
          <w:tblHeader/>
        </w:trPr>
        <w:tc>
          <w:tcPr>
            <w:tcW w:type="dxa" w:w="1100"/>
            <w:shd w:fill="1F4E79" w:val="clear"/>
            <w:tcMar>
              <w:top w:type="dxa" w:w="100"/>
              <w:left w:type="dxa" w:w="140"/>
              <w:bottom w:type="dxa" w:w="100"/>
              <w:right w:type="dxa" w:w="140"/>
            </w:tcMar>
          </w:tcPr>
          <w:p>
            <w:r>
              <w:rPr>
                <w:b/>
                <w:bCs/>
                <w:color w:val="FFFFFF"/>
                <w:sz w:val="20"/>
                <w:szCs w:val="20"/>
              </w:rPr>
              <w:t xml:space="preserve">Time</w:t>
            </w:r>
          </w:p>
        </w:tc>
        <w:tc>
          <w:tcPr>
            <w:tcW w:type="dxa" w:w="4200"/>
            <w:shd w:fill="1F4E79" w:val="clear"/>
            <w:tcMar>
              <w:top w:type="dxa" w:w="100"/>
              <w:left w:type="dxa" w:w="140"/>
              <w:bottom w:type="dxa" w:w="100"/>
              <w:right w:type="dxa" w:w="140"/>
            </w:tcMar>
          </w:tcPr>
          <w:p>
            <w:r>
              <w:rPr>
                <w:b/>
                <w:bCs/>
                <w:color w:val="FFFFFF"/>
                <w:sz w:val="20"/>
                <w:szCs w:val="20"/>
              </w:rPr>
              <w:t xml:space="preserve">What you do</w:t>
            </w:r>
          </w:p>
        </w:tc>
        <w:tc>
          <w:tcPr>
            <w:tcW w:type="dxa" w:w="4060"/>
            <w:shd w:fill="1F4E79" w:val="clear"/>
            <w:tcMar>
              <w:top w:type="dxa" w:w="100"/>
              <w:left w:type="dxa" w:w="140"/>
              <w:bottom w:type="dxa" w:w="100"/>
              <w:right w:type="dxa" w:w="140"/>
            </w:tcMar>
          </w:tcPr>
          <w:p>
            <w:r>
              <w:rPr>
                <w:b/>
                <w:bCs/>
                <w:color w:val="FFFFFF"/>
                <w:sz w:val="20"/>
                <w:szCs w:val="20"/>
              </w:rPr>
              <w:t xml:space="preserve">What students do</w:t>
            </w:r>
          </w:p>
        </w:tc>
      </w:tr>
      <w:tr>
        <w:tc>
          <w:tcPr>
            <w:tcW w:type="dxa" w:w="1100"/>
            <w:tcMar>
              <w:top w:type="dxa" w:w="120"/>
              <w:left w:type="dxa" w:w="140"/>
              <w:bottom w:type="dxa" w:w="120"/>
              <w:right w:type="dxa" w:w="140"/>
            </w:tcMar>
          </w:tcPr>
          <w:p>
            <w:pPr>
              <w:spacing w:after="30" w:line="276"/>
            </w:pPr>
            <w:r>
              <w:rPr>
                <w:b/>
                <w:bCs/>
                <w:sz w:val="21"/>
                <w:szCs w:val="21"/>
              </w:rPr>
              <w:t xml:space="preserve">0–08</w:t>
            </w:r>
          </w:p>
        </w:tc>
        <w:tc>
          <w:tcPr>
            <w:tcW w:type="dxa" w:w="4200"/>
            <w:tcMar>
              <w:top w:type="dxa" w:w="120"/>
              <w:left w:type="dxa" w:w="140"/>
              <w:bottom w:type="dxa" w:w="120"/>
              <w:right w:type="dxa" w:w="140"/>
            </w:tcMar>
          </w:tcPr>
          <w:p>
            <w:pPr>
              <w:spacing w:after="30" w:line="276"/>
            </w:pPr>
            <w:r>
              <w:rPr>
                <w:b w:val="false"/>
                <w:bCs w:val="false"/>
                <w:sz w:val="21"/>
                <w:szCs w:val="21"/>
              </w:rPr>
              <w:t xml:space="preserve">Bell work on the board before they walk in: "Write down every job you can think of in the criminal justice system. Then star the one you would want." Do not explain it, just point.</w:t>
            </w:r>
          </w:p>
        </w:tc>
        <w:tc>
          <w:tcPr>
            <w:tcW w:type="dxa" w:w="4060"/>
            <w:tcMar>
              <w:top w:type="dxa" w:w="120"/>
              <w:left w:type="dxa" w:w="140"/>
              <w:bottom w:type="dxa" w:w="120"/>
              <w:right w:type="dxa" w:w="140"/>
            </w:tcMar>
          </w:tcPr>
          <w:p>
            <w:pPr>
              <w:spacing w:after="30" w:line="276"/>
            </w:pPr>
            <w:r>
              <w:rPr>
                <w:b w:val="false"/>
                <w:bCs w:val="false"/>
                <w:sz w:val="21"/>
                <w:szCs w:val="21"/>
              </w:rPr>
              <w:t xml:space="preserve">Type into the name box and think. This settles the room and buys you a minute.</w:t>
            </w:r>
          </w:p>
        </w:tc>
      </w:tr>
      <w:tr>
        <w:tc>
          <w:tcPr>
            <w:tcW w:type="dxa" w:w="1100"/>
            <w:tcMar>
              <w:top w:type="dxa" w:w="120"/>
              <w:left w:type="dxa" w:w="140"/>
              <w:bottom w:type="dxa" w:w="120"/>
              <w:right w:type="dxa" w:w="140"/>
            </w:tcMar>
          </w:tcPr>
          <w:p>
            <w:pPr>
              <w:spacing w:after="30" w:line="276"/>
            </w:pPr>
            <w:r>
              <w:rPr>
                <w:b/>
                <w:bCs/>
                <w:sz w:val="21"/>
                <w:szCs w:val="21"/>
              </w:rPr>
              <w:t xml:space="preserve">08–12</w:t>
            </w:r>
          </w:p>
        </w:tc>
        <w:tc>
          <w:tcPr>
            <w:tcW w:type="dxa" w:w="4200"/>
            <w:tcMar>
              <w:top w:type="dxa" w:w="120"/>
              <w:left w:type="dxa" w:w="140"/>
              <w:bottom w:type="dxa" w:w="120"/>
              <w:right w:type="dxa" w:w="140"/>
            </w:tcMar>
          </w:tcPr>
          <w:p>
            <w:pPr>
              <w:spacing w:after="30" w:line="276"/>
            </w:pPr>
            <w:r>
              <w:rPr>
                <w:b w:val="false"/>
                <w:bCs w:val="false"/>
                <w:sz w:val="21"/>
                <w:szCs w:val="21"/>
              </w:rPr>
              <w:t xml:space="preserve">Frame the day in one sentence: "Today we follow one case start to finish, so everything else this year has somewhere to hang." Make sure everyone has opened the assignment.</w:t>
            </w:r>
          </w:p>
        </w:tc>
        <w:tc>
          <w:tcPr>
            <w:tcW w:type="dxa" w:w="4060"/>
            <w:tcMar>
              <w:top w:type="dxa" w:w="120"/>
              <w:left w:type="dxa" w:w="140"/>
              <w:bottom w:type="dxa" w:w="120"/>
              <w:right w:type="dxa" w:w="140"/>
            </w:tcMar>
          </w:tcPr>
          <w:p>
            <w:pPr>
              <w:spacing w:after="30" w:line="276"/>
            </w:pPr>
            <w:r>
              <w:rPr>
                <w:b w:val="false"/>
                <w:bCs w:val="false"/>
                <w:sz w:val="21"/>
                <w:szCs w:val="21"/>
              </w:rPr>
              <w:t xml:space="preserve">Open the assignment in Classroom.</w:t>
            </w:r>
          </w:p>
        </w:tc>
      </w:tr>
      <w:tr>
        <w:tc>
          <w:tcPr>
            <w:tcW w:type="dxa" w:w="1100"/>
            <w:tcMar>
              <w:top w:type="dxa" w:w="120"/>
              <w:left w:type="dxa" w:w="140"/>
              <w:bottom w:type="dxa" w:w="120"/>
              <w:right w:type="dxa" w:w="140"/>
            </w:tcMar>
          </w:tcPr>
          <w:p>
            <w:pPr>
              <w:spacing w:after="30" w:line="276"/>
            </w:pPr>
            <w:r>
              <w:rPr>
                <w:b/>
                <w:bCs/>
                <w:sz w:val="21"/>
                <w:szCs w:val="21"/>
              </w:rPr>
              <w:t xml:space="preserve">12–42</w:t>
            </w:r>
          </w:p>
        </w:tc>
        <w:tc>
          <w:tcPr>
            <w:tcW w:type="dxa" w:w="4200"/>
            <w:tcMar>
              <w:top w:type="dxa" w:w="120"/>
              <w:left w:type="dxa" w:w="140"/>
              <w:bottom w:type="dxa" w:w="120"/>
              <w:right w:type="dxa" w:w="140"/>
            </w:tcMar>
          </w:tcPr>
          <w:p>
            <w:pPr>
              <w:spacing w:after="30" w:line="276"/>
            </w:pPr>
            <w:r>
              <w:rPr>
                <w:b w:val="false"/>
                <w:bCs w:val="false"/>
                <w:sz w:val="21"/>
                <w:szCs w:val="21"/>
              </w:rPr>
              <w:t xml:space="preserve">Teach the eleven stages from Part 1, in order. Say the stage, say what happens, move on. Do not stop for discussion yet.</w:t>
            </w:r>
          </w:p>
        </w:tc>
        <w:tc>
          <w:tcPr>
            <w:tcW w:type="dxa" w:w="4060"/>
            <w:tcMar>
              <w:top w:type="dxa" w:w="120"/>
              <w:left w:type="dxa" w:w="140"/>
              <w:bottom w:type="dxa" w:w="120"/>
              <w:right w:type="dxa" w:w="140"/>
            </w:tcMar>
          </w:tcPr>
          <w:p>
            <w:pPr>
              <w:spacing w:after="30" w:line="276"/>
            </w:pPr>
            <w:r>
              <w:rPr>
                <w:b w:val="false"/>
                <w:bCs w:val="false"/>
                <w:sz w:val="21"/>
                <w:szCs w:val="21"/>
              </w:rPr>
              <w:t xml:space="preserve">Fill in Section A in their own words as you go. This is the only thing they need to do right now.</w:t>
            </w:r>
          </w:p>
        </w:tc>
      </w:tr>
      <w:tr>
        <w:tc>
          <w:tcPr>
            <w:tcW w:type="dxa" w:w="1100"/>
            <w:tcMar>
              <w:top w:type="dxa" w:w="120"/>
              <w:left w:type="dxa" w:w="140"/>
              <w:bottom w:type="dxa" w:w="120"/>
              <w:right w:type="dxa" w:w="140"/>
            </w:tcMar>
          </w:tcPr>
          <w:p>
            <w:pPr>
              <w:spacing w:after="30" w:line="276"/>
            </w:pPr>
            <w:r>
              <w:rPr>
                <w:b/>
                <w:bCs/>
                <w:sz w:val="21"/>
                <w:szCs w:val="21"/>
              </w:rPr>
              <w:t xml:space="preserve">42–46</w:t>
            </w:r>
          </w:p>
        </w:tc>
        <w:tc>
          <w:tcPr>
            <w:tcW w:type="dxa" w:w="4200"/>
            <w:tcMar>
              <w:top w:type="dxa" w:w="120"/>
              <w:left w:type="dxa" w:w="140"/>
              <w:bottom w:type="dxa" w:w="120"/>
              <w:right w:type="dxa" w:w="140"/>
            </w:tcMar>
          </w:tcPr>
          <w:p>
            <w:pPr>
              <w:spacing w:after="30" w:line="276"/>
            </w:pPr>
            <w:r>
              <w:rPr>
                <w:b w:val="false"/>
                <w:bCs w:val="false"/>
                <w:sz w:val="21"/>
                <w:szCs w:val="21"/>
              </w:rPr>
              <w:t xml:space="preserve">Stretch break. Take the questions that built up.</w:t>
            </w:r>
          </w:p>
        </w:tc>
        <w:tc>
          <w:tcPr>
            <w:tcW w:type="dxa" w:w="4060"/>
            <w:tcMar>
              <w:top w:type="dxa" w:w="120"/>
              <w:left w:type="dxa" w:w="140"/>
              <w:bottom w:type="dxa" w:w="120"/>
              <w:right w:type="dxa" w:w="140"/>
            </w:tcMar>
          </w:tcPr>
          <w:p>
            <w:pPr>
              <w:spacing w:after="30" w:line="276"/>
            </w:pPr>
            <w:r>
              <w:rPr>
                <w:b w:val="false"/>
                <w:bCs w:val="false"/>
                <w:sz w:val="21"/>
                <w:szCs w:val="21"/>
              </w:rPr>
              <w:t xml:space="preserve">Stand up, ask questions.</w:t>
            </w:r>
          </w:p>
        </w:tc>
      </w:tr>
      <w:tr>
        <w:tc>
          <w:tcPr>
            <w:tcW w:type="dxa" w:w="1100"/>
            <w:tcMar>
              <w:top w:type="dxa" w:w="120"/>
              <w:left w:type="dxa" w:w="140"/>
              <w:bottom w:type="dxa" w:w="120"/>
              <w:right w:type="dxa" w:w="140"/>
            </w:tcMar>
          </w:tcPr>
          <w:p>
            <w:pPr>
              <w:spacing w:after="30" w:line="276"/>
            </w:pPr>
            <w:r>
              <w:rPr>
                <w:b/>
                <w:bCs/>
                <w:sz w:val="21"/>
                <w:szCs w:val="21"/>
              </w:rPr>
              <w:t xml:space="preserve">46–66</w:t>
            </w:r>
          </w:p>
        </w:tc>
        <w:tc>
          <w:tcPr>
            <w:tcW w:type="dxa" w:w="4200"/>
            <w:tcMar>
              <w:top w:type="dxa" w:w="120"/>
              <w:left w:type="dxa" w:w="140"/>
              <w:bottom w:type="dxa" w:w="120"/>
              <w:right w:type="dxa" w:w="140"/>
            </w:tcMar>
          </w:tcPr>
          <w:p>
            <w:pPr>
              <w:spacing w:after="30" w:line="276"/>
            </w:pPr>
            <w:r>
              <w:rPr>
                <w:b w:val="false"/>
                <w:bCs w:val="false"/>
                <w:sz w:val="21"/>
                <w:szCs w:val="21"/>
              </w:rPr>
              <w:t xml:space="preserve">Read the case in Section B aloud, slowly, pausing after each paragraph. Ask the room to call out the stage - whole class, no hands needed.</w:t>
            </w:r>
          </w:p>
        </w:tc>
        <w:tc>
          <w:tcPr>
            <w:tcW w:type="dxa" w:w="4060"/>
            <w:tcMar>
              <w:top w:type="dxa" w:w="120"/>
              <w:left w:type="dxa" w:w="140"/>
              <w:bottom w:type="dxa" w:w="120"/>
              <w:right w:type="dxa" w:w="140"/>
            </w:tcMar>
          </w:tcPr>
          <w:p>
            <w:pPr>
              <w:spacing w:after="30" w:line="276"/>
            </w:pPr>
            <w:r>
              <w:rPr>
                <w:b w:val="false"/>
                <w:bCs w:val="false"/>
                <w:sz w:val="21"/>
                <w:szCs w:val="21"/>
              </w:rPr>
              <w:t xml:space="preserve">Type the stage number beside each paragraph.</w:t>
            </w:r>
          </w:p>
        </w:tc>
      </w:tr>
      <w:tr>
        <w:tc>
          <w:tcPr>
            <w:tcW w:type="dxa" w:w="1100"/>
            <w:tcMar>
              <w:top w:type="dxa" w:w="120"/>
              <w:left w:type="dxa" w:w="140"/>
              <w:bottom w:type="dxa" w:w="120"/>
              <w:right w:type="dxa" w:w="140"/>
            </w:tcMar>
          </w:tcPr>
          <w:p>
            <w:pPr>
              <w:spacing w:after="30" w:line="276"/>
            </w:pPr>
            <w:r>
              <w:rPr>
                <w:b/>
                <w:bCs/>
                <w:sz w:val="21"/>
                <w:szCs w:val="21"/>
              </w:rPr>
              <w:t xml:space="preserve">66–80</w:t>
            </w:r>
          </w:p>
        </w:tc>
        <w:tc>
          <w:tcPr>
            <w:tcW w:type="dxa" w:w="4200"/>
            <w:tcMar>
              <w:top w:type="dxa" w:w="120"/>
              <w:left w:type="dxa" w:w="140"/>
              <w:bottom w:type="dxa" w:w="120"/>
              <w:right w:type="dxa" w:w="140"/>
            </w:tcMar>
          </w:tcPr>
          <w:p>
            <w:pPr>
              <w:spacing w:after="30" w:line="276"/>
            </w:pPr>
            <w:r>
              <w:rPr>
                <w:b w:val="false"/>
                <w:bCs w:val="false"/>
                <w:sz w:val="21"/>
                <w:szCs w:val="21"/>
              </w:rPr>
              <w:t xml:space="preserve">Circulate. In Classroom you can watch their docs fill in live from your own screen.</w:t>
            </w:r>
          </w:p>
        </w:tc>
        <w:tc>
          <w:tcPr>
            <w:tcW w:type="dxa" w:w="4060"/>
            <w:tcMar>
              <w:top w:type="dxa" w:w="120"/>
              <w:left w:type="dxa" w:w="140"/>
              <w:bottom w:type="dxa" w:w="120"/>
              <w:right w:type="dxa" w:w="140"/>
            </w:tcMar>
          </w:tcPr>
          <w:p>
            <w:pPr>
              <w:spacing w:after="30" w:line="276"/>
            </w:pPr>
            <w:r>
              <w:rPr>
                <w:b w:val="false"/>
                <w:bCs w:val="false"/>
                <w:sz w:val="21"/>
                <w:szCs w:val="21"/>
              </w:rPr>
              <w:t xml:space="preserve">Answer Section C on their own. CJO 2 and 3 students continue to the Going further questions.</w:t>
            </w:r>
          </w:p>
        </w:tc>
      </w:tr>
      <w:tr>
        <w:tc>
          <w:tcPr>
            <w:tcW w:type="dxa" w:w="1100"/>
            <w:tcMar>
              <w:top w:type="dxa" w:w="120"/>
              <w:left w:type="dxa" w:w="140"/>
              <w:bottom w:type="dxa" w:w="120"/>
              <w:right w:type="dxa" w:w="140"/>
            </w:tcMar>
          </w:tcPr>
          <w:p>
            <w:pPr>
              <w:spacing w:after="30" w:line="276"/>
            </w:pPr>
            <w:r>
              <w:rPr>
                <w:b/>
                <w:bCs/>
                <w:sz w:val="21"/>
                <w:szCs w:val="21"/>
              </w:rPr>
              <w:t xml:space="preserve">80–88</w:t>
            </w:r>
          </w:p>
        </w:tc>
        <w:tc>
          <w:tcPr>
            <w:tcW w:type="dxa" w:w="4200"/>
            <w:tcMar>
              <w:top w:type="dxa" w:w="120"/>
              <w:left w:type="dxa" w:w="140"/>
              <w:bottom w:type="dxa" w:w="120"/>
              <w:right w:type="dxa" w:w="140"/>
            </w:tcMar>
          </w:tcPr>
          <w:p>
            <w:pPr>
              <w:spacing w:after="30" w:line="276"/>
            </w:pPr>
            <w:r>
              <w:rPr>
                <w:b w:val="false"/>
                <w:bCs w:val="false"/>
                <w:sz w:val="21"/>
                <w:szCs w:val="21"/>
              </w:rPr>
              <w:t xml:space="preserve">Go through answers out loud from the key in Part 4.</w:t>
            </w:r>
          </w:p>
        </w:tc>
        <w:tc>
          <w:tcPr>
            <w:tcW w:type="dxa" w:w="4060"/>
            <w:tcMar>
              <w:top w:type="dxa" w:w="120"/>
              <w:left w:type="dxa" w:w="140"/>
              <w:bottom w:type="dxa" w:w="120"/>
              <w:right w:type="dxa" w:w="140"/>
            </w:tcMar>
          </w:tcPr>
          <w:p>
            <w:pPr>
              <w:spacing w:after="30" w:line="276"/>
            </w:pPr>
            <w:r>
              <w:rPr>
                <w:b w:val="false"/>
                <w:bCs w:val="false"/>
                <w:sz w:val="21"/>
                <w:szCs w:val="21"/>
              </w:rPr>
              <w:t xml:space="preserve">Correct their own work as you go.</w:t>
            </w:r>
          </w:p>
        </w:tc>
      </w:tr>
      <w:tr>
        <w:tc>
          <w:tcPr>
            <w:tcW w:type="dxa" w:w="1100"/>
            <w:tcMar>
              <w:top w:type="dxa" w:w="120"/>
              <w:left w:type="dxa" w:w="140"/>
              <w:bottom w:type="dxa" w:w="120"/>
              <w:right w:type="dxa" w:w="140"/>
            </w:tcMar>
          </w:tcPr>
          <w:p>
            <w:pPr>
              <w:spacing w:after="30" w:line="276"/>
            </w:pPr>
            <w:r>
              <w:rPr>
                <w:b/>
                <w:bCs/>
                <w:sz w:val="21"/>
                <w:szCs w:val="21"/>
              </w:rPr>
              <w:t xml:space="preserve">88–90</w:t>
            </w:r>
          </w:p>
        </w:tc>
        <w:tc>
          <w:tcPr>
            <w:tcW w:type="dxa" w:w="4200"/>
            <w:tcMar>
              <w:top w:type="dxa" w:w="120"/>
              <w:left w:type="dxa" w:w="140"/>
              <w:bottom w:type="dxa" w:w="120"/>
              <w:right w:type="dxa" w:w="140"/>
            </w:tcMar>
          </w:tcPr>
          <w:p>
            <w:pPr>
              <w:spacing w:after="30" w:line="276"/>
            </w:pPr>
            <w:r>
              <w:rPr>
                <w:b w:val="false"/>
                <w:bCs w:val="false"/>
                <w:sz w:val="21"/>
                <w:szCs w:val="21"/>
              </w:rPr>
              <w:t xml:space="preserve">Exit ticket is the last box in their doc. Tell them to click Turn in before they leave.</w:t>
            </w:r>
          </w:p>
        </w:tc>
        <w:tc>
          <w:tcPr>
            <w:tcW w:type="dxa" w:w="4060"/>
            <w:tcMar>
              <w:top w:type="dxa" w:w="120"/>
              <w:left w:type="dxa" w:w="140"/>
              <w:bottom w:type="dxa" w:w="120"/>
              <w:right w:type="dxa" w:w="140"/>
            </w:tcMar>
          </w:tcPr>
          <w:p>
            <w:pPr>
              <w:spacing w:after="30" w:line="276"/>
            </w:pPr>
            <w:r>
              <w:rPr>
                <w:b w:val="false"/>
                <w:bCs w:val="false"/>
                <w:sz w:val="21"/>
                <w:szCs w:val="21"/>
              </w:rPr>
              <w:t xml:space="preserve">Answer the exit ticket and turn in.</w:t>
            </w:r>
          </w:p>
        </w:tc>
      </w:tr>
    </w:tbl>
    <w:p>
      <w:pPr>
        <w:pStyle w:val="Heading2"/>
      </w:pPr>
      <w:r>
        <w:t xml:space="preserve">If a student asks</w:t>
      </w:r>
    </w:p>
    <w:p>
      <w:pPr>
        <w:spacing w:after="120" w:line="276"/>
      </w:pPr>
      <w:r>
        <w:rPr>
          <w:i/>
          <w:iCs/>
          <w:color w:val="5A6779"/>
          <w:sz w:val="22"/>
          <w:szCs w:val="22"/>
        </w:rPr>
        <w:t xml:space="preserve">These come up almost every time. Short, safe answers.</w:t>
      </w:r>
    </w:p>
    <w:p>
      <w:pPr>
        <w:spacing w:after="120" w:line="276"/>
      </w:pPr>
      <w:r>
        <w:rPr>
          <w:b/>
          <w:bCs/>
          <w:sz w:val="22"/>
          <w:szCs w:val="22"/>
        </w:rPr>
        <w:t xml:space="preserve">"What if they never read me my rights?" </w:t>
      </w:r>
      <w:r>
        <w:rPr>
          <w:sz w:val="22"/>
          <w:szCs w:val="22"/>
        </w:rPr>
        <w:t xml:space="preserve">Miranda warnings are required before questioning someone in custody. Skipping them does not undo the arrest - it means statements taken can be thrown out.</w:t>
      </w:r>
    </w:p>
    <w:p>
      <w:pPr>
        <w:spacing w:after="120" w:line="276"/>
      </w:pPr>
      <w:r>
        <w:rPr>
          <w:b/>
          <w:bCs/>
          <w:sz w:val="22"/>
          <w:szCs w:val="22"/>
        </w:rPr>
        <w:t xml:space="preserve">"Can the victim drop the charges?" </w:t>
      </w:r>
      <w:r>
        <w:rPr>
          <w:sz w:val="22"/>
          <w:szCs w:val="22"/>
        </w:rPr>
        <w:t xml:space="preserve">No. The case is the State of Florida against the defendant, not the victim against the defendant. The State Attorney decides. A victim’s wishes matter but do not control it.</w:t>
      </w:r>
    </w:p>
    <w:p>
      <w:pPr>
        <w:spacing w:after="120" w:line="276"/>
      </w:pPr>
      <w:r>
        <w:rPr>
          <w:b/>
          <w:bCs/>
          <w:sz w:val="22"/>
          <w:szCs w:val="22"/>
        </w:rPr>
        <w:t xml:space="preserve">"What is the difference between jail and prison?" </w:t>
      </w:r>
      <w:r>
        <w:rPr>
          <w:sz w:val="22"/>
          <w:szCs w:val="22"/>
        </w:rPr>
        <w:t xml:space="preserve">Jail is county-run and holds people awaiting trial plus sentences of a year or less. Prison is state-run and holds sentences over a year.</w:t>
      </w:r>
    </w:p>
    <w:p>
      <w:pPr>
        <w:spacing w:after="120" w:line="276"/>
      </w:pPr>
      <w:r>
        <w:rPr>
          <w:b/>
          <w:bCs/>
          <w:sz w:val="22"/>
          <w:szCs w:val="22"/>
        </w:rPr>
        <w:t xml:space="preserve">"Does everyone really get a lawyer?" </w:t>
      </w:r>
      <w:r>
        <w:rPr>
          <w:sz w:val="22"/>
          <w:szCs w:val="22"/>
        </w:rPr>
        <w:t xml:space="preserve">For serious charges, yes - Gideon v. Wainwright, a Florida case. That is what the public defender’s office is for.</w:t>
      </w:r>
    </w:p>
    <w:p>
      <w:pPr>
        <w:spacing w:after="120" w:line="276"/>
      </w:pPr>
      <w:r>
        <w:rPr>
          <w:b/>
          <w:bCs/>
          <w:sz w:val="22"/>
          <w:szCs w:val="22"/>
        </w:rPr>
        <w:t xml:space="preserve">"How long does all this take?" </w:t>
      </w:r>
      <w:r>
        <w:rPr>
          <w:sz w:val="22"/>
          <w:szCs w:val="22"/>
        </w:rPr>
        <w:t xml:space="preserve">Months, usually. There is a speedy trial rule, but continuances are routine and most cases end in a plea rather than a trial.</w:t>
      </w:r>
    </w:p>
    <w:p>
      <w:pPr>
        <w:spacing w:after="120" w:line="276"/>
      </w:pPr>
      <w:r>
        <w:rPr>
          <w:b/>
          <w:bCs/>
          <w:sz w:val="22"/>
          <w:szCs w:val="22"/>
        </w:rPr>
        <w:t xml:space="preserve">"What if the police searched illegally?" </w:t>
      </w:r>
      <w:r>
        <w:rPr>
          <w:sz w:val="22"/>
          <w:szCs w:val="22"/>
        </w:rPr>
        <w:t xml:space="preserve">The defense can file a motion to suppress. If the judge agrees the search violated the Fourth Amendment, that evidence cannot be used. Stop there - the exceptions get complicated fast.</w:t>
      </w:r>
    </w:p>
    <w:p>
      <w:pPr>
        <w:spacing w:after="12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Two things worth saying out loud</w:t>
            </w:r>
          </w:p>
          <w:p>
            <w:pPr>
              <w:spacing w:after="60" w:line="276"/>
            </w:pPr>
            <w:r>
              <w:rPr>
                <w:sz w:val="21"/>
                <w:szCs w:val="21"/>
              </w:rPr>
              <w:t xml:space="preserve">You are allowed to say "I do not know, let me find out." Doing that in front of students models exactly what an investigator does.</w:t>
            </w:r>
          </w:p>
          <w:p>
            <w:pPr>
              <w:spacing w:after="60" w:line="276"/>
            </w:pPr>
            <w:r>
              <w:rPr>
                <w:sz w:val="21"/>
                <w:szCs w:val="21"/>
              </w:rPr>
              <w:t xml:space="preserve">If a student raises a case in the news or something that happened to someone they know, acknowledge it and steer back to the process: "where in these eleven stages would that have happened?" That keeps the room safe and on task.</w:t>
            </w:r>
          </w:p>
        </w:tc>
      </w:tr>
    </w:tbl>
    <w:p>
      <w:r>
        <w:br w:type="page"/>
      </w:r>
    </w:p>
    <w:p>
      <w:pPr>
        <w:pStyle w:val="Heading1"/>
      </w:pPr>
      <w:r>
        <w:t xml:space="preserve">Part 3 — Answer key</w:t>
      </w:r>
    </w:p>
    <w:p>
      <w:pPr>
        <w:pStyle w:val="Heading2"/>
      </w:pPr>
      <w:r>
        <w:t xml:space="preserve">Section B — stage numbers</w:t>
      </w:r>
    </w:p>
    <w:p>
      <w:pPr>
        <w:spacing w:after="120" w:line="276"/>
      </w:pPr>
      <w:r>
        <w:rPr>
          <w:sz w:val="22"/>
          <w:szCs w:val="22"/>
        </w:rPr>
        <w:t xml:space="preserve">The eleven paragraphs run in order and match stages 1 through 11 exactly: report, patrol response, arrest, booking, first appearance, charging decision, arraignment, pretrial, trial, sentencing, corrections and release.</w:t>
      </w:r>
    </w:p>
    <w:p>
      <w:pPr>
        <w:pStyle w:val="Heading2"/>
      </w:pPr>
      <w:r>
        <w:t xml:space="preserve">Section C — questions</w:t>
      </w:r>
    </w:p>
    <w:p>
      <w:pPr>
        <w:pStyle w:val="ListParagraph"/>
        <w:numPr>
          <w:ilvl w:val="0"/>
          <w:numId w:val="3"/>
        </w:numPr>
        <w:spacing w:after="80" w:line="276"/>
      </w:pPr>
      <w:r>
        <w:rPr>
          <w:sz w:val="22"/>
          <w:szCs w:val="22"/>
        </w:rPr>
        <w:t xml:space="preserve">The State Attorney’s Office - specifically the assistant state attorney who reviewed the file. Not the deputy, and not the victim.</w:t>
      </w:r>
    </w:p>
    <w:p>
      <w:pPr>
        <w:pStyle w:val="ListParagraph"/>
        <w:numPr>
          <w:ilvl w:val="0"/>
          <w:numId w:val="3"/>
        </w:numPr>
        <w:spacing w:after="80" w:line="276"/>
      </w:pPr>
      <w:r>
        <w:rPr>
          <w:sz w:val="22"/>
          <w:szCs w:val="22"/>
        </w:rPr>
        <w:t xml:space="preserve">Any three of: interviewed the owner, got descriptions, reviewed the camera footage, photographed the scene, identified and recorded two witnesses, wrote the report.</w:t>
      </w:r>
    </w:p>
    <w:p>
      <w:pPr>
        <w:pStyle w:val="ListParagraph"/>
        <w:numPr>
          <w:ilvl w:val="0"/>
          <w:numId w:val="3"/>
        </w:numPr>
        <w:spacing w:after="80" w:line="276"/>
      </w:pPr>
      <w:r>
        <w:rPr>
          <w:sz w:val="22"/>
          <w:szCs w:val="22"/>
        </w:rPr>
        <w:t xml:space="preserve">Less than twenty-four hours. The judge found probable cause, stated the charge, advised the right to counsel, and set bond.</w:t>
      </w:r>
    </w:p>
    <w:p>
      <w:pPr>
        <w:pStyle w:val="ListParagraph"/>
        <w:numPr>
          <w:ilvl w:val="0"/>
          <w:numId w:val="3"/>
        </w:numPr>
        <w:spacing w:after="80" w:line="276"/>
      </w:pPr>
      <w:r>
        <w:rPr>
          <w:sz w:val="22"/>
          <w:szCs w:val="22"/>
        </w:rPr>
        <w:t xml:space="preserve">It was a felony. County court handles misdemeanors, circuit court handles felonies. Grand theft is a felony.</w:t>
      </w:r>
    </w:p>
    <w:p>
      <w:pPr>
        <w:pStyle w:val="ListParagraph"/>
        <w:numPr>
          <w:ilvl w:val="0"/>
          <w:numId w:val="3"/>
        </w:numPr>
        <w:spacing w:after="80" w:line="276"/>
      </w:pPr>
      <w:r>
        <w:rPr>
          <w:sz w:val="22"/>
          <w:szCs w:val="22"/>
        </w:rPr>
        <w:t xml:space="preserve">A conviction at trial can carry a heavier sentence than the plea offer, up to the statutory maximum. He traded a certain outcome for an uncertain one.</w:t>
      </w:r>
    </w:p>
    <w:p>
      <w:pPr>
        <w:pStyle w:val="ListParagraph"/>
        <w:numPr>
          <w:ilvl w:val="0"/>
          <w:numId w:val="3"/>
        </w:numPr>
        <w:spacing w:after="80" w:line="276"/>
      </w:pPr>
      <w:r>
        <w:rPr>
          <w:sz w:val="22"/>
          <w:szCs w:val="22"/>
        </w:rPr>
        <w:t xml:space="preserve">The State had to prove every element of the offense beyond a reasonable doubt. Ramirez had to prove nothing.</w:t>
      </w:r>
    </w:p>
    <w:p>
      <w:pPr>
        <w:pStyle w:val="ListParagraph"/>
        <w:numPr>
          <w:ilvl w:val="0"/>
          <w:numId w:val="3"/>
        </w:numPr>
        <w:spacing w:after="80" w:line="276"/>
      </w:pPr>
      <w:r>
        <w:rPr>
          <w:sz w:val="22"/>
          <w:szCs w:val="22"/>
        </w:rPr>
        <w:t xml:space="preserve">Law enforcement - Deputy Ellis. Courts - the judge, the assistant state attorney, the defense lawyer, the jury. Corrections - the probation officer.</w:t>
      </w:r>
    </w:p>
    <w:p>
      <w:pPr>
        <w:pStyle w:val="ListParagraph"/>
        <w:numPr>
          <w:ilvl w:val="0"/>
          <w:numId w:val="3"/>
        </w:numPr>
        <w:spacing w:after="80" w:line="276"/>
      </w:pPr>
      <w:r>
        <w:rPr>
          <w:sz w:val="22"/>
          <w:szCs w:val="22"/>
        </w:rPr>
        <w:t xml:space="preserve">The legislative branch. The Florida Legislature writes the criminal statutes.</w:t>
      </w:r>
    </w:p>
    <w:p>
      <w:pPr>
        <w:pStyle w:val="ListParagraph"/>
        <w:numPr>
          <w:ilvl w:val="0"/>
          <w:numId w:val="3"/>
        </w:numPr>
        <w:spacing w:after="80" w:line="276"/>
      </w:pPr>
      <w:r>
        <w:rPr>
          <w:sz w:val="22"/>
          <w:szCs w:val="22"/>
        </w:rPr>
        <w:t xml:space="preserve">State prison, run by the Florida Department of Corrections, because the sentence exceeds one year.</w:t>
      </w:r>
    </w:p>
    <w:p>
      <w:pPr>
        <w:pStyle w:val="ListParagraph"/>
        <w:numPr>
          <w:ilvl w:val="0"/>
          <w:numId w:val="3"/>
        </w:numPr>
        <w:spacing w:after="80" w:line="276"/>
      </w:pPr>
      <w:r>
        <w:rPr>
          <w:sz w:val="22"/>
          <w:szCs w:val="22"/>
        </w:rPr>
        <w:t xml:space="preserve">Open - accept any stage with a reason attached. Strong answers usually name the report, the traffic stop, or the witnesses.</w:t>
      </w:r>
    </w:p>
    <w:p>
      <w:pPr>
        <w:pStyle w:val="Heading3"/>
      </w:pPr>
      <w:r>
        <w:t xml:space="preserve">Going further</w:t>
      </w:r>
    </w:p>
    <w:p>
      <w:pPr>
        <w:pStyle w:val="ListParagraph"/>
        <w:numPr>
          <w:ilvl w:val="0"/>
          <w:numId w:val="3"/>
        </w:numPr>
        <w:spacing w:after="80" w:line="276"/>
      </w:pPr>
      <w:r>
        <w:rPr>
          <w:sz w:val="22"/>
          <w:szCs w:val="22"/>
        </w:rPr>
        <w:t xml:space="preserve">Who, what, when, where, why and how; the elements of the offense; witnesses with contact information; description and disposition of evidence; the officer’s own observations kept separate from what others reported.</w:t>
      </w:r>
    </w:p>
    <w:p>
      <w:pPr>
        <w:pStyle w:val="ListParagraph"/>
        <w:numPr>
          <w:ilvl w:val="0"/>
          <w:numId w:val="3"/>
        </w:numPr>
        <w:spacing w:after="80" w:line="276"/>
      </w:pPr>
      <w:r>
        <w:rPr>
          <w:sz w:val="22"/>
          <w:szCs w:val="22"/>
        </w:rPr>
        <w:t xml:space="preserve">Every person who handled it, when, and why - seized, logged into evidence, stored, signed out for court. The term is chain of custody. A gap gives the defense an argument that the item in court is not the item from the scene.</w:t>
      </w:r>
    </w:p>
    <w:p>
      <w:pPr>
        <w:pStyle w:val="ListParagraph"/>
        <w:numPr>
          <w:ilvl w:val="0"/>
          <w:numId w:val="3"/>
        </w:numPr>
        <w:spacing w:after="80" w:line="276"/>
      </w:pPr>
      <w:r>
        <w:rPr>
          <w:sz w:val="22"/>
          <w:szCs w:val="22"/>
        </w:rPr>
        <w:t xml:space="preserve">Evidence found as a result of an unlawful stop can be suppressed, which here would likely include the power washer itself. Without it the State would probably be unable to proceed.</w:t>
      </w:r>
    </w:p>
    <w:p>
      <w:pPr>
        <w:pBdr>
          <w:bottom w:val="single" w:color="D8DEE7" w:sz="6"/>
        </w:pBdr>
        <w:spacing w:after="160" w:before="120"/>
      </w:pPr>
    </w:p>
    <w:p>
      <w:pPr>
        <w:pStyle w:val="Heading2"/>
      </w:pPr>
      <w:r>
        <w:t xml:space="preserve">Standards this lesson covers</w:t>
      </w:r>
    </w:p>
    <w:p>
      <w:pPr>
        <w:spacing w:after="120" w:line="276"/>
      </w:pPr>
      <w:r>
        <w:rPr>
          <w:sz w:val="21"/>
          <w:szCs w:val="21"/>
        </w:rPr>
        <w:t xml:space="preserve">Criminal Justice Operations 1 (8918010): 01.01 parts and functions of the system and the three branches at federal, state, county and local levels · 01.02 history and goals · 01.03 career opportunities (bell work) · 03.06 criminal law procedures in Florida · 03.07 misdemeanor and felony procedures · 04.03 pretrial, trial and post-trial processes · 04.04 roles and responsibilities of people in the trial process · 06.02 local, state and federal correctional systems.</w:t>
      </w:r>
    </w:p>
    <w:p>
      <w:pPr>
        <w:spacing w:after="120" w:line="276"/>
      </w:pPr>
      <w:r>
        <w:rPr>
          <w:sz w:val="21"/>
          <w:szCs w:val="21"/>
        </w:rPr>
        <w:t xml:space="preserve">The Going further questions additionally reach CJO 2 13.01 and 13.05 (report elements and factual accuracy) and CJO 3 22.16 (chain of custody) and 17.04 (the exclusionary rule).</w:t>
      </w:r>
    </w:p>
    <w:p>
      <w:pPr>
        <w:spacing w:after="120" w:line="276"/>
      </w:pPr>
      <w:r>
        <w:rPr>
          <w:sz w:val="22"/>
          <w:szCs w:val="22"/>
        </w:rPr>
        <w:t xml:space="preserve"/>
      </w:r>
    </w:p>
    <w:p>
      <w:pPr>
        <w:spacing w:after="120" w:line="276"/>
      </w:pPr>
      <w:r>
        <w:rPr>
          <w:i/>
          <w:iCs/>
          <w:color w:val="5A6779"/>
          <w:sz w:val="20"/>
          <w:szCs w:val="20"/>
        </w:rPr>
        <w:t xml:space="preserve">Florida specifics verified September 2026, including the revision to speedy trial Rule 3.191 effective July 1,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80"/>
    </w:pPr>
    <w:rPr>
      <w:rFonts w:ascii="Calibri" w:cs="Calibri" w:eastAsia="Calibri" w:hAnsi="Calibri"/>
      <w:b/>
      <w:bCs/>
      <w:color w:val="1F4E79"/>
      <w:sz w:val="26"/>
      <w:szCs w:val="26"/>
    </w:rPr>
  </w:style>
  <w:style w:type="paragraph" w:styleId="Heading3">
    <w:name w:val="Heading 3"/>
    <w:basedOn w:val="Normal"/>
    <w:next w:val="Normal"/>
    <w:qFormat/>
    <w:pPr>
      <w:spacing w:after="80" w:before="200"/>
    </w:pPr>
    <w:rPr>
      <w:rFonts w:ascii="Calibri" w:cs="Calibri" w:eastAsia="Calibri" w:hAnsi="Calibri"/>
      <w:b/>
      <w:bCs/>
      <w:color w:val="2A5F8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 Case Moves - Teacher Guide</dc:title>
  <dc:creator>Criminal Justice Operations</dc:creator>
  <cp:lastModifiedBy>Un-named</cp:lastModifiedBy>
  <cp:revision>1</cp:revision>
  <dcterms:created xsi:type="dcterms:W3CDTF">2026-09-18T13:38:18.674Z</dcterms:created>
  <dcterms:modified xsi:type="dcterms:W3CDTF">2026-09-18T13:38:18.675Z</dcterms:modified>
</cp:coreProperties>
</file>

<file path=docProps/custom.xml><?xml version="1.0" encoding="utf-8"?>
<Properties xmlns="http://schemas.openxmlformats.org/officeDocument/2006/custom-properties" xmlns:vt="http://schemas.openxmlformats.org/officeDocument/2006/docPropsVTypes"/>
</file>