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A3412"/>
          <w:sz w:val="17"/>
          <w:szCs w:val="17"/>
          <w:spacing w:val="30"/>
        </w:rPr>
        <w:t xml:space="preserve">CRIMINAL JUSTICE OPERATIONS · TEACHER COPY</w:t>
      </w:r>
    </w:p>
    <w:p>
      <w:pPr>
        <w:spacing w:after="50"/>
      </w:pPr>
      <w:r>
        <w:rPr>
          <w:b/>
          <w:bCs/>
          <w:color w:val="10243A"/>
          <w:sz w:val="40"/>
          <w:szCs w:val="40"/>
        </w:rPr>
        <w:t xml:space="preserve">Run Sheet</w:t>
      </w:r>
    </w:p>
    <w:p>
      <w:pPr>
        <w:spacing w:after="200"/>
      </w:pPr>
      <w:r>
        <w:rPr>
          <w:color w:val="5F6B79"/>
          <w:sz w:val="22"/>
          <w:szCs w:val="22"/>
        </w:rPr>
        <w:t xml:space="preserve">Report Writing · Day 1 and Day 2 · 90-minute blocks</w:t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z w:val="17"/>
                <w:szCs w:val="17"/>
                <w:spacing w:val="20"/>
              </w:rPr>
              <w:t xml:space="preserve">THE ONE IDEA</w:t>
            </w:r>
          </w:p>
          <w:p>
            <w:pPr>
              <w:spacing w:after="0" w:line="290"/>
            </w:pPr>
            <w:r>
              <w:rPr>
                <w:color w:val="1B1B1B"/>
                <w:sz w:val="21"/>
                <w:szCs w:val="21"/>
              </w:rPr>
              <w:t xml:space="preserve">Everything after the report — the arrest, the charge, the trial, the conviction — runs on the report. The officer is never in the room when it is read. Students are not learning to write; they are learning that a claim is only worth what supports it.</w:t>
            </w:r>
          </w:p>
        </w:tc>
      </w:tr>
    </w:tbl>
    <w:p>
      <w:pPr>
        <w:spacing w:after="180" w:line="276"/>
      </w:pPr>
      <w:r>
        <w:rPr>
          <w:color w:val="1B1B1B"/>
          <w:sz w:val="21"/>
          <w:szCs w:val="21"/>
        </w:rPr>
        <w:t xml:space="preserve"/>
      </w:r>
    </w:p>
    <w:p>
      <w:pPr>
        <w:spacing w:before="120" w:after="90"/>
      </w:pPr>
      <w:r>
        <w:rPr>
          <w:b/>
          <w:bCs/>
          <w:color w:val="10243A"/>
          <w:sz w:val="18"/>
          <w:szCs w:val="18"/>
          <w:spacing w:val="20"/>
        </w:rPr>
        <w:t xml:space="preserve">STANDARDS COVERED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2300"/>
        <w:gridCol w:w="7060"/>
      </w:tblGrid>
      <w:tr>
        <w:tc>
          <w:tcPr>
            <w:tcW w:type="dxa" w:w="23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DAY 1 — CJO 2</w:t>
            </w:r>
          </w:p>
        </w:tc>
        <w:tc>
          <w:tcPr>
            <w:tcW w:type="dxa" w:w="70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13.01 who-what-when-where-why-how · 13.04 purposes of reports · 13.06 organising information · 13.07 mechanics</w:t>
            </w:r>
          </w:p>
        </w:tc>
      </w:tr>
      <w:tr>
        <w:tc>
          <w:tcPr>
            <w:tcW w:type="dxa" w:w="23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DAY 1 — CJO 3</w:t>
            </w:r>
          </w:p>
        </w:tc>
        <w:tc>
          <w:tcPr>
            <w:tcW w:type="dxa" w:w="70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18.01 purpose of reports in investigations</w:t>
            </w:r>
          </w:p>
        </w:tc>
      </w:tr>
      <w:tr>
        <w:tc>
          <w:tcPr>
            <w:tcW w:type="dxa" w:w="23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DAY 1 — CJO 1</w:t>
            </w:r>
          </w:p>
        </w:tc>
        <w:tc>
          <w:tcPr>
            <w:tcW w:type="dxa" w:w="70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07.01 follow directions</w:t>
            </w:r>
          </w:p>
        </w:tc>
      </w:tr>
      <w:tr>
        <w:tc>
          <w:tcPr>
            <w:tcW w:type="dxa" w:w="23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DAY 2 — CJO 2</w:t>
            </w:r>
          </w:p>
        </w:tc>
        <w:tc>
          <w:tcPr>
            <w:tcW w:type="dxa" w:w="70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13.02 demonstrate interviewing a person · 13.03 demonstrate accurate note taking</w:t>
            </w:r>
          </w:p>
        </w:tc>
      </w:tr>
      <w:tr>
        <w:tc>
          <w:tcPr>
            <w:tcW w:type="dxa" w:w="23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DAY 2 — CJO 1</w:t>
            </w:r>
          </w:p>
        </w:tc>
        <w:tc>
          <w:tcPr>
            <w:tcW w:type="dxa" w:w="70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07.11 interviewing techniques used with witnesses and victims</w:t>
            </w:r>
          </w:p>
        </w:tc>
      </w:tr>
    </w:tbl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9A3412" w:sz="8"/>
          <w:left w:val="single" w:color="9A3412" w:sz="8"/>
          <w:bottom w:val="single" w:color="9A3412" w:sz="8"/>
          <w:right w:val="single" w:color="9A3412" w:sz="8"/>
          <w:insideH w:val="single" w:color="9A3412" w:sz="8"/>
          <w:insideV w:val="single" w:color="9A3412" w:sz="8"/>
        </w:tblBorders>
      </w:tblPr>
      <w:tblGrid>
        <w:gridCol w:w="9360"/>
      </w:tblGrid>
      <w:tr>
        <w:tc>
          <w:tcPr>
            <w:tcW w:type="dxa" w:w="9360"/>
            <w:shd w:fill="FDF3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9A3412"/>
                <w:sz w:val="17"/>
                <w:szCs w:val="17"/>
                <w:spacing w:val="20"/>
              </w:rPr>
              <w:t xml:space="preserve">BEFORE EACH CLASS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1.  </w:t>
            </w:r>
            <w:r>
              <w:rPr>
                <w:color w:val="5F6B79"/>
                <w:sz w:val="19"/>
                <w:szCs w:val="19"/>
              </w:rPr>
              <w:t xml:space="preserve">Day 1 — one Canvas assignment, files 1 and 2 attached. File 1 also open on the board.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2.  </w:t>
            </w:r>
            <w:r>
              <w:rPr>
                <w:color w:val="5F6B79"/>
                <w:sz w:val="19"/>
                <w:szCs w:val="19"/>
              </w:rPr>
              <w:t xml:space="preserve">Day 2 — two Canvas assignments. First has file 3 only. Second has files 4 and 5, and stays unpublished until minute 32.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3.  </w:t>
            </w:r>
            <w:r>
              <w:rPr>
                <w:color w:val="5F6B79"/>
                <w:sz w:val="19"/>
                <w:szCs w:val="19"/>
              </w:rPr>
              <w:t xml:space="preserve">Open the board copy from your own OneDrive, not from the Canvas preview — the preview is read-only and you will want to annotate.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4.  </w:t>
            </w:r>
            <w:r>
              <w:rPr>
                <w:color w:val="5F6B79"/>
                <w:sz w:val="19"/>
                <w:szCs w:val="19"/>
              </w:rPr>
              <w:t xml:space="preserve">Test one student-side upload yourself before first period. Open the form in Word for the web and type in a table cell. The cells are set to grow, but verify it on your own setup.</w:t>
            </w:r>
          </w:p>
        </w:tc>
      </w:tr>
    </w:tbl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z w:val="17"/>
                <w:szCs w:val="17"/>
                <w:spacing w:val="20"/>
              </w:rPr>
              <w:t xml:space="preserve">GRADING — YOU HAVE 150 STUDENTS</w:t>
            </w:r>
          </w:p>
          <w:p>
            <w:pPr>
              <w:spacing w:after="70" w:line="285"/>
              <w:ind w:left="300" w:hanging="30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—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Day 1: grade page 2 only.</w:t>
            </w:r>
            <w:r>
              <w:rPr>
                <w:color w:val="5F6B79"/>
                <w:sz w:val="19"/>
                <w:szCs w:val="19"/>
              </w:rPr>
              <w:t xml:space="preserve"> Three columns, eight rows, fifteen seconds a student. Do not grade the narrative on Day 1.</w:t>
            </w:r>
          </w:p>
          <w:p>
            <w:pPr>
              <w:spacing w:after="70" w:line="285"/>
              <w:ind w:left="300" w:hanging="30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—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Day 2: grade the exit ticket only.</w:t>
            </w:r>
            <w:r>
              <w:rPr>
                <w:color w:val="5F6B79"/>
                <w:sz w:val="19"/>
                <w:szCs w:val="19"/>
              </w:rPr>
              <w:t xml:space="preserve"> One sentence. You are looking for attribution, not a verdict.</w:t>
            </w:r>
          </w:p>
          <w:p>
            <w:pPr>
              <w:spacing w:after="70" w:line="285"/>
              <w:ind w:left="300" w:hanging="30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—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Full narrative grading waits for Lesson 3,</w:t>
            </w:r>
            <w:r>
              <w:rPr>
                <w:color w:val="5F6B79"/>
                <w:sz w:val="19"/>
                <w:szCs w:val="19"/>
              </w:rPr>
              <w:t xml:space="preserve"> when they finally have enough facts to write one.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A5FB4"/>
          <w:sz w:val="17"/>
          <w:szCs w:val="17"/>
          <w:spacing w:val="30"/>
        </w:rPr>
        <w:t xml:space="preserve">DAY 1</w:t>
      </w:r>
    </w:p>
    <w:p>
      <w:pPr>
        <w:spacing w:after="140"/>
      </w:pPr>
      <w:r>
        <w:rPr>
          <w:b/>
          <w:bCs/>
          <w:color w:val="10243A"/>
          <w:sz w:val="34"/>
          <w:szCs w:val="34"/>
        </w:rPr>
        <w:t xml:space="preserve">The format</w:t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z w:val="17"/>
                <w:szCs w:val="17"/>
                <w:spacing w:val="20"/>
              </w:rPr>
              <w:t xml:space="preserve">WHAT THEY WALK OUT WITH</w:t>
            </w:r>
          </w:p>
          <w:p>
            <w:pPr>
              <w:spacing w:after="0" w:line="290"/>
            </w:pPr>
            <w:r>
              <w:rPr>
                <w:color w:val="1B1B1B"/>
                <w:sz w:val="21"/>
                <w:szCs w:val="21"/>
              </w:rPr>
              <w:t xml:space="preserve">They learn the shape of a report, and they discover they cannot finish one. The gaps are the deliverable.</w:t>
            </w:r>
          </w:p>
        </w:tc>
      </w:tr>
    </w:tbl>
    <w:p>
      <w:pPr>
        <w:spacing w:after="170" w:line="276"/>
      </w:pPr>
      <w:r>
        <w:rPr>
          <w:color w:val="1B1B1B"/>
          <w:sz w:val="21"/>
          <w:szCs w:val="21"/>
        </w:rPr>
        <w:t xml:space="preserve"/>
      </w:r>
    </w:p>
    <w:p>
      <w:pPr>
        <w:spacing w:before="120" w:after="90"/>
      </w:pPr>
      <w:r>
        <w:rPr>
          <w:b/>
          <w:bCs/>
          <w:color w:val="10243A"/>
          <w:sz w:val="18"/>
          <w:szCs w:val="18"/>
          <w:spacing w:val="20"/>
        </w:rPr>
        <w:t xml:space="preserve">FILES IN PLAY</w:t>
      </w:r>
    </w:p>
    <w:p>
      <w:pPr>
        <w:spacing w:after="60" w:line="280"/>
        <w:ind w:left="300" w:hanging="300"/>
      </w:pPr>
      <w:r>
        <w:rPr>
          <w:color w:val="10243A"/>
          <w:sz w:val="17"/>
          <w:szCs w:val="17"/>
        </w:rPr>
        <w:t xml:space="preserve">■   </w:t>
      </w:r>
      <w:r>
        <w:rPr>
          <w:color w:val="1B1B1B"/>
          <w:sz w:val="20"/>
          <w:szCs w:val="20"/>
        </w:rPr>
        <w:t xml:space="preserve">1 — Case File (reference, also on the board)</w:t>
      </w:r>
    </w:p>
    <w:p>
      <w:pPr>
        <w:spacing w:after="60" w:line="280"/>
        <w:ind w:left="300" w:hanging="300"/>
      </w:pPr>
      <w:r>
        <w:rPr>
          <w:color w:val="10243A"/>
          <w:sz w:val="17"/>
          <w:szCs w:val="17"/>
        </w:rPr>
        <w:t xml:space="preserve">■   </w:t>
      </w:r>
      <w:r>
        <w:rPr>
          <w:color w:val="1B1B1B"/>
          <w:sz w:val="20"/>
          <w:szCs w:val="20"/>
        </w:rPr>
        <w:t xml:space="preserve">2 — Incident Report Form (they type in this one and submit it)</w:t>
      </w:r>
    </w:p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p>
      <w:pPr>
        <w:spacing w:before="120" w:after="90"/>
      </w:pPr>
      <w:r>
        <w:rPr>
          <w:b/>
          <w:bCs/>
          <w:color w:val="10243A"/>
          <w:sz w:val="18"/>
          <w:szCs w:val="18"/>
          <w:spacing w:val="20"/>
        </w:rPr>
        <w:t xml:space="preserve">RUN OF SHOW — 90 MINUTES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1100"/>
        <w:gridCol w:w="8260"/>
      </w:tblGrid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0–5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Settle. They open Canvas and both files.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“A case is only as good as the report. Everything that happens after tonight — the arrest, the trial, the conviction — runs on this one document.”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5–12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Frame who reads a report: the next shift, a detective, a prosecutor, a defence attorney, a jury, two years later. The officer is never there to explain it.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“You will never be in the room when your report is read. It has to work without you.”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12–25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Walk the five blocks on the board. Point at the form, do not lecture. Block 1 administrative, Block 2 persons, Block 3 property and evidence, Block 4 narrative, Block 5 status. Say what each block is for and move on.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“Each block has one job. If information is in the wrong block, the person who needs it will not find it.”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25–35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Put the Case File on the board. A student reads all four of Ray Delgado’s paragraphs aloud, slowly. Then read it a second time. They will not catch what is missing the first time.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“Listen for what he does not say.”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35–42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Model Block 1 together on the board. Spend the time on OFFENSE TYPE. The form asks whether burglary is supportable — burglary needs entry plus intent, and nobody saw either. Let them argue. Land somewhere defensible.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“Can you prove entry? Can you prove intent? If you cannot, you do not get to write the word.”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42–72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Independent, on Chromebooks. Blocks 1 through 5, from the Case File only. Circulate. The only question you have to answer is “can I just put…” — and the answer is always no, leave it blank.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“If the Case File does not say it, you do not know it.”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72–84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Page 2 — What I still need to find out. Three columns. This is the real assignment and the bridge to Thursday.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“Every blank above is a question somebody has to answer. An officer who knows what is missing is doing the job.”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84–90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Cold-call four students for one gap each. Write them on the board. Leave them up.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“Thursday you get to ask. But you only get answers to the questions you actually write down.”</w:t>
            </w:r>
          </w:p>
        </w:tc>
      </w:tr>
    </w:tbl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9A3412" w:sz="8"/>
          <w:left w:val="single" w:color="9A3412" w:sz="8"/>
          <w:bottom w:val="single" w:color="9A3412" w:sz="8"/>
          <w:right w:val="single" w:color="9A3412" w:sz="8"/>
          <w:insideH w:val="single" w:color="9A3412" w:sz="8"/>
          <w:insideV w:val="single" w:color="9A3412" w:sz="8"/>
        </w:tblBorders>
      </w:tblPr>
      <w:tblGrid>
        <w:gridCol w:w="9360"/>
      </w:tblGrid>
      <w:tr>
        <w:tc>
          <w:tcPr>
            <w:tcW w:type="dxa" w:w="9360"/>
            <w:shd w:fill="FDF3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9A3412"/>
                <w:sz w:val="17"/>
                <w:szCs w:val="17"/>
                <w:spacing w:val="20"/>
              </w:rPr>
              <w:t xml:space="preserve">WATCH FOR THIS</w:t>
            </w:r>
          </w:p>
          <w:p>
            <w:pPr>
              <w:spacing w:after="80" w:line="285"/>
              <w:ind w:left="300" w:hanging="30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!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The narrative will be bad. That is the design.</w:t>
            </w:r>
            <w:r>
              <w:rPr>
                <w:color w:val="5F6B79"/>
                <w:sz w:val="19"/>
                <w:szCs w:val="19"/>
              </w:rPr>
              <w:t xml:space="preserve"> They do not have the facts to write one. Short and full of holes is correct output. A long, confident narrative means the student invented things — that is your teachable moment, not a failure.</w:t>
            </w:r>
          </w:p>
          <w:p>
            <w:pPr>
              <w:spacing w:after="80" w:line="285"/>
              <w:ind w:left="300" w:hanging="30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!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Do not rescue them.</w:t>
            </w:r>
            <w:r>
              <w:rPr>
                <w:color w:val="5F6B79"/>
                <w:sz w:val="19"/>
                <w:szCs w:val="19"/>
              </w:rPr>
              <w:t xml:space="preserve"> The frustration of a blank field is the lesson. Leave it blank.</w:t>
            </w:r>
          </w:p>
          <w:p>
            <w:pPr>
              <w:spacing w:after="80" w:line="285"/>
              <w:ind w:left="300" w:hanging="30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!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Someone will write that Ray did it.</w:t>
            </w:r>
            <w:r>
              <w:rPr>
                <w:color w:val="5F6B79"/>
                <w:sz w:val="19"/>
                <w:szCs w:val="19"/>
              </w:rPr>
              <w:t xml:space="preserve"> Ask them which sentence in the Case File supports that. There is not one.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1A5FB4"/>
          <w:sz w:val="17"/>
          <w:szCs w:val="17"/>
          <w:spacing w:val="30"/>
        </w:rPr>
        <w:t xml:space="preserve">DAY 2</w:t>
      </w:r>
    </w:p>
    <w:p>
      <w:pPr>
        <w:spacing w:after="140"/>
      </w:pPr>
      <w:r>
        <w:rPr>
          <w:b/>
          <w:bCs/>
          <w:color w:val="10243A"/>
          <w:sz w:val="34"/>
          <w:szCs w:val="34"/>
        </w:rPr>
        <w:t xml:space="preserve">The interview</w:t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z w:val="17"/>
                <w:szCs w:val="17"/>
                <w:spacing w:val="20"/>
              </w:rPr>
              <w:t xml:space="preserve">WHAT THEY WALK OUT WITH</w:t>
            </w:r>
          </w:p>
          <w:p>
            <w:pPr>
              <w:spacing w:after="0" w:line="290"/>
            </w:pPr>
            <w:r>
              <w:rPr>
                <w:color w:val="1B1B1B"/>
                <w:sz w:val="21"/>
                <w:szCs w:val="21"/>
              </w:rPr>
              <w:t xml:space="preserve">They learn that an interview returns only what you asked for, and that two honest witnesses can contradict each other.</w:t>
            </w:r>
          </w:p>
        </w:tc>
      </w:tr>
    </w:tbl>
    <w:p>
      <w:pPr>
        <w:spacing w:after="170" w:line="276"/>
      </w:pPr>
      <w:r>
        <w:rPr>
          <w:color w:val="1B1B1B"/>
          <w:sz w:val="21"/>
          <w:szCs w:val="21"/>
        </w:rPr>
        <w:t xml:space="preserve"/>
      </w:r>
    </w:p>
    <w:p>
      <w:pPr>
        <w:spacing w:before="120" w:after="90"/>
      </w:pPr>
      <w:r>
        <w:rPr>
          <w:b/>
          <w:bCs/>
          <w:color w:val="10243A"/>
          <w:sz w:val="18"/>
          <w:szCs w:val="18"/>
          <w:spacing w:val="20"/>
        </w:rPr>
        <w:t xml:space="preserve">FILES IN PLAY</w:t>
      </w:r>
    </w:p>
    <w:p>
      <w:pPr>
        <w:spacing w:after="60" w:line="280"/>
        <w:ind w:left="300" w:hanging="300"/>
      </w:pPr>
      <w:r>
        <w:rPr>
          <w:color w:val="10243A"/>
          <w:sz w:val="17"/>
          <w:szCs w:val="17"/>
        </w:rPr>
        <w:t xml:space="preserve">■   </w:t>
      </w:r>
      <w:r>
        <w:rPr>
          <w:color w:val="1B1B1B"/>
          <w:sz w:val="20"/>
          <w:szCs w:val="20"/>
        </w:rPr>
        <w:t xml:space="preserve">3 — Interview Preparation (they fill this in and submit it FIRST)</w:t>
      </w:r>
    </w:p>
    <w:p>
      <w:pPr>
        <w:spacing w:after="60" w:line="280"/>
        <w:ind w:left="300" w:hanging="300"/>
      </w:pPr>
      <w:r>
        <w:rPr>
          <w:color w:val="10243A"/>
          <w:sz w:val="17"/>
          <w:szCs w:val="17"/>
        </w:rPr>
        <w:t xml:space="preserve">■   </w:t>
      </w:r>
      <w:r>
        <w:rPr>
          <w:color w:val="1B1B1B"/>
          <w:sz w:val="20"/>
          <w:szCs w:val="20"/>
        </w:rPr>
        <w:t xml:space="preserve">4 — Witness Statement, Marisa Vance (you release this only after they submit)</w:t>
      </w:r>
    </w:p>
    <w:p>
      <w:pPr>
        <w:spacing w:after="60" w:line="280"/>
        <w:ind w:left="300" w:hanging="300"/>
      </w:pPr>
      <w:r>
        <w:rPr>
          <w:color w:val="10243A"/>
          <w:sz w:val="17"/>
          <w:szCs w:val="17"/>
        </w:rPr>
        <w:t xml:space="preserve">■   </w:t>
      </w:r>
      <w:r>
        <w:rPr>
          <w:color w:val="1B1B1B"/>
          <w:sz w:val="20"/>
          <w:szCs w:val="20"/>
        </w:rPr>
        <w:t xml:space="preserve">5 — Supplemental Report (they type in this one and submit it)</w:t>
      </w:r>
    </w:p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p>
      <w:pPr>
        <w:spacing w:before="120" w:after="90"/>
      </w:pPr>
      <w:r>
        <w:rPr>
          <w:b/>
          <w:bCs/>
          <w:color w:val="10243A"/>
          <w:sz w:val="18"/>
          <w:szCs w:val="18"/>
          <w:spacing w:val="20"/>
        </w:rPr>
        <w:t xml:space="preserve">RUN OF SHOW — 90 MINUTES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1100"/>
        <w:gridCol w:w="8260"/>
      </w:tblGrid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0–8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Do-now: reopen Tuesday’s page 2. Circle your three worst gaps.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“Those three holes are what today is for.”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8–18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Mini-lesson from the five rules on file 3. Do the board example: “Was the door forced open?” against “Describe the door.” Then the worked example on the sheet.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“A closed question gets you a yes. A yes is not evidence. And if you put the number in the question, she can agree with you and you have learned nothing you did not make up yourself.”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18–32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They write their questions on file 3 and SUBMIT IT. This is a hard gate — nobody gets Vance’s statement until their questions are in.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“You only get the answers to the questions you actually ask. That is not a classroom rule, that is the job.”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32–38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285"/>
            </w:pPr>
            <w:r>
              <w:rPr>
                <w:color w:val="1B1B1B"/>
                <w:sz w:val="20"/>
                <w:szCs w:val="20"/>
              </w:rPr>
              <w:t xml:space="preserve">Release file 4. Put it on the board and read it aloud, same as Ray. Do not comment while you read.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38–55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They work the statement. Every line they take has to carry attribution — who said it, and how she knows it.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“Vance stated. Not “it was.” Every fact in your report has a source and the source has a name.”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55–80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File 5, the Supplemental Report. New information only, attributed. Block 3 is the block that was empty on Tuesday — they can finally fill it.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“A supplement adds. It does not repeat and it does not replace.”</w:t>
            </w:r>
          </w:p>
        </w:tc>
      </w:tr>
      <w:tr>
        <w:tc>
          <w:tcPr>
            <w:tcW w:type="dxa" w:w="1100"/>
            <w:shd w:fill="F2F5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0243A"/>
                <w:sz w:val="20"/>
                <w:szCs w:val="20"/>
              </w:rPr>
              <w:t xml:space="preserve">80–90</w:t>
            </w:r>
          </w:p>
        </w:tc>
        <w:tc>
          <w:tcPr>
            <w:tcW w:type="dxa" w:w="82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90" w:line="285"/>
            </w:pPr>
            <w:r>
              <w:rPr>
                <w:color w:val="1B1B1B"/>
                <w:sz w:val="20"/>
                <w:szCs w:val="20"/>
              </w:rPr>
              <w:t xml:space="preserve">THE CONTRADICTION. Put both lines side by side on the board — Delgado on the back door against Vance on the back door. Take the argument. Then land it.</w:t>
            </w:r>
          </w:p>
          <w:p>
            <w:pPr>
              <w:spacing w:after="0" w:line="285"/>
              <w:ind w:left="260"/>
            </w:pPr>
            <w:r>
              <w:rPr>
                <w:b/>
                <w:bCs/>
                <w:color w:val="1A5FB4"/>
                <w:sz w:val="15"/>
                <w:szCs w:val="15"/>
                <w:spacing w:val="20"/>
              </w:rPr>
              <w:t xml:space="preserve">SAY   </w:t>
            </w:r>
            <w:r>
              <w:rPr>
                <w:i/>
                <w:iCs/>
                <w:color w:val="1A5FB4"/>
                <w:sz w:val="20"/>
                <w:szCs w:val="20"/>
              </w:rPr>
              <w:t xml:space="preserve">“Neither of them lied to you. They each know a piece of it. You do not get to decide who is right — you write both, you say who said which, and you let the investigation settle it. Exit ticket: write me that one sentence.”</w:t>
            </w:r>
          </w:p>
        </w:tc>
      </w:tr>
    </w:tbl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9A3412" w:sz="8"/>
          <w:left w:val="single" w:color="9A3412" w:sz="8"/>
          <w:bottom w:val="single" w:color="9A3412" w:sz="8"/>
          <w:right w:val="single" w:color="9A3412" w:sz="8"/>
          <w:insideH w:val="single" w:color="9A3412" w:sz="8"/>
          <w:insideV w:val="single" w:color="9A3412" w:sz="8"/>
        </w:tblBorders>
      </w:tblPr>
      <w:tblGrid>
        <w:gridCol w:w="9360"/>
      </w:tblGrid>
      <w:tr>
        <w:tc>
          <w:tcPr>
            <w:tcW w:type="dxa" w:w="9360"/>
            <w:shd w:fill="FDF3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9A3412"/>
                <w:sz w:val="17"/>
                <w:szCs w:val="17"/>
                <w:spacing w:val="20"/>
              </w:rPr>
              <w:t xml:space="preserve">WATCH FOR THIS</w:t>
            </w:r>
          </w:p>
          <w:p>
            <w:pPr>
              <w:spacing w:after="80" w:line="285"/>
              <w:ind w:left="300" w:hanging="30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!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Hold the gate at minute 32.</w:t>
            </w:r>
            <w:r>
              <w:rPr>
                <w:color w:val="5F6B79"/>
                <w:sz w:val="19"/>
                <w:szCs w:val="19"/>
              </w:rPr>
              <w:t xml:space="preserve"> If you hand out Vance early the lesson collapses — the whole point is that weak questions return weak information.</w:t>
            </w:r>
          </w:p>
          <w:p>
            <w:pPr>
              <w:spacing w:after="80" w:line="285"/>
              <w:ind w:left="300" w:hanging="30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!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Dontae Rivers is not a suspect.</w:t>
            </w:r>
            <w:r>
              <w:rPr>
                <w:color w:val="5F6B79"/>
                <w:sz w:val="19"/>
                <w:szCs w:val="19"/>
              </w:rPr>
              <w:t xml:space="preserve"> Someone will write that he did it. Vance says the words “I am not saying this man did anything” and she says the key was a building key, not the equipment room key. The lead is </w:t>
            </w:r>
            <w:r>
              <w:rPr>
                <w:b w:val="false"/>
                <w:bCs w:val="false"/>
                <w:i/>
                <w:iCs/>
                <w:color w:val="5F6B79"/>
                <w:sz w:val="19"/>
                <w:szCs w:val="19"/>
              </w:rPr>
              <w:t xml:space="preserve">check whether that key was ever returned</w:t>
            </w:r>
            <w:r>
              <w:rPr>
                <w:color w:val="5F6B79"/>
                <w:sz w:val="19"/>
                <w:szCs w:val="19"/>
              </w:rPr>
              <w:t xml:space="preserve">, not </w:t>
            </w:r>
            <w:r>
              <w:rPr>
                <w:b w:val="false"/>
                <w:bCs w:val="false"/>
                <w:i/>
                <w:iCs/>
                <w:color w:val="5F6B79"/>
                <w:sz w:val="19"/>
                <w:szCs w:val="19"/>
              </w:rPr>
              <w:t xml:space="preserve">arrest him</w:t>
            </w:r>
            <w:r>
              <w:rPr>
                <w:color w:val="5F6B79"/>
                <w:sz w:val="19"/>
                <w:szCs w:val="19"/>
              </w:rPr>
              <w:t xml:space="preserve">.</w:t>
            </w:r>
          </w:p>
          <w:p>
            <w:pPr>
              <w:spacing w:after="80" w:line="285"/>
              <w:ind w:left="300" w:hanging="30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!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The two time discrepancies are deliberate.</w:t>
            </w:r>
            <w:r>
              <w:rPr>
                <w:color w:val="5F6B79"/>
                <w:sz w:val="19"/>
                <w:szCs w:val="19"/>
              </w:rPr>
              <w:t xml:space="preserve"> Ray says he called “around 1.” Vance says ten to one. Neither is wrong. Both get attributed. Students who flatten it into one time are losing information.</w:t>
            </w:r>
          </w:p>
          <w:p>
            <w:pPr>
              <w:spacing w:after="80" w:line="285"/>
              <w:ind w:left="300" w:hanging="300"/>
            </w:pPr>
            <w:r>
              <w:rPr>
                <w:b/>
                <w:bCs/>
                <w:color w:val="9A3412"/>
                <w:sz w:val="19"/>
                <w:szCs w:val="19"/>
              </w:rPr>
              <w:t xml:space="preserve">!  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The dead camera is the most realistic detail in the file.</w:t>
            </w:r>
            <w:r>
              <w:rPr>
                <w:color w:val="5F6B79"/>
                <w:sz w:val="19"/>
                <w:szCs w:val="19"/>
              </w:rPr>
              <w:t xml:space="preserve"> If someone is annoyed by it, that is the correct reaction and it is worth sixty seconds.</w:t>
            </w:r>
          </w:p>
        </w:tc>
      </w:tr>
    </w:tbl>
    <w:p>
      <w:r>
        <w:br w:type="page"/>
      </w:r>
    </w:p>
    <w:p>
      <w:pPr>
        <w:spacing w:after="50"/>
      </w:pPr>
      <w:r>
        <w:rPr>
          <w:b/>
          <w:bCs/>
          <w:color w:val="10243A"/>
          <w:sz w:val="30"/>
          <w:szCs w:val="30"/>
        </w:rPr>
        <w:t xml:space="preserve">What the Vance statement is engineered to do</w:t>
      </w:r>
    </w:p>
    <w:p>
      <w:pPr>
        <w:spacing w:after="170" w:line="276"/>
      </w:pPr>
      <w:r>
        <w:rPr>
          <w:b/>
          <w:bCs/>
          <w:color w:val="9A3412"/>
          <w:sz w:val="20"/>
          <w:szCs w:val="20"/>
        </w:rPr>
        <w:t xml:space="preserve">Do not give this page to students.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1900"/>
        <w:gridCol w:w="7460"/>
      </w:tblGrid>
      <w:tr>
        <w:tc>
          <w:tcPr>
            <w:tcW w:type="dxa" w:w="19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CLOSES</w:t>
            </w:r>
          </w:p>
        </w:tc>
        <w:tc>
          <w:tcPr>
            <w:tcW w:type="dxa" w:w="74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Laptop count (nine), make (Dell), asset tags (CC-0041 to CC-0049), unit value (about $520), who holds keys, when the room was last secured (Friday ~1740), when Ray called (1250).</w:t>
            </w:r>
          </w:p>
        </w:tc>
      </w:tr>
      <w:tr>
        <w:tc>
          <w:tcPr>
            <w:tcW w:type="dxa" w:w="19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REFUSES</w:t>
            </w:r>
          </w:p>
        </w:tc>
        <w:tc>
          <w:tcPr>
            <w:tcW w:type="dxa" w:w="74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Who entered, how, exactly when, whether the back door was actually unlocked, whether anything else is gone. She has not been in the room yet.</w:t>
            </w:r>
          </w:p>
        </w:tc>
      </w:tr>
      <w:tr>
        <w:tc>
          <w:tcPr>
            <w:tcW w:type="dxa" w:w="19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74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The back door. Delgado: it should not be unlocked after 10. Vance: timer locks it at 9, but it does not always catch and she has filed two work orders. Both accounts are honest and partial.</w:t>
            </w:r>
          </w:p>
        </w:tc>
      </w:tr>
      <w:tr>
        <w:tc>
          <w:tcPr>
            <w:tcW w:type="dxa" w:w="1900"/>
            <w:shd w:fill="F2F5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5F6B79"/>
                <w:sz w:val="18"/>
                <w:szCs w:val="18"/>
              </w:rPr>
              <w:t xml:space="preserve">OPENS</w:t>
            </w:r>
          </w:p>
        </w:tc>
        <w:tc>
          <w:tcPr>
            <w:tcW w:type="dxa" w:w="746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color w:val="1B1B1B"/>
                <w:sz w:val="22"/>
                <w:szCs w:val="22"/>
              </w:rPr>
              <w:t xml:space="preserve">An unreturned building key held by a former part-time employee — offered explicitly as a key-holder fact, not as an accusation.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1B1B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Sheet</dc:title>
  <dc:creator>Criminal Justice Operations</dc:creator>
  <cp:lastModifiedBy>Un-named</cp:lastModifiedBy>
  <cp:revision>1</cp:revision>
  <dcterms:created xsi:type="dcterms:W3CDTF">2026-10-12T14:13:00.948Z</dcterms:created>
  <dcterms:modified xsi:type="dcterms:W3CDTF">2026-10-12T14:13:00.949Z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