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100"/>
        <w:jc w:val="center"/>
      </w:pPr>
      <w:r>
        <w:rPr>
          <w:rFonts w:ascii="Arial" w:cs="Arial" w:eastAsia="Arial" w:hAnsi="Arial"/>
          <w:b/>
          <w:bCs/>
          <w:color w:val="0D1B2A"/>
          <w:sz w:val="76"/>
          <w:szCs w:val="76"/>
        </w:rPr>
        <w:t xml:space="preserve">RESEARCH</w:t>
      </w:r>
    </w:p>
    <w:p>
      <w:pPr>
        <w:spacing w:after="400"/>
        <w:jc w:val="center"/>
      </w:pPr>
      <w:r>
        <w:rPr>
          <w:rFonts w:ascii="Arial" w:cs="Arial" w:eastAsia="Arial" w:hAnsi="Arial"/>
          <w:b/>
          <w:bCs/>
          <w:color w:val="E63946"/>
          <w:sz w:val="76"/>
          <w:szCs w:val="76"/>
        </w:rPr>
        <w:t xml:space="preserve">MATCH</w:t>
      </w:r>
    </w:p>
    <w:p>
      <w:pPr>
        <w:pBdr>
          <w:top w:val="single" w:color="E63946" w:sz="6" w:space="8"/>
        </w:pBdr>
        <w:spacing w:before="200" w:after="100"/>
        <w:jc w:val="center"/>
      </w:pPr>
      <w:r>
        <w:rPr>
          <w:rFonts w:ascii="Arial" w:cs="Arial" w:eastAsia="Arial" w:hAnsi="Arial"/>
          <w:i/>
          <w:iCs/>
          <w:color w:val="1D3557"/>
          <w:sz w:val="26"/>
          <w:szCs w:val="26"/>
        </w:rPr>
        <w:t xml:space="preserve">Especificación Unificada — Arquitectura, Matching y Plugin</w:t>
      </w:r>
    </w:p>
    <w:p>
      <w:pPr>
        <w:spacing w:after="60"/>
        <w:jc w:val="center"/>
      </w:pPr>
      <w:r>
        <w:rPr>
          <w:rFonts w:ascii="Arial" w:cs="Arial" w:eastAsia="Arial" w:hAnsi="Arial"/>
          <w:color w:val="666666"/>
          <w:sz w:val="22"/>
          <w:szCs w:val="22"/>
        </w:rPr>
        <w:t xml:space="preserve">Encuentra personas trabajando en lo mismo que vos.</w:t>
      </w:r>
    </w:p>
    <w:p>
      <w:pPr>
        <w:spacing w:after="60"/>
        <w:jc w:val="center"/>
      </w:pPr>
      <w:r>
        <w:rPr>
          <w:rFonts w:ascii="Arial" w:cs="Arial" w:eastAsia="Arial" w:hAnsi="Arial"/>
          <w:i/>
          <w:iCs/>
          <w:color w:val="888888"/>
          <w:sz w:val="22"/>
          <w:szCs w:val="22"/>
        </w:rPr>
        <w:t xml:space="preserve">Porque 2 cabezas y 2 AI piensan mejor que 1.</w:t>
      </w:r>
    </w:p>
    <w:p>
      <w:pPr>
        <w:spacing w:after="60"/>
        <w:jc w:val="center"/>
      </w:pPr>
      <w:r>
        <w:rPr>
          <w:rFonts w:ascii="Arial" w:cs="Arial" w:eastAsia="Arial" w:hAnsi="Arial"/>
          <w:i/>
          <w:iCs/>
          <w:color w:val="888888"/>
          <w:sz w:val="22"/>
          <w:szCs w:val="22"/>
        </w:rPr>
        <w:t xml:space="preserve">No desperdicies tu originalidad. Compartíla.</w:t>
      </w:r>
    </w:p>
    <w:p>
      <w:pPr>
        <w:spacing w:after="2000"/>
      </w:pPr>
    </w:p>
    <w:p>
      <w:pPr>
        <w:spacing w:after="60"/>
        <w:jc w:val="center"/>
      </w:pPr>
      <w:r>
        <w:rPr>
          <w:rFonts w:ascii="Arial" w:cs="Arial" w:eastAsia="Arial" w:hAnsi="Arial"/>
          <w:color w:val="999999"/>
          <w:sz w:val="20"/>
          <w:szCs w:val="20"/>
        </w:rPr>
        <w:t xml:space="preserve">Versión 2.0 Unificada  |  Febrero 2026</w:t>
      </w:r>
    </w:p>
    <w:p>
      <w:pPr>
        <w:jc w:val="center"/>
      </w:pPr>
      <w:r>
        <w:rPr>
          <w:rFonts w:ascii="Arial" w:cs="Arial" w:eastAsia="Arial" w:hAnsi="Arial"/>
          <w:color w:val="999999"/>
          <w:sz w:val="20"/>
          <w:szCs w:val="20"/>
        </w:rPr>
        <w:t xml:space="preserve">Fausto &amp; Claude AI</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0D1B2A"/>
          <w:sz w:val="34"/>
          <w:szCs w:val="34"/>
        </w:rPr>
        <w:t xml:space="preserve">Índice</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0D1B2A"/>
          <w:sz w:val="34"/>
          <w:szCs w:val="34"/>
        </w:rPr>
        <w:t xml:space="preserve">1. Visión y Filosofía</w:t>
      </w:r>
    </w:p>
    <w:p>
      <w:pPr>
        <w:spacing w:after="160" w:line="276"/>
      </w:pPr>
      <w:r>
        <w:rPr>
          <w:rFonts w:ascii="Arial" w:cs="Arial" w:eastAsia="Arial" w:hAnsi="Arial"/>
          <w:color w:val="333333"/>
          <w:sz w:val="22"/>
          <w:szCs w:val="22"/>
        </w:rPr>
        <w:t xml:space="preserve">Research Match es una plataforma de descubrimiento y colaboración para investigadores, científicos, desarrolladores y teóricos independientes que trabajan en problemas similares de forma aislada. El sistema usa IA para evaluar y cuantificar el grado de originalidad y complementariedad entre participantes, conectándolos de forma segura.</w:t>
      </w:r>
    </w:p>
    <w:p>
      <w:pPr>
        <w:spacing w:after="160" w:line="276"/>
      </w:pPr>
      <w:r>
        <w:rPr>
          <w:rFonts w:ascii="Arial" w:cs="Arial" w:eastAsia="Arial" w:hAnsi="Arial"/>
          <w:color w:val="333333"/>
          <w:sz w:val="22"/>
          <w:szCs w:val="22"/>
        </w:rPr>
        <w:t xml:space="preserve">La plataforma resuelve un problema crítico: miles de personas en el mundo trabajan independientemente en la cura del cáncer, en teorías físicas, en desarrollo de proteínas, en modelos matemáticos avanzados, sin saber que existen entre sí. Research Match las encuentra, las evalúa y las conecta.</w:t>
      </w:r>
    </w:p>
    <w:p>
      <w:pPr>
        <w:pStyle w:val="Heading2"/>
        <w:spacing w:before="300" w:after="160"/>
      </w:pPr>
      <w:r>
        <w:rPr>
          <w:rFonts w:ascii="Arial" w:cs="Arial" w:eastAsia="Arial" w:hAnsi="Arial"/>
          <w:b/>
          <w:bCs/>
          <w:color w:val="1D3557"/>
          <w:sz w:val="28"/>
          <w:szCs w:val="28"/>
        </w:rPr>
        <w:t xml:space="preserve">1.1 Principios Fundamentales</w:t>
      </w:r>
    </w:p>
    <w:p>
      <w:pPr>
        <w:pStyle w:val="ListParagraph"/>
        <w:numPr>
          <w:ilvl w:val="0"/>
          <w:numId w:val="2"/>
        </w:numPr>
        <w:spacing w:after="80" w:line="276"/>
      </w:pPr>
      <w:r>
        <w:rPr>
          <w:rFonts w:ascii="Arial" w:cs="Arial" w:eastAsia="Arial" w:hAnsi="Arial"/>
          <w:b/>
          <w:bCs/>
          <w:color w:val="333333"/>
          <w:sz w:val="22"/>
          <w:szCs w:val="22"/>
        </w:rPr>
        <w:t xml:space="preserve">Blindaje total de propiedad intelectual: </w:t>
      </w:r>
      <w:r>
        <w:rPr>
          <w:rFonts w:ascii="Arial" w:cs="Arial" w:eastAsia="Arial" w:hAnsi="Arial"/>
          <w:color w:val="333333"/>
          <w:sz w:val="22"/>
          <w:szCs w:val="22"/>
        </w:rPr>
        <w:t xml:space="preserve">la información de cada usuario está cifrada y es inaccesible. Solo la IA evalúa el contenido en entornos aislados.</w:t>
      </w:r>
    </w:p>
    <w:p>
      <w:pPr>
        <w:pStyle w:val="ListParagraph"/>
        <w:numPr>
          <w:ilvl w:val="0"/>
          <w:numId w:val="2"/>
        </w:numPr>
        <w:spacing w:after="80" w:line="276"/>
      </w:pPr>
      <w:r>
        <w:rPr>
          <w:rFonts w:ascii="Arial" w:cs="Arial" w:eastAsia="Arial" w:hAnsi="Arial"/>
          <w:b/>
          <w:bCs/>
          <w:color w:val="333333"/>
          <w:sz w:val="22"/>
          <w:szCs w:val="22"/>
        </w:rPr>
        <w:t xml:space="preserve">Matching por complementariedad, no por duplicación: </w:t>
      </w:r>
      <w:r>
        <w:rPr>
          <w:rFonts w:ascii="Arial" w:cs="Arial" w:eastAsia="Arial" w:hAnsi="Arial"/>
          <w:color w:val="333333"/>
          <w:sz w:val="22"/>
          <w:szCs w:val="22"/>
        </w:rPr>
        <w:t xml:space="preserve">el sistema prioriza perfiles que se potencian mutuamente sobre perfiles idénticos.</w:t>
      </w:r>
    </w:p>
    <w:p>
      <w:pPr>
        <w:pStyle w:val="ListParagraph"/>
        <w:numPr>
          <w:ilvl w:val="0"/>
          <w:numId w:val="2"/>
        </w:numPr>
        <w:spacing w:after="80" w:line="276"/>
      </w:pPr>
      <w:r>
        <w:rPr>
          <w:rFonts w:ascii="Arial" w:cs="Arial" w:eastAsia="Arial" w:hAnsi="Arial"/>
          <w:b/>
          <w:bCs/>
          <w:color w:val="333333"/>
          <w:sz w:val="22"/>
          <w:szCs w:val="22"/>
        </w:rPr>
        <w:t xml:space="preserve">Conveniencia bilateral: </w:t>
      </w:r>
      <w:r>
        <w:rPr>
          <w:rFonts w:ascii="Arial" w:cs="Arial" w:eastAsia="Arial" w:hAnsi="Arial"/>
          <w:color w:val="333333"/>
          <w:sz w:val="22"/>
          <w:szCs w:val="22"/>
        </w:rPr>
        <w:t xml:space="preserve">todo match se evalúa desde ambas perspectivas. Ningún usuario es expuesto a relaciones parasitarias.</w:t>
      </w:r>
    </w:p>
    <w:p>
      <w:pPr>
        <w:pStyle w:val="ListParagraph"/>
        <w:numPr>
          <w:ilvl w:val="0"/>
          <w:numId w:val="2"/>
        </w:numPr>
        <w:spacing w:after="80" w:line="276"/>
      </w:pPr>
      <w:r>
        <w:rPr>
          <w:rFonts w:ascii="Arial" w:cs="Arial" w:eastAsia="Arial" w:hAnsi="Arial"/>
          <w:b/>
          <w:bCs/>
          <w:color w:val="333333"/>
          <w:sz w:val="22"/>
          <w:szCs w:val="22"/>
        </w:rPr>
        <w:t xml:space="preserve">Sin chat, preservando originalidad: </w:t>
      </w:r>
      <w:r>
        <w:rPr>
          <w:rFonts w:ascii="Arial" w:cs="Arial" w:eastAsia="Arial" w:hAnsi="Arial"/>
          <w:color w:val="333333"/>
          <w:sz w:val="22"/>
          <w:szCs w:val="22"/>
        </w:rPr>
        <w:t xml:space="preserve">la comunicación se limita a carpetas compartidas de necesidades. El chat genera ruido, sesgo grupal y diluye la visión única de cada equipo.</w:t>
      </w:r>
    </w:p>
    <w:p>
      <w:pPr>
        <w:pStyle w:val="ListParagraph"/>
        <w:numPr>
          <w:ilvl w:val="0"/>
          <w:numId w:val="2"/>
        </w:numPr>
        <w:spacing w:after="80" w:line="276"/>
      </w:pPr>
      <w:r>
        <w:rPr>
          <w:rFonts w:ascii="Arial" w:cs="Arial" w:eastAsia="Arial" w:hAnsi="Arial"/>
          <w:b/>
          <w:bCs/>
          <w:color w:val="333333"/>
          <w:sz w:val="22"/>
          <w:szCs w:val="22"/>
        </w:rPr>
        <w:t xml:space="preserve">Costo descentralizado: </w:t>
      </w:r>
      <w:r>
        <w:rPr>
          <w:rFonts w:ascii="Arial" w:cs="Arial" w:eastAsia="Arial" w:hAnsi="Arial"/>
          <w:color w:val="333333"/>
          <w:sz w:val="22"/>
          <w:szCs w:val="22"/>
        </w:rPr>
        <w:t xml:space="preserve">cada usuario paga sus propios tokens de AI. No hay costos centrales significativos.</w:t>
      </w:r>
    </w:p>
    <w:p>
      <w:pPr>
        <w:pStyle w:val="ListParagraph"/>
        <w:numPr>
          <w:ilvl w:val="0"/>
          <w:numId w:val="2"/>
        </w:numPr>
        <w:spacing w:after="80" w:line="276"/>
      </w:pPr>
      <w:r>
        <w:rPr>
          <w:rFonts w:ascii="Arial" w:cs="Arial" w:eastAsia="Arial" w:hAnsi="Arial"/>
          <w:b/>
          <w:bCs/>
          <w:color w:val="333333"/>
          <w:sz w:val="22"/>
          <w:szCs w:val="22"/>
        </w:rPr>
        <w:t xml:space="preserve">Honestidad como moneda: </w:t>
      </w:r>
      <w:r>
        <w:rPr>
          <w:rFonts w:ascii="Arial" w:cs="Arial" w:eastAsia="Arial" w:hAnsi="Arial"/>
          <w:color w:val="333333"/>
          <w:sz w:val="22"/>
          <w:szCs w:val="22"/>
        </w:rPr>
        <w:t xml:space="preserve">un sistema de rating recompensa la transparencia y penaliza la exageración. Sin honestidad, la plataforma no tiene valor.</w:t>
      </w:r>
    </w:p>
    <w:p>
      <w:pPr>
        <w:pStyle w:val="Heading2"/>
        <w:spacing w:before="300" w:after="160"/>
      </w:pPr>
      <w:r>
        <w:rPr>
          <w:rFonts w:ascii="Arial" w:cs="Arial" w:eastAsia="Arial" w:hAnsi="Arial"/>
          <w:b/>
          <w:bCs/>
          <w:color w:val="1D3557"/>
          <w:sz w:val="28"/>
          <w:szCs w:val="28"/>
        </w:rPr>
        <w:t xml:space="preserve">1.2 Matching Directo e Indirecto</w:t>
      </w:r>
    </w:p>
    <w:p>
      <w:pPr>
        <w:spacing w:after="160" w:line="276"/>
      </w:pPr>
      <w:r>
        <w:rPr>
          <w:rFonts w:ascii="Arial" w:cs="Arial" w:eastAsia="Arial" w:hAnsi="Arial"/>
          <w:b/>
          <w:bCs/>
          <w:color w:val="E63946"/>
          <w:sz w:val="22"/>
          <w:szCs w:val="22"/>
        </w:rPr>
        <w:t xml:space="preserve">Matching directo: </w:t>
      </w:r>
      <w:r>
        <w:rPr>
          <w:rFonts w:ascii="Arial" w:cs="Arial" w:eastAsia="Arial" w:hAnsi="Arial"/>
          <w:color w:val="333333"/>
          <w:sz w:val="22"/>
          <w:szCs w:val="22"/>
        </w:rPr>
        <w:t xml:space="preserve">ocurre cuando dos proyectos comparten el mismo objetivo. Ambos se benefician de compartir enfoques, datasets y arquitecturas.</w:t>
      </w:r>
    </w:p>
    <w:p>
      <w:pPr>
        <w:spacing w:after="160" w:line="276"/>
      </w:pPr>
      <w:r>
        <w:rPr>
          <w:rFonts w:ascii="Arial" w:cs="Arial" w:eastAsia="Arial" w:hAnsi="Arial"/>
          <w:b/>
          <w:bCs/>
          <w:color w:val="E63946"/>
          <w:sz w:val="22"/>
          <w:szCs w:val="22"/>
        </w:rPr>
        <w:t xml:space="preserve">Matching indirecto: </w:t>
      </w:r>
      <w:r>
        <w:rPr>
          <w:rFonts w:ascii="Arial" w:cs="Arial" w:eastAsia="Arial" w:hAnsi="Arial"/>
          <w:color w:val="333333"/>
          <w:sz w:val="22"/>
          <w:szCs w:val="22"/>
        </w:rPr>
        <w:t xml:space="preserve">ocurre cuando el camino recorrido por uno es necesario para el objetivo del otro. Los dead-ends de uno son advertencias para otro, y el camino crítico de uno puede ser la pieza faltante del otro. Este es el match más valioso.</w:t>
      </w:r>
    </w:p>
    <w:p>
      <w:r>
        <w:br w:type="page"/>
      </w:r>
    </w:p>
    <w:p>
      <w:pPr>
        <w:pStyle w:val="Heading1"/>
        <w:spacing w:before="400" w:after="200"/>
      </w:pPr>
      <w:r>
        <w:rPr>
          <w:rFonts w:ascii="Arial" w:cs="Arial" w:eastAsia="Arial" w:hAnsi="Arial"/>
          <w:b/>
          <w:bCs/>
          <w:color w:val="0D1B2A"/>
          <w:sz w:val="34"/>
          <w:szCs w:val="34"/>
        </w:rPr>
        <w:t xml:space="preserve">2. El Research Commit</w:t>
      </w:r>
    </w:p>
    <w:p>
      <w:pPr>
        <w:spacing w:after="160" w:line="276"/>
      </w:pPr>
      <w:r>
        <w:rPr>
          <w:rFonts w:ascii="Arial" w:cs="Arial" w:eastAsia="Arial" w:hAnsi="Arial"/>
          <w:color w:val="333333"/>
          <w:sz w:val="22"/>
          <w:szCs w:val="22"/>
        </w:rPr>
        <w:t xml:space="preserve">El Research Commit es la unidad fundamental de información. Es el mecanismo mediante el cual cada usuario describe, estructura y somete su trabajo para evaluación. El formato es estandarizado para permitir comparación sistemática por parte de la IA y lectura directa por Claude en Cowork.</w:t>
      </w:r>
    </w:p>
    <w:p>
      <w:pPr>
        <w:pStyle w:val="Heading2"/>
        <w:spacing w:before="300" w:after="160"/>
      </w:pPr>
      <w:r>
        <w:rPr>
          <w:rFonts w:ascii="Arial" w:cs="Arial" w:eastAsia="Arial" w:hAnsi="Arial"/>
          <w:b/>
          <w:bCs/>
          <w:color w:val="1D3557"/>
          <w:sz w:val="28"/>
          <w:szCs w:val="28"/>
        </w:rPr>
        <w:t xml:space="preserve">2.1 Teoría Base</w:t>
      </w:r>
    </w:p>
    <w:p>
      <w:pPr>
        <w:spacing w:after="160" w:line="276"/>
      </w:pPr>
      <w:r>
        <w:rPr>
          <w:rFonts w:ascii="Arial" w:cs="Arial" w:eastAsia="Arial" w:hAnsi="Arial"/>
          <w:color w:val="333333"/>
          <w:sz w:val="22"/>
          <w:szCs w:val="22"/>
        </w:rPr>
        <w:t xml:space="preserve">Es el marco teórico del que parte el investigador. Define el campo, el problema específico, las hipótesis y las referencias fundamentales. Es el ancla del matching: dos usuarios con teoría base similar son candidatos.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378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78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c>
          <w:tcPr>
            <w:tcW w:type="dxa" w:w="18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b/>
                <w:bCs/>
                <w:color w:val="333333"/>
                <w:sz w:val="20"/>
                <w:szCs w:val="20"/>
              </w:rPr>
              <w:t xml:space="preserve">Dominio</w:t>
            </w:r>
          </w:p>
        </w:tc>
        <w:tc>
          <w:tcPr>
            <w:tcW w:type="dxa" w:w="37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Campo científico o técnico principal</w:t>
            </w:r>
          </w:p>
        </w:tc>
        <w:tc>
          <w:tcPr>
            <w:tcW w:type="dxa" w:w="37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Biología molecular, Física teórica, ML</w:t>
            </w:r>
          </w:p>
        </w:tc>
      </w:tr>
      <w:tr>
        <w:tc>
          <w:tcPr>
            <w:tcW w:type="dxa" w:w="18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333333"/>
                <w:sz w:val="20"/>
                <w:szCs w:val="20"/>
              </w:rPr>
              <w:t xml:space="preserve">Subdominio</w:t>
            </w:r>
          </w:p>
        </w:tc>
        <w:tc>
          <w:tcPr>
            <w:tcW w:type="dxa" w:w="37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Especialización dentro del dominio</w:t>
            </w:r>
          </w:p>
        </w:tc>
        <w:tc>
          <w:tcPr>
            <w:tcW w:type="dxa" w:w="37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Plegamiento de proteínas, Gravedad cuántica</w:t>
            </w:r>
          </w:p>
        </w:tc>
      </w:tr>
      <w:tr>
        <w:tc>
          <w:tcPr>
            <w:tcW w:type="dxa" w:w="18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b/>
                <w:bCs/>
                <w:color w:val="333333"/>
                <w:sz w:val="20"/>
                <w:szCs w:val="20"/>
              </w:rPr>
              <w:t xml:space="preserve">Problema</w:t>
            </w:r>
          </w:p>
        </w:tc>
        <w:tc>
          <w:tcPr>
            <w:tcW w:type="dxa" w:w="37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Pregunta específica que se intenta resolver</w:t>
            </w:r>
          </w:p>
        </w:tc>
        <w:tc>
          <w:tcPr>
            <w:tcW w:type="dxa" w:w="37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¿Cómo predecir la estructura terciaria de proteínas desordenadas?</w:t>
            </w:r>
          </w:p>
        </w:tc>
      </w:tr>
      <w:tr>
        <w:tc>
          <w:tcPr>
            <w:tcW w:type="dxa" w:w="18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333333"/>
                <w:sz w:val="20"/>
                <w:szCs w:val="20"/>
              </w:rPr>
              <w:t xml:space="preserve">Hipótesis</w:t>
            </w:r>
          </w:p>
        </w:tc>
        <w:tc>
          <w:tcPr>
            <w:tcW w:type="dxa" w:w="37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Proposición central del trabajo</w:t>
            </w:r>
          </w:p>
        </w:tc>
        <w:tc>
          <w:tcPr>
            <w:tcW w:type="dxa" w:w="37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Las interacciones electrostáticas locales son suficientes...</w:t>
            </w:r>
          </w:p>
        </w:tc>
      </w:tr>
      <w:tr>
        <w:tc>
          <w:tcPr>
            <w:tcW w:type="dxa" w:w="18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b/>
                <w:bCs/>
                <w:color w:val="333333"/>
                <w:sz w:val="20"/>
                <w:szCs w:val="20"/>
              </w:rPr>
              <w:t xml:space="preserve">Marco teórico</w:t>
            </w:r>
          </w:p>
        </w:tc>
        <w:tc>
          <w:tcPr>
            <w:tcW w:type="dxa" w:w="37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Teorías y autores de referencia</w:t>
            </w:r>
          </w:p>
        </w:tc>
        <w:tc>
          <w:tcPr>
            <w:tcW w:type="dxa" w:w="37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Modelo de Levinthal, Paradoja de Anfinsen, AlphaFold</w:t>
            </w:r>
          </w:p>
        </w:tc>
      </w:tr>
    </w:tbl>
    <w:p>
      <w:pPr>
        <w:spacing w:after="160"/>
      </w:pPr>
    </w:p>
    <w:p>
      <w:pPr>
        <w:pStyle w:val="Heading2"/>
        <w:spacing w:before="300" w:after="160"/>
      </w:pPr>
      <w:r>
        <w:rPr>
          <w:rFonts w:ascii="Arial" w:cs="Arial" w:eastAsia="Arial" w:hAnsi="Arial"/>
          <w:b/>
          <w:bCs/>
          <w:color w:val="1D3557"/>
          <w:sz w:val="28"/>
          <w:szCs w:val="28"/>
        </w:rPr>
        <w:t xml:space="preserve">2.2 Demostraciones (Eje Formal-Computacional)</w:t>
      </w:r>
    </w:p>
    <w:p>
      <w:pPr>
        <w:spacing w:after="160" w:line="276"/>
      </w:pPr>
      <w:r>
        <w:rPr>
          <w:rFonts w:ascii="Arial" w:cs="Arial" w:eastAsia="Arial" w:hAnsi="Arial"/>
          <w:color w:val="333333"/>
          <w:sz w:val="22"/>
          <w:szCs w:val="22"/>
        </w:rPr>
        <w:t xml:space="preserve">Abarca todo lo que prueba, implementa o valida la teoría. Es donde el eje de originalidad formal-computacional se mide. Incluye demostraciones matemáticas (LaTeX, Lean4, Coq), código y scripts (Python, R, Julia, C++), y datos experimentales (CSV, HDF5, Parquet).</w:t>
      </w:r>
    </w:p>
    <w:p>
      <w:pPr>
        <w:spacing w:after="160" w:line="276"/>
      </w:pPr>
      <w:r>
        <w:rPr>
          <w:rFonts w:ascii="Arial" w:cs="Arial" w:eastAsia="Arial" w:hAnsi="Arial"/>
          <w:color w:val="333333"/>
          <w:sz w:val="22"/>
          <w:szCs w:val="22"/>
        </w:rPr>
        <w:t xml:space="preserve">La IA evalúa: si las demostraciones son originales o replican métodos conocidos; la sofisticación y eficiencia del código; si los resultados validan efectivamente la teoría; y la calidad y reproducibilidad de los datos.</w:t>
      </w:r>
    </w:p>
    <w:p>
      <w:pPr>
        <w:pStyle w:val="Heading2"/>
        <w:spacing w:before="300" w:after="160"/>
      </w:pPr>
      <w:r>
        <w:rPr>
          <w:rFonts w:ascii="Arial" w:cs="Arial" w:eastAsia="Arial" w:hAnsi="Arial"/>
          <w:b/>
          <w:bCs/>
          <w:color w:val="1D3557"/>
          <w:sz w:val="28"/>
          <w:szCs w:val="28"/>
        </w:rPr>
        <w:t xml:space="preserve">2.3 Contenido Ad Hoc</w:t>
      </w:r>
    </w:p>
    <w:p>
      <w:pPr>
        <w:spacing w:after="160" w:line="276"/>
      </w:pPr>
      <w:r>
        <w:rPr>
          <w:rFonts w:ascii="Arial" w:cs="Arial" w:eastAsia="Arial" w:hAnsi="Arial"/>
          <w:color w:val="333333"/>
          <w:sz w:val="22"/>
          <w:szCs w:val="22"/>
        </w:rPr>
        <w:t xml:space="preserve">Material original que no proviene de la teoría base establecida. Aquí reside la mayor fuente de originalidad: conexiones entre campos no relacionados, métodos no convencionales, intuiciones formalizadas, resultados preliminares que sugieren líneas nuevas.</w:t>
      </w:r>
    </w:p>
    <w:p>
      <w:pPr>
        <w:spacing w:after="160" w:line="276"/>
      </w:pPr>
      <w:r>
        <w:rPr>
          <w:rFonts w:ascii="Arial" w:cs="Arial" w:eastAsia="Arial" w:hAnsi="Arial"/>
          <w:b/>
          <w:bCs/>
          <w:color w:val="333333"/>
          <w:sz w:val="22"/>
          <w:szCs w:val="22"/>
        </w:rPr>
        <w:t xml:space="preserve">La IA trata este contenido como el diferencial de mayor peso. </w:t>
      </w:r>
      <w:r>
        <w:rPr>
          <w:rFonts w:ascii="Arial" w:cs="Arial" w:eastAsia="Arial" w:hAnsi="Arial"/>
          <w:color w:val="333333"/>
          <w:sz w:val="22"/>
          <w:szCs w:val="22"/>
        </w:rPr>
        <w:t xml:space="preserve">Un alto puntaje en contenido ad hoc indica que el usuario aporta perspectivas que no existen en el corpus común.</w:t>
      </w:r>
    </w:p>
    <w:p>
      <w:pPr>
        <w:pStyle w:val="Heading2"/>
        <w:spacing w:before="300" w:after="160"/>
      </w:pPr>
      <w:r>
        <w:rPr>
          <w:rFonts w:ascii="Arial" w:cs="Arial" w:eastAsia="Arial" w:hAnsi="Arial"/>
          <w:b/>
          <w:bCs/>
          <w:color w:val="1D3557"/>
          <w:sz w:val="28"/>
          <w:szCs w:val="28"/>
        </w:rPr>
        <w:t xml:space="preserve">2.4 Cherry-Picking Declarado</w:t>
      </w:r>
    </w:p>
    <w:p>
      <w:pPr>
        <w:spacing w:after="160" w:line="276"/>
      </w:pPr>
      <w:r>
        <w:rPr>
          <w:rFonts w:ascii="Arial" w:cs="Arial" w:eastAsia="Arial" w:hAnsi="Arial"/>
          <w:color w:val="333333"/>
          <w:sz w:val="22"/>
          <w:szCs w:val="22"/>
        </w:rPr>
        <w:t xml:space="preserve">Sección de transparencia intelectual. El usuario declara explícitamente qué elementos tomó de otros trabajos, de dónde los tomó, por qué los seleccionó, y qué modificó. Cumple doble función: permite a la IA no inflar scores, y establece un registro de honestidad que construye reputación.</w:t>
      </w:r>
    </w:p>
    <w:p>
      <w:pPr>
        <w:pStyle w:val="Heading2"/>
        <w:spacing w:before="300" w:after="160"/>
      </w:pPr>
      <w:r>
        <w:rPr>
          <w:rFonts w:ascii="Arial" w:cs="Arial" w:eastAsia="Arial" w:hAnsi="Arial"/>
          <w:b/>
          <w:bCs/>
          <w:color w:val="1D3557"/>
          <w:sz w:val="28"/>
          <w:szCs w:val="28"/>
        </w:rPr>
        <w:t xml:space="preserve">2.5 Niveles de Madurez y Solidez</w:t>
      </w:r>
    </w:p>
    <w:p>
      <w:pPr>
        <w:spacing w:after="160" w:line="276"/>
      </w:pPr>
      <w:r>
        <w:rPr>
          <w:rFonts w:ascii="Arial" w:cs="Arial" w:eastAsia="Arial" w:hAnsi="Arial"/>
          <w:color w:val="333333"/>
          <w:sz w:val="22"/>
          <w:szCs w:val="22"/>
        </w:rPr>
        <w:t xml:space="preserve">Cada componente del Research Commit debe declarar su nivel de solidez. Esto es fundamental para que el matching sea útil y honesto: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368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c>
          <w:tcPr>
            <w:tcW w:type="dxa" w:w="368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Impacto en Matching</w:t>
            </w:r>
          </w:p>
        </w:tc>
      </w:tr>
      <w:tr>
        <w:tc>
          <w:tcPr>
            <w:tcW w:type="dxa" w:w="20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b/>
                <w:bCs/>
                <w:color w:val="2D6A4F"/>
                <w:sz w:val="20"/>
                <w:szCs w:val="20"/>
              </w:rPr>
              <w:t xml:space="preserve">Probado</w:t>
            </w:r>
          </w:p>
        </w:tc>
        <w:tc>
          <w:tcPr>
            <w:tcW w:type="dxa" w:w="36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Validado con datos, demostraciones formales, o código funcional reproducible</w:t>
            </w:r>
          </w:p>
        </w:tc>
        <w:tc>
          <w:tcPr>
            <w:tcW w:type="dxa" w:w="36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Máximo peso en OFC. Genera confianza alta en el match.</w:t>
            </w:r>
          </w:p>
        </w:tc>
      </w:tr>
      <w:tr>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457B9D"/>
                <w:sz w:val="20"/>
                <w:szCs w:val="20"/>
              </w:rPr>
              <w:t xml:space="preserve">Funcional</w:t>
            </w:r>
          </w:p>
        </w:tc>
        <w:tc>
          <w:tcPr>
            <w:tcW w:type="dxa" w:w="3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Implementado y funciona, pero sin validación formal completa</w:t>
            </w:r>
          </w:p>
        </w:tc>
        <w:tc>
          <w:tcPr>
            <w:tcW w:type="dxa" w:w="3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Peso medio. El match sabe que hay sustancia pero sin garantías.</w:t>
            </w:r>
          </w:p>
        </w:tc>
      </w:tr>
      <w:tr>
        <w:tc>
          <w:tcPr>
            <w:tcW w:type="dxa" w:w="20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b/>
                <w:bCs/>
                <w:color w:val="E9C46A"/>
                <w:sz w:val="20"/>
                <w:szCs w:val="20"/>
              </w:rPr>
              <w:t xml:space="preserve">Especulativo</w:t>
            </w:r>
          </w:p>
        </w:tc>
        <w:tc>
          <w:tcPr>
            <w:tcW w:type="dxa" w:w="36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Hipótesis o idea sin implementación ni validación</w:t>
            </w:r>
          </w:p>
        </w:tc>
        <w:tc>
          <w:tcPr>
            <w:tcW w:type="dxa" w:w="36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Peso alto en OT si es original, pero bajo en OFC.</w:t>
            </w:r>
          </w:p>
        </w:tc>
      </w:tr>
      <w:tr>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F4A261"/>
                <w:sz w:val="20"/>
                <w:szCs w:val="20"/>
              </w:rPr>
              <w:t xml:space="preserve">Ad Hoc</w:t>
            </w:r>
          </w:p>
        </w:tc>
        <w:tc>
          <w:tcPr>
            <w:tcW w:type="dxa" w:w="3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Solución improvisada que funciona pero sin fundamento teórico</w:t>
            </w:r>
          </w:p>
        </w:tc>
        <w:tc>
          <w:tcPr>
            <w:tcW w:type="dxa" w:w="3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La IA distingue ad hoc genuino de hack superficial.</w:t>
            </w:r>
          </w:p>
        </w:tc>
      </w:tr>
      <w:tr>
        <w:tc>
          <w:tcPr>
            <w:tcW w:type="dxa" w:w="20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b/>
                <w:bCs/>
                <w:color w:val="E63946"/>
                <w:sz w:val="20"/>
                <w:szCs w:val="20"/>
              </w:rPr>
              <w:t xml:space="preserve">Cherry-picked</w:t>
            </w:r>
          </w:p>
        </w:tc>
        <w:tc>
          <w:tcPr>
            <w:tcW w:type="dxa" w:w="36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Tomado de otro trabajo, declarado explícitamente</w:t>
            </w:r>
          </w:p>
        </w:tc>
        <w:tc>
          <w:tcPr>
            <w:tcW w:type="dxa" w:w="36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No suma a originalidad, pero suma a honestidad y reputación.</w:t>
            </w:r>
          </w:p>
        </w:tc>
      </w:tr>
    </w:tbl>
    <w:p>
      <w:pPr>
        <w:spacing w:after="160"/>
      </w:pPr>
    </w:p>
    <w:p>
      <w:pPr>
        <w:spacing w:after="160" w:line="276"/>
      </w:pPr>
      <w:r>
        <w:rPr>
          <w:rFonts w:ascii="Arial" w:cs="Arial" w:eastAsia="Arial" w:hAnsi="Arial"/>
          <w:b/>
          <w:bCs/>
          <w:color w:val="E63946"/>
          <w:sz w:val="22"/>
          <w:szCs w:val="22"/>
        </w:rPr>
        <w:t xml:space="preserve">Regla de oro: </w:t>
      </w:r>
      <w:r>
        <w:rPr>
          <w:rFonts w:ascii="Arial" w:cs="Arial" w:eastAsia="Arial" w:hAnsi="Arial"/>
          <w:color w:val="333333"/>
          <w:sz w:val="22"/>
          <w:szCs w:val="22"/>
        </w:rPr>
        <w:t xml:space="preserve">la declaración de solidez debe ser sincera. Si alguien infla su nivel de solidez, el sistema de rating lo penaliza. La plataforma pierde todo valor sin honestidad.</w:t>
      </w:r>
    </w:p>
    <w:p>
      <w:r>
        <w:br w:type="page"/>
      </w:r>
    </w:p>
    <w:p>
      <w:pPr>
        <w:pStyle w:val="Heading1"/>
        <w:spacing w:before="400" w:after="200"/>
      </w:pPr>
      <w:r>
        <w:rPr>
          <w:rFonts w:ascii="Arial" w:cs="Arial" w:eastAsia="Arial" w:hAnsi="Arial"/>
          <w:b/>
          <w:bCs/>
          <w:color w:val="0D1B2A"/>
          <w:sz w:val="34"/>
          <w:szCs w:val="34"/>
        </w:rPr>
        <w:t xml:space="preserve">3. Sistema de Evaluación de Originalidad</w:t>
      </w:r>
    </w:p>
    <w:p>
      <w:pPr>
        <w:spacing w:after="160" w:line="276"/>
      </w:pPr>
      <w:r>
        <w:rPr>
          <w:rFonts w:ascii="Arial" w:cs="Arial" w:eastAsia="Arial" w:hAnsi="Arial"/>
          <w:color w:val="333333"/>
          <w:sz w:val="22"/>
          <w:szCs w:val="22"/>
        </w:rPr>
        <w:t xml:space="preserve">La IA evalúa cada Research Commit en dos ejes independientes que producen un perfil bidimensional de originalidad.</w:t>
      </w:r>
    </w:p>
    <w:p>
      <w:pPr>
        <w:pStyle w:val="Heading2"/>
        <w:spacing w:before="300" w:after="160"/>
      </w:pPr>
      <w:r>
        <w:rPr>
          <w:rFonts w:ascii="Arial" w:cs="Arial" w:eastAsia="Arial" w:hAnsi="Arial"/>
          <w:b/>
          <w:bCs/>
          <w:color w:val="1D3557"/>
          <w:sz w:val="28"/>
          <w:szCs w:val="28"/>
        </w:rPr>
        <w:t xml:space="preserve">3.1 Eje 1: Originalidad Teórica (OT)</w:t>
      </w:r>
    </w:p>
    <w:p>
      <w:pPr>
        <w:spacing w:after="160" w:line="276"/>
      </w:pPr>
      <w:r>
        <w:rPr>
          <w:rFonts w:ascii="Arial" w:cs="Arial" w:eastAsia="Arial" w:hAnsi="Arial"/>
          <w:color w:val="333333"/>
          <w:sz w:val="22"/>
          <w:szCs w:val="22"/>
        </w:rPr>
        <w:t xml:space="preserve">Mide cuánto del marco conceptual, las hipótesis y el contenido ad hoc es genuinamente novedoso.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000"/>
        <w:gridCol w:w="5240"/>
      </w:tblGrid>
      <w:tr>
        <w:tc>
          <w:tcPr>
            <w:tcW w:type="dxa" w:w="312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00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Peso</w:t>
            </w:r>
          </w:p>
        </w:tc>
        <w:tc>
          <w:tcPr>
            <w:tcW w:type="dxa" w:w="524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12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Novedad de hipótesis</w:t>
            </w:r>
          </w:p>
        </w:tc>
        <w:tc>
          <w:tcPr>
            <w:tcW w:type="dxa" w:w="10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52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¿La hipótesis central es original o variación menor?</w:t>
            </w:r>
          </w:p>
        </w:tc>
      </w:tr>
      <w:tr>
        <w:tc>
          <w:tcPr>
            <w:tcW w:type="dxa" w:w="312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Conexiones interdisciplinarias</w:t>
            </w:r>
          </w:p>
        </w:tc>
        <w:tc>
          <w:tcPr>
            <w:tcW w:type="dxa" w:w="1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52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¿Conecta campos que normalmente no se cruzan?</w:t>
            </w:r>
          </w:p>
        </w:tc>
      </w:tr>
      <w:tr>
        <w:tc>
          <w:tcPr>
            <w:tcW w:type="dxa" w:w="312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Contenido Ad Hoc</w:t>
            </w:r>
          </w:p>
        </w:tc>
        <w:tc>
          <w:tcPr>
            <w:tcW w:type="dxa" w:w="10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52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¿Aporta perspectivas ausentes en la literatura?</w:t>
            </w:r>
          </w:p>
        </w:tc>
      </w:tr>
      <w:tr>
        <w:tc>
          <w:tcPr>
            <w:tcW w:type="dxa" w:w="312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Divergencia del corpus</w:t>
            </w:r>
          </w:p>
        </w:tc>
        <w:tc>
          <w:tcPr>
            <w:tcW w:type="dxa" w:w="1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52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¿Cuánto se diferencia de otros usuarios con base similar?</w:t>
            </w:r>
          </w:p>
        </w:tc>
      </w:tr>
    </w:tbl>
    <w:p>
      <w:pPr>
        <w:spacing w:after="160"/>
      </w:pPr>
    </w:p>
    <w:p>
      <w:pPr>
        <w:pStyle w:val="Heading2"/>
        <w:spacing w:before="300" w:after="160"/>
      </w:pPr>
      <w:r>
        <w:rPr>
          <w:rFonts w:ascii="Arial" w:cs="Arial" w:eastAsia="Arial" w:hAnsi="Arial"/>
          <w:b/>
          <w:bCs/>
          <w:color w:val="1D3557"/>
          <w:sz w:val="28"/>
          <w:szCs w:val="28"/>
        </w:rPr>
        <w:t xml:space="preserve">3.2 Eje 2: Originalidad Formal-Computacional (OFC)</w:t>
      </w:r>
    </w:p>
    <w:p>
      <w:pPr>
        <w:spacing w:after="160" w:line="276"/>
      </w:pPr>
      <w:r>
        <w:rPr>
          <w:rFonts w:ascii="Arial" w:cs="Arial" w:eastAsia="Arial" w:hAnsi="Arial"/>
          <w:color w:val="333333"/>
          <w:sz w:val="22"/>
          <w:szCs w:val="22"/>
        </w:rPr>
        <w:t xml:space="preserve">Mide la sofisticación, originalidad y eficacia de demostraciones, código y artefactos.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000"/>
        <w:gridCol w:w="5240"/>
      </w:tblGrid>
      <w:tr>
        <w:tc>
          <w:tcPr>
            <w:tcW w:type="dxa" w:w="312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00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Peso</w:t>
            </w:r>
          </w:p>
        </w:tc>
        <w:tc>
          <w:tcPr>
            <w:tcW w:type="dxa" w:w="524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12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Originalidad del método formal</w:t>
            </w:r>
          </w:p>
        </w:tc>
        <w:tc>
          <w:tcPr>
            <w:tcW w:type="dxa" w:w="10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52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¿Las demostraciones usan enfoques nuevos o replican estándar?</w:t>
            </w:r>
          </w:p>
        </w:tc>
      </w:tr>
      <w:tr>
        <w:tc>
          <w:tcPr>
            <w:tcW w:type="dxa" w:w="312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Calidad del código</w:t>
            </w:r>
          </w:p>
        </w:tc>
        <w:tc>
          <w:tcPr>
            <w:tcW w:type="dxa" w:w="1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20%</w:t>
            </w:r>
          </w:p>
        </w:tc>
        <w:tc>
          <w:tcPr>
            <w:tcW w:type="dxa" w:w="52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Eficiencia, claridad, documentación, reproducibilidad</w:t>
            </w:r>
          </w:p>
        </w:tc>
      </w:tr>
      <w:tr>
        <w:tc>
          <w:tcPr>
            <w:tcW w:type="dxa" w:w="312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Poder de validación</w:t>
            </w:r>
          </w:p>
        </w:tc>
        <w:tc>
          <w:tcPr>
            <w:tcW w:type="dxa" w:w="10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52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¿Los artefactos prueban lo que dicen probar?</w:t>
            </w:r>
          </w:p>
        </w:tc>
      </w:tr>
      <w:tr>
        <w:tc>
          <w:tcPr>
            <w:tcW w:type="dxa" w:w="312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Sofisticación técnica</w:t>
            </w:r>
          </w:p>
        </w:tc>
        <w:tc>
          <w:tcPr>
            <w:tcW w:type="dxa" w:w="10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52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Complejidad y elegancia de las soluciones</w:t>
            </w:r>
          </w:p>
        </w:tc>
      </w:tr>
      <w:tr>
        <w:tc>
          <w:tcPr>
            <w:tcW w:type="dxa" w:w="312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Cobertura</w:t>
            </w:r>
          </w:p>
        </w:tc>
        <w:tc>
          <w:tcPr>
            <w:tcW w:type="dxa" w:w="10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52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¿Qué porcentaje de la teoría está respaldado?</w:t>
            </w:r>
          </w:p>
        </w:tc>
      </w:tr>
    </w:tbl>
    <w:p>
      <w:pPr>
        <w:spacing w:after="160"/>
      </w:pPr>
    </w:p>
    <w:p>
      <w:pPr>
        <w:pStyle w:val="Heading2"/>
        <w:spacing w:before="300" w:after="160"/>
      </w:pPr>
      <w:r>
        <w:rPr>
          <w:rFonts w:ascii="Arial" w:cs="Arial" w:eastAsia="Arial" w:hAnsi="Arial"/>
          <w:b/>
          <w:bCs/>
          <w:color w:val="1D3557"/>
          <w:sz w:val="28"/>
          <w:szCs w:val="28"/>
        </w:rPr>
        <w:t xml:space="preserve">3.3 Perfil Bidimensional</w:t>
      </w:r>
    </w:p>
    <w:p>
      <w:pPr>
        <w:spacing w:after="160" w:line="276"/>
      </w:pPr>
      <w:r>
        <w:rPr>
          <w:rFonts w:ascii="Arial" w:cs="Arial" w:eastAsia="Arial" w:hAnsi="Arial"/>
          <w:color w:val="333333"/>
          <w:sz w:val="22"/>
          <w:szCs w:val="22"/>
        </w:rPr>
        <w:t xml:space="preserve">Cada usuario tiene un perfil OT/OFC. Ejemplo: OT: 82% / OFC: 45% indica un teórico fuerte con demostraciones básicas. OT: 35% / OFC: 91% indica aparato formal poderoso sobre teoría convencional. Estos perfiles complementarios son los que generan los matches más valiosos.</w:t>
      </w:r>
    </w:p>
    <w:p>
      <w:r>
        <w:br w:type="page"/>
      </w:r>
    </w:p>
    <w:p>
      <w:pPr>
        <w:pStyle w:val="Heading1"/>
        <w:spacing w:before="400" w:after="200"/>
      </w:pPr>
      <w:r>
        <w:rPr>
          <w:rFonts w:ascii="Arial" w:cs="Arial" w:eastAsia="Arial" w:hAnsi="Arial"/>
          <w:b/>
          <w:bCs/>
          <w:color w:val="0D1B2A"/>
          <w:sz w:val="34"/>
          <w:szCs w:val="34"/>
        </w:rPr>
        <w:t xml:space="preserve">4. Sistema de Rating y Reputación</w:t>
      </w:r>
    </w:p>
    <w:p>
      <w:pPr>
        <w:spacing w:after="160" w:line="276"/>
      </w:pPr>
      <w:r>
        <w:rPr>
          <w:rFonts w:ascii="Arial" w:cs="Arial" w:eastAsia="Arial" w:hAnsi="Arial"/>
          <w:color w:val="333333"/>
          <w:sz w:val="22"/>
          <w:szCs w:val="22"/>
        </w:rPr>
        <w:t xml:space="preserve">El rating es el mecanismo que garantiza la honestidad del ecosistema. Sin él, la plataforma se llena de vendedores de humo que inflan sus commits para buscar matches asimétricos.</w:t>
      </w:r>
    </w:p>
    <w:p>
      <w:pPr>
        <w:pStyle w:val="Heading2"/>
        <w:spacing w:before="300" w:after="160"/>
      </w:pPr>
      <w:r>
        <w:rPr>
          <w:rFonts w:ascii="Arial" w:cs="Arial" w:eastAsia="Arial" w:hAnsi="Arial"/>
          <w:b/>
          <w:bCs/>
          <w:color w:val="1D3557"/>
          <w:sz w:val="28"/>
          <w:szCs w:val="28"/>
        </w:rPr>
        <w:t xml:space="preserve">4.1 Cómo Funciona el Rating</w:t>
      </w:r>
    </w:p>
    <w:p>
      <w:pPr>
        <w:pStyle w:val="ListParagraph"/>
        <w:numPr>
          <w:ilvl w:val="0"/>
          <w:numId w:val="2"/>
        </w:numPr>
        <w:spacing w:after="80" w:line="276"/>
      </w:pPr>
      <w:r>
        <w:rPr>
          <w:rFonts w:ascii="Arial" w:cs="Arial" w:eastAsia="Arial" w:hAnsi="Arial"/>
          <w:b/>
          <w:bCs/>
          <w:color w:val="333333"/>
          <w:sz w:val="22"/>
          <w:szCs w:val="22"/>
        </w:rPr>
        <w:t xml:space="preserve">Post-match: </w:t>
      </w:r>
      <w:r>
        <w:rPr>
          <w:rFonts w:ascii="Arial" w:cs="Arial" w:eastAsia="Arial" w:hAnsi="Arial"/>
          <w:color w:val="333333"/>
          <w:sz w:val="22"/>
          <w:szCs w:val="22"/>
        </w:rPr>
        <w:t xml:space="preserve">cuando dos usuarios colaboran (o intentan colaborar), ambos pueden calificar la experiencia.</w:t>
      </w:r>
    </w:p>
    <w:p>
      <w:pPr>
        <w:pStyle w:val="ListParagraph"/>
        <w:numPr>
          <w:ilvl w:val="0"/>
          <w:numId w:val="2"/>
        </w:numPr>
        <w:spacing w:after="80" w:line="276"/>
      </w:pPr>
      <w:r>
        <w:rPr>
          <w:rFonts w:ascii="Arial" w:cs="Arial" w:eastAsia="Arial" w:hAnsi="Arial"/>
          <w:b/>
          <w:bCs/>
          <w:color w:val="333333"/>
          <w:sz w:val="22"/>
          <w:szCs w:val="22"/>
        </w:rPr>
        <w:t xml:space="preserve">Dimensiones del rating: </w:t>
      </w:r>
      <w:r>
        <w:rPr>
          <w:rFonts w:ascii="Arial" w:cs="Arial" w:eastAsia="Arial" w:hAnsi="Arial"/>
          <w:color w:val="333333"/>
          <w:sz w:val="22"/>
          <w:szCs w:val="22"/>
        </w:rPr>
        <w:t xml:space="preserve">honestidad (lo que declaró coincide con lo que aportó), calidad del aporte (su contribución fue útil), nivel de esfuerzo (es genuinamente riguroso en su trabajo).</w:t>
      </w:r>
    </w:p>
    <w:p>
      <w:pPr>
        <w:pStyle w:val="ListParagraph"/>
        <w:numPr>
          <w:ilvl w:val="0"/>
          <w:numId w:val="2"/>
        </w:numPr>
        <w:spacing w:after="80" w:line="276"/>
      </w:pPr>
      <w:r>
        <w:rPr>
          <w:rFonts w:ascii="Arial" w:cs="Arial" w:eastAsia="Arial" w:hAnsi="Arial"/>
          <w:b/>
          <w:bCs/>
          <w:color w:val="333333"/>
          <w:sz w:val="22"/>
          <w:szCs w:val="22"/>
        </w:rPr>
        <w:t xml:space="preserve">Escala: </w:t>
      </w:r>
      <w:r>
        <w:rPr>
          <w:rFonts w:ascii="Arial" w:cs="Arial" w:eastAsia="Arial" w:hAnsi="Arial"/>
          <w:color w:val="333333"/>
          <w:sz w:val="22"/>
          <w:szCs w:val="22"/>
        </w:rPr>
        <w:t xml:space="preserve">1-5 estrellas en cada dimensión, con comentario opcional.</w:t>
      </w:r>
    </w:p>
    <w:p>
      <w:pPr>
        <w:pStyle w:val="ListParagraph"/>
        <w:numPr>
          <w:ilvl w:val="0"/>
          <w:numId w:val="2"/>
        </w:numPr>
        <w:spacing w:after="80" w:line="276"/>
      </w:pPr>
      <w:r>
        <w:rPr>
          <w:rFonts w:ascii="Arial" w:cs="Arial" w:eastAsia="Arial" w:hAnsi="Arial"/>
          <w:b/>
          <w:bCs/>
          <w:color w:val="333333"/>
          <w:sz w:val="22"/>
          <w:szCs w:val="22"/>
        </w:rPr>
        <w:t xml:space="preserve">Peso temporal: </w:t>
      </w:r>
      <w:r>
        <w:rPr>
          <w:rFonts w:ascii="Arial" w:cs="Arial" w:eastAsia="Arial" w:hAnsi="Arial"/>
          <w:color w:val="333333"/>
          <w:sz w:val="22"/>
          <w:szCs w:val="22"/>
        </w:rPr>
        <w:t xml:space="preserve">ratings recientes pesan más. Un usuario puede rehabilitarse mejorando su conducta.</w:t>
      </w:r>
    </w:p>
    <w:p>
      <w:pPr>
        <w:pStyle w:val="Heading2"/>
        <w:spacing w:before="300" w:after="160"/>
      </w:pPr>
      <w:r>
        <w:rPr>
          <w:rFonts w:ascii="Arial" w:cs="Arial" w:eastAsia="Arial" w:hAnsi="Arial"/>
          <w:b/>
          <w:bCs/>
          <w:color w:val="1D3557"/>
          <w:sz w:val="28"/>
          <w:szCs w:val="28"/>
        </w:rPr>
        <w:t xml:space="preserve">4.2 Impacto del Rating</w:t>
      </w:r>
    </w:p>
    <w:p>
      <w:pPr>
        <w:pStyle w:val="ListParagraph"/>
        <w:numPr>
          <w:ilvl w:val="0"/>
          <w:numId w:val="2"/>
        </w:numPr>
        <w:spacing w:after="80" w:line="276"/>
      </w:pPr>
      <w:r>
        <w:rPr>
          <w:rFonts w:ascii="Arial" w:cs="Arial" w:eastAsia="Arial" w:hAnsi="Arial"/>
          <w:b/>
          <w:bCs/>
          <w:color w:val="2D6A4F"/>
          <w:sz w:val="22"/>
          <w:szCs w:val="22"/>
        </w:rPr>
        <w:t xml:space="preserve">Rating alto (≥4.0): </w:t>
      </w:r>
      <w:r>
        <w:rPr>
          <w:rFonts w:ascii="Arial" w:cs="Arial" w:eastAsia="Arial" w:hAnsi="Arial"/>
          <w:color w:val="333333"/>
          <w:sz w:val="22"/>
          <w:szCs w:val="22"/>
        </w:rPr>
        <w:t xml:space="preserve">semáforo verde se muestra con medalla de confianza. Prioridad en resultados de matching.</w:t>
      </w:r>
    </w:p>
    <w:p>
      <w:pPr>
        <w:pStyle w:val="ListParagraph"/>
        <w:numPr>
          <w:ilvl w:val="0"/>
          <w:numId w:val="2"/>
        </w:numPr>
        <w:spacing w:after="80" w:line="276"/>
      </w:pPr>
      <w:r>
        <w:rPr>
          <w:rFonts w:ascii="Arial" w:cs="Arial" w:eastAsia="Arial" w:hAnsi="Arial"/>
          <w:b/>
          <w:bCs/>
          <w:color w:val="E9C46A"/>
          <w:sz w:val="22"/>
          <w:szCs w:val="22"/>
        </w:rPr>
        <w:t xml:space="preserve">Rating medio (2.5-3.9): </w:t>
      </w:r>
      <w:r>
        <w:rPr>
          <w:rFonts w:ascii="Arial" w:cs="Arial" w:eastAsia="Arial" w:hAnsi="Arial"/>
          <w:color w:val="333333"/>
          <w:sz w:val="22"/>
          <w:szCs w:val="22"/>
        </w:rPr>
        <w:t xml:space="preserve">sin modificadores. El matching funciona normalmente.</w:t>
      </w:r>
    </w:p>
    <w:p>
      <w:pPr>
        <w:pStyle w:val="ListParagraph"/>
        <w:numPr>
          <w:ilvl w:val="0"/>
          <w:numId w:val="2"/>
        </w:numPr>
        <w:spacing w:after="80" w:line="276"/>
      </w:pPr>
      <w:r>
        <w:rPr>
          <w:rFonts w:ascii="Arial" w:cs="Arial" w:eastAsia="Arial" w:hAnsi="Arial"/>
          <w:b/>
          <w:bCs/>
          <w:color w:val="E63946"/>
          <w:sz w:val="22"/>
          <w:szCs w:val="22"/>
        </w:rPr>
        <w:t xml:space="preserve">Rating bajo (&lt;2.5): </w:t>
      </w:r>
      <w:r>
        <w:rPr>
          <w:rFonts w:ascii="Arial" w:cs="Arial" w:eastAsia="Arial" w:hAnsi="Arial"/>
          <w:color w:val="333333"/>
          <w:sz w:val="22"/>
          <w:szCs w:val="22"/>
        </w:rPr>
        <w:t xml:space="preserve">warning visible para otros usuarios. Puede requerir verificación adicional antes de que se comparta información.</w:t>
      </w:r>
    </w:p>
    <w:p>
      <w:pPr>
        <w:pStyle w:val="ListParagraph"/>
        <w:numPr>
          <w:ilvl w:val="0"/>
          <w:numId w:val="2"/>
        </w:numPr>
        <w:spacing w:after="80" w:line="276"/>
      </w:pPr>
      <w:r>
        <w:rPr>
          <w:rFonts w:ascii="Arial" w:cs="Arial" w:eastAsia="Arial" w:hAnsi="Arial"/>
          <w:b/>
          <w:bCs/>
          <w:color w:val="E63946"/>
          <w:sz w:val="22"/>
          <w:szCs w:val="22"/>
        </w:rPr>
        <w:t xml:space="preserve">Rating crítico (&lt;1.5): </w:t>
      </w:r>
      <w:r>
        <w:rPr>
          <w:rFonts w:ascii="Arial" w:cs="Arial" w:eastAsia="Arial" w:hAnsi="Arial"/>
          <w:color w:val="333333"/>
          <w:sz w:val="22"/>
          <w:szCs w:val="22"/>
        </w:rPr>
        <w:t xml:space="preserve">usuario flagueado. Sus matches se muestran con advertencia explícita. Acceso limitado a revelación gradual.</w:t>
      </w:r>
    </w:p>
    <w:p>
      <w:pPr>
        <w:pStyle w:val="Heading2"/>
        <w:spacing w:before="300" w:after="160"/>
      </w:pPr>
      <w:r>
        <w:rPr>
          <w:rFonts w:ascii="Arial" w:cs="Arial" w:eastAsia="Arial" w:hAnsi="Arial"/>
          <w:b/>
          <w:bCs/>
          <w:color w:val="1D3557"/>
          <w:sz w:val="28"/>
          <w:szCs w:val="28"/>
        </w:rPr>
        <w:t xml:space="preserve">4.3 Protección contra Abuso del Rating</w:t>
      </w:r>
    </w:p>
    <w:p>
      <w:pPr>
        <w:pStyle w:val="ListParagraph"/>
        <w:numPr>
          <w:ilvl w:val="0"/>
          <w:numId w:val="2"/>
        </w:numPr>
        <w:spacing w:after="80" w:line="276"/>
      </w:pPr>
      <w:r>
        <w:rPr>
          <w:rFonts w:ascii="Arial" w:cs="Arial" w:eastAsia="Arial" w:hAnsi="Arial"/>
          <w:b/>
          <w:bCs/>
          <w:color w:val="333333"/>
          <w:sz w:val="22"/>
          <w:szCs w:val="22"/>
        </w:rPr>
        <w:t xml:space="preserve">Sin retaliación: </w:t>
      </w:r>
      <w:r>
        <w:rPr>
          <w:rFonts w:ascii="Arial" w:cs="Arial" w:eastAsia="Arial" w:hAnsi="Arial"/>
          <w:color w:val="333333"/>
          <w:sz w:val="22"/>
          <w:szCs w:val="22"/>
        </w:rPr>
        <w:t xml:space="preserve">el rating es anónimo hasta que ambas partes califican. No podés ver el rating del otro hasta que ambos completaron.</w:t>
      </w:r>
    </w:p>
    <w:p>
      <w:pPr>
        <w:pStyle w:val="ListParagraph"/>
        <w:numPr>
          <w:ilvl w:val="0"/>
          <w:numId w:val="2"/>
        </w:numPr>
        <w:spacing w:after="80" w:line="276"/>
      </w:pPr>
      <w:r>
        <w:rPr>
          <w:rFonts w:ascii="Arial" w:cs="Arial" w:eastAsia="Arial" w:hAnsi="Arial"/>
          <w:b/>
          <w:bCs/>
          <w:color w:val="333333"/>
          <w:sz w:val="22"/>
          <w:szCs w:val="22"/>
        </w:rPr>
        <w:t xml:space="preserve">Detección de patrones: </w:t>
      </w:r>
      <w:r>
        <w:rPr>
          <w:rFonts w:ascii="Arial" w:cs="Arial" w:eastAsia="Arial" w:hAnsi="Arial"/>
          <w:color w:val="333333"/>
          <w:sz w:val="22"/>
          <w:szCs w:val="22"/>
        </w:rPr>
        <w:t xml:space="preserve">la IA detecta ratings vengtativos (siempre 1 estrella) o inflados (siempre 5 estrellas entre aliados).</w:t>
      </w:r>
    </w:p>
    <w:p>
      <w:pPr>
        <w:pStyle w:val="ListParagraph"/>
        <w:numPr>
          <w:ilvl w:val="0"/>
          <w:numId w:val="2"/>
        </w:numPr>
        <w:spacing w:after="80" w:line="276"/>
      </w:pPr>
      <w:r>
        <w:rPr>
          <w:rFonts w:ascii="Arial" w:cs="Arial" w:eastAsia="Arial" w:hAnsi="Arial"/>
          <w:b/>
          <w:bCs/>
          <w:color w:val="333333"/>
          <w:sz w:val="22"/>
          <w:szCs w:val="22"/>
        </w:rPr>
        <w:t xml:space="preserve">Rating mínimo de interacción: </w:t>
      </w:r>
      <w:r>
        <w:rPr>
          <w:rFonts w:ascii="Arial" w:cs="Arial" w:eastAsia="Arial" w:hAnsi="Arial"/>
          <w:color w:val="333333"/>
          <w:sz w:val="22"/>
          <w:szCs w:val="22"/>
        </w:rPr>
        <w:t xml:space="preserve">solo se puede ratear después de un intercambio mínimo de información, no antes.</w:t>
      </w:r>
    </w:p>
    <w:p>
      <w:r>
        <w:br w:type="page"/>
      </w:r>
    </w:p>
    <w:p>
      <w:pPr>
        <w:pStyle w:val="Heading1"/>
        <w:spacing w:before="400" w:after="200"/>
      </w:pPr>
      <w:r>
        <w:rPr>
          <w:rFonts w:ascii="Arial" w:cs="Arial" w:eastAsia="Arial" w:hAnsi="Arial"/>
          <w:b/>
          <w:bCs/>
          <w:color w:val="0D1B2A"/>
          <w:sz w:val="34"/>
          <w:szCs w:val="34"/>
        </w:rPr>
        <w:t xml:space="preserve">5. Algoritmo de Matching</w:t>
      </w:r>
    </w:p>
    <w:p>
      <w:pPr>
        <w:pStyle w:val="Heading2"/>
        <w:spacing w:before="300" w:after="160"/>
      </w:pPr>
      <w:r>
        <w:rPr>
          <w:rFonts w:ascii="Arial" w:cs="Arial" w:eastAsia="Arial" w:hAnsi="Arial"/>
          <w:b/>
          <w:bCs/>
          <w:color w:val="1D3557"/>
          <w:sz w:val="28"/>
          <w:szCs w:val="28"/>
        </w:rPr>
        <w:t xml:space="preserve">5.1 Proceso de Match</w:t>
      </w:r>
    </w:p>
    <w:p>
      <w:pPr>
        <w:spacing w:after="160" w:line="276"/>
      </w:pPr>
      <w:r>
        <w:rPr>
          <w:rFonts w:ascii="Arial" w:cs="Arial" w:eastAsia="Arial" w:hAnsi="Arial"/>
          <w:b/>
          <w:bCs/>
          <w:color w:val="333333"/>
          <w:sz w:val="22"/>
          <w:szCs w:val="22"/>
        </w:rPr>
        <w:t xml:space="preserve">Fase 1 — Detección de base común: </w:t>
      </w:r>
      <w:r>
        <w:rPr>
          <w:rFonts w:ascii="Arial" w:cs="Arial" w:eastAsia="Arial" w:hAnsi="Arial"/>
          <w:color w:val="333333"/>
          <w:sz w:val="22"/>
          <w:szCs w:val="22"/>
        </w:rPr>
        <w:t xml:space="preserve">la IA identifica usuarios cuya Teoría Base tiene alta similitud semántica (mismo dominio, subdominio y problema).</w:t>
      </w:r>
    </w:p>
    <w:p>
      <w:pPr>
        <w:spacing w:after="160" w:line="276"/>
      </w:pPr>
      <w:r>
        <w:rPr>
          <w:rFonts w:ascii="Arial" w:cs="Arial" w:eastAsia="Arial" w:hAnsi="Arial"/>
          <w:b/>
          <w:bCs/>
          <w:color w:val="333333"/>
          <w:sz w:val="22"/>
          <w:szCs w:val="22"/>
        </w:rPr>
        <w:t xml:space="preserve">Fase 2 — Cálculo de complementariedad: </w:t>
      </w:r>
      <w:r>
        <w:rPr>
          <w:rFonts w:ascii="Arial" w:cs="Arial" w:eastAsia="Arial" w:hAnsi="Arial"/>
          <w:color w:val="333333"/>
          <w:sz w:val="22"/>
          <w:szCs w:val="22"/>
        </w:rPr>
        <w:t xml:space="preserve">para cada par, se calcula la distancia de originalidad. El match ideal maximiza la distancia en al menos un eje (OT o OFC) manteniendo la cercanía en la base.</w:t>
      </w:r>
    </w:p>
    <w:p>
      <w:pPr>
        <w:spacing w:after="160" w:line="276"/>
      </w:pPr>
      <w:r>
        <w:rPr>
          <w:rFonts w:ascii="Arial" w:cs="Arial" w:eastAsia="Arial" w:hAnsi="Arial"/>
          <w:b/>
          <w:bCs/>
          <w:color w:val="333333"/>
          <w:sz w:val="22"/>
          <w:szCs w:val="22"/>
        </w:rPr>
        <w:t xml:space="preserve">Fase 3 — Evaluación bilateral: </w:t>
      </w:r>
      <w:r>
        <w:rPr>
          <w:rFonts w:ascii="Arial" w:cs="Arial" w:eastAsia="Arial" w:hAnsi="Arial"/>
          <w:color w:val="333333"/>
          <w:sz w:val="22"/>
          <w:szCs w:val="22"/>
        </w:rPr>
        <w:t xml:space="preserve">se calcula cuánto ganaría cada parte y se asigna el semáforo.</w:t>
      </w:r>
    </w:p>
    <w:p>
      <w:pPr>
        <w:pStyle w:val="Heading2"/>
        <w:spacing w:before="300" w:after="160"/>
      </w:pPr>
      <w:r>
        <w:rPr>
          <w:rFonts w:ascii="Arial" w:cs="Arial" w:eastAsia="Arial" w:hAnsi="Arial"/>
          <w:b/>
          <w:bCs/>
          <w:color w:val="1D3557"/>
          <w:sz w:val="28"/>
          <w:szCs w:val="28"/>
        </w:rPr>
        <w:t xml:space="preserve">5.2 Reglas de Matching</w:t>
      </w:r>
    </w:p>
    <w:p>
      <w:pPr>
        <w:pStyle w:val="ListParagraph"/>
        <w:numPr>
          <w:ilvl w:val="0"/>
          <w:numId w:val="2"/>
        </w:numPr>
        <w:spacing w:after="80" w:line="276"/>
      </w:pPr>
      <w:r>
        <w:rPr>
          <w:rFonts w:ascii="Arial" w:cs="Arial" w:eastAsia="Arial" w:hAnsi="Arial"/>
          <w:b/>
          <w:bCs/>
          <w:color w:val="E63946"/>
          <w:sz w:val="22"/>
          <w:szCs w:val="22"/>
        </w:rPr>
        <w:t xml:space="preserve">Directo: </w:t>
      </w:r>
      <w:r>
        <w:rPr>
          <w:rFonts w:ascii="Arial" w:cs="Arial" w:eastAsia="Arial" w:hAnsi="Arial"/>
          <w:color w:val="333333"/>
          <w:sz w:val="22"/>
          <w:szCs w:val="22"/>
        </w:rPr>
        <w:t xml:space="preserve">OBJECTIVE(A) ≈ OBJECTIVE(B) → ambos buscan lo mismo.</w:t>
      </w:r>
    </w:p>
    <w:p>
      <w:pPr>
        <w:pStyle w:val="ListParagraph"/>
        <w:numPr>
          <w:ilvl w:val="0"/>
          <w:numId w:val="2"/>
        </w:numPr>
        <w:spacing w:after="80" w:line="276"/>
      </w:pPr>
      <w:r>
        <w:rPr>
          <w:rFonts w:ascii="Arial" w:cs="Arial" w:eastAsia="Arial" w:hAnsi="Arial"/>
          <w:b/>
          <w:bCs/>
          <w:color w:val="E63946"/>
          <w:sz w:val="22"/>
          <w:szCs w:val="22"/>
        </w:rPr>
        <w:t xml:space="preserve">Indirecto (pull): </w:t>
      </w:r>
      <w:r>
        <w:rPr>
          <w:rFonts w:ascii="Arial" w:cs="Arial" w:eastAsia="Arial" w:hAnsi="Arial"/>
          <w:color w:val="333333"/>
          <w:sz w:val="22"/>
          <w:szCs w:val="22"/>
        </w:rPr>
        <w:t xml:space="preserve">NEED_HELP(A) ≈ CAN_OFFER(B) → B tiene lo que A necesita.</w:t>
      </w:r>
    </w:p>
    <w:p>
      <w:pPr>
        <w:pStyle w:val="ListParagraph"/>
        <w:numPr>
          <w:ilvl w:val="0"/>
          <w:numId w:val="2"/>
        </w:numPr>
        <w:spacing w:after="80" w:line="276"/>
      </w:pPr>
      <w:r>
        <w:rPr>
          <w:rFonts w:ascii="Arial" w:cs="Arial" w:eastAsia="Arial" w:hAnsi="Arial"/>
          <w:b/>
          <w:bCs/>
          <w:color w:val="E63946"/>
          <w:sz w:val="22"/>
          <w:szCs w:val="22"/>
        </w:rPr>
        <w:t xml:space="preserve">Indirecto (warning): </w:t>
      </w:r>
      <w:r>
        <w:rPr>
          <w:rFonts w:ascii="Arial" w:cs="Arial" w:eastAsia="Arial" w:hAnsi="Arial"/>
          <w:color w:val="333333"/>
          <w:sz w:val="22"/>
          <w:szCs w:val="22"/>
        </w:rPr>
        <w:t xml:space="preserve">CRITICAL_PATH(A) ≈ DEAD_ENDS(B) → B ya probó lo que A planea hacer.</w:t>
      </w:r>
    </w:p>
    <w:p>
      <w:pPr>
        <w:pStyle w:val="ListParagraph"/>
        <w:numPr>
          <w:ilvl w:val="0"/>
          <w:numId w:val="2"/>
        </w:numPr>
        <w:spacing w:after="80" w:line="276"/>
      </w:pPr>
      <w:r>
        <w:rPr>
          <w:rFonts w:ascii="Arial" w:cs="Arial" w:eastAsia="Arial" w:hAnsi="Arial"/>
          <w:b/>
          <w:bCs/>
          <w:color w:val="E63946"/>
          <w:sz w:val="22"/>
          <w:szCs w:val="22"/>
        </w:rPr>
        <w:t xml:space="preserve">Stack overlap: </w:t>
      </w:r>
      <w:r>
        <w:rPr>
          <w:rFonts w:ascii="Arial" w:cs="Arial" w:eastAsia="Arial" w:hAnsi="Arial"/>
          <w:color w:val="333333"/>
          <w:sz w:val="22"/>
          <w:szCs w:val="22"/>
        </w:rPr>
        <w:t xml:space="preserve">compatibilidad técnica para eventual merge de repos.</w:t>
      </w:r>
    </w:p>
    <w:p>
      <w:pPr>
        <w:pStyle w:val="Heading2"/>
        <w:spacing w:before="300" w:after="160"/>
      </w:pPr>
      <w:r>
        <w:rPr>
          <w:rFonts w:ascii="Arial" w:cs="Arial" w:eastAsia="Arial" w:hAnsi="Arial"/>
          <w:b/>
          <w:bCs/>
          <w:color w:val="1D3557"/>
          <w:sz w:val="28"/>
          <w:szCs w:val="28"/>
        </w:rPr>
        <w:t xml:space="preserve">5.3 Semáforo de Conveniencia Bilateral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Indicador</w:t>
            </w:r>
          </w:p>
        </w:tc>
        <w:tc>
          <w:tcPr>
            <w:tcW w:type="dxa" w:w="378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Condición</w:t>
            </w:r>
          </w:p>
        </w:tc>
        <w:tc>
          <w:tcPr>
            <w:tcW w:type="dxa" w:w="378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18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b/>
                <w:bCs/>
                <w:color w:val="2D6A4F"/>
                <w:sz w:val="20"/>
                <w:szCs w:val="20"/>
              </w:rPr>
              <w:t xml:space="preserve">VERDE</w:t>
            </w:r>
          </w:p>
        </w:tc>
        <w:tc>
          <w:tcPr>
            <w:tcW w:type="dxa" w:w="37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Ambos aportan &gt;40% de originalidad complementaria</w:t>
            </w:r>
          </w:p>
        </w:tc>
        <w:tc>
          <w:tcPr>
            <w:tcW w:type="dxa" w:w="37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Alta conveniencia mutua. Colaboración recomendada.</w:t>
            </w:r>
          </w:p>
        </w:tc>
      </w:tr>
      <w:tr>
        <w:tc>
          <w:tcPr>
            <w:tcW w:type="dxa" w:w="18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E9C46A"/>
                <w:sz w:val="20"/>
                <w:szCs w:val="20"/>
              </w:rPr>
              <w:t xml:space="preserve">AMARILLO</w:t>
            </w:r>
          </w:p>
        </w:tc>
        <w:tc>
          <w:tcPr>
            <w:tcW w:type="dxa" w:w="37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Asimetría &gt;20 puntos entre ambos</w:t>
            </w:r>
          </w:p>
        </w:tc>
        <w:tc>
          <w:tcPr>
            <w:tcW w:type="dxa" w:w="37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Funcional pero requiere negociación de términos.</w:t>
            </w:r>
          </w:p>
        </w:tc>
      </w:tr>
      <w:tr>
        <w:tc>
          <w:tcPr>
            <w:tcW w:type="dxa" w:w="18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b/>
                <w:bCs/>
                <w:color w:val="E63946"/>
                <w:sz w:val="20"/>
                <w:szCs w:val="20"/>
              </w:rPr>
              <w:t xml:space="preserve">ROJO</w:t>
            </w:r>
          </w:p>
        </w:tc>
        <w:tc>
          <w:tcPr>
            <w:tcW w:type="dxa" w:w="37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Ambos aportan &lt;25% o superposición &gt;75%</w:t>
            </w:r>
          </w:p>
        </w:tc>
        <w:tc>
          <w:tcPr>
            <w:tcW w:type="dxa" w:w="37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Baja conveniencia. Alta redundancia.</w:t>
            </w:r>
          </w:p>
        </w:tc>
      </w:tr>
    </w:tbl>
    <w:p>
      <w:pPr>
        <w:spacing w:after="160"/>
      </w:pPr>
    </w:p>
    <w:p>
      <w:r>
        <w:br w:type="page"/>
      </w:r>
    </w:p>
    <w:p>
      <w:pPr>
        <w:pStyle w:val="Heading1"/>
        <w:spacing w:before="400" w:after="200"/>
      </w:pPr>
      <w:r>
        <w:rPr>
          <w:rFonts w:ascii="Arial" w:cs="Arial" w:eastAsia="Arial" w:hAnsi="Arial"/>
          <w:b/>
          <w:bCs/>
          <w:color w:val="0D1B2A"/>
          <w:sz w:val="34"/>
          <w:szCs w:val="34"/>
        </w:rPr>
        <w:t xml:space="preserve">6. Seguridad y Privacidad</w:t>
      </w:r>
    </w:p>
    <w:p>
      <w:pPr>
        <w:spacing w:after="160" w:line="276"/>
      </w:pPr>
      <w:r>
        <w:rPr>
          <w:rFonts w:ascii="Arial" w:cs="Arial" w:eastAsia="Arial" w:hAnsi="Arial"/>
          <w:b/>
          <w:bCs/>
          <w:i/>
          <w:iCs/>
          <w:color w:val="333333"/>
          <w:sz w:val="22"/>
          <w:szCs w:val="22"/>
        </w:rPr>
        <w:t xml:space="preserve">La seguridad no es una feature. Es la condición de existencia de la plataforma. </w:t>
      </w:r>
      <w:r>
        <w:rPr>
          <w:rFonts w:ascii="Arial" w:cs="Arial" w:eastAsia="Arial" w:hAnsi="Arial"/>
          <w:color w:val="333333"/>
          <w:sz w:val="22"/>
          <w:szCs w:val="22"/>
        </w:rPr>
        <w:t xml:space="preserve">Sin garantías de que la propiedad intelectual está protegida, el sistema no tiene razón de ser.</w:t>
      </w:r>
    </w:p>
    <w:p>
      <w:pPr>
        <w:pStyle w:val="Heading2"/>
        <w:spacing w:before="300" w:after="160"/>
      </w:pPr>
      <w:r>
        <w:rPr>
          <w:rFonts w:ascii="Arial" w:cs="Arial" w:eastAsia="Arial" w:hAnsi="Arial"/>
          <w:b/>
          <w:bCs/>
          <w:color w:val="1D3557"/>
          <w:sz w:val="28"/>
          <w:szCs w:val="28"/>
        </w:rPr>
        <w:t xml:space="preserve">6.1 Principio Zero-Knowledge</w:t>
      </w:r>
    </w:p>
    <w:p>
      <w:pPr>
        <w:spacing w:after="160" w:line="276"/>
      </w:pPr>
      <w:r>
        <w:rPr>
          <w:rFonts w:ascii="Arial" w:cs="Arial" w:eastAsia="Arial" w:hAnsi="Arial"/>
          <w:color w:val="333333"/>
          <w:sz w:val="22"/>
          <w:szCs w:val="22"/>
        </w:rPr>
        <w:t xml:space="preserve">Ningún actor — incluyendo administradores, otros usuarios, la empresa operadora y terceros — puede acceder al contenido real del trabajo de un usuario. La IA opera en entornos aislados y solo emite scores numéricos.</w:t>
      </w:r>
    </w:p>
    <w:p>
      <w:pPr>
        <w:pStyle w:val="Heading2"/>
        <w:spacing w:before="300" w:after="160"/>
      </w:pPr>
      <w:r>
        <w:rPr>
          <w:rFonts w:ascii="Arial" w:cs="Arial" w:eastAsia="Arial" w:hAnsi="Arial"/>
          <w:b/>
          <w:bCs/>
          <w:color w:val="1D3557"/>
          <w:sz w:val="28"/>
          <w:szCs w:val="28"/>
        </w:rPr>
        <w:t xml:space="preserve">6.2 Modelo de Reveal Progresivo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640"/>
        <w:gridCol w:w="2680"/>
      </w:tblGrid>
      <w:tr>
        <w:tc>
          <w:tcPr>
            <w:tcW w:type="dxa" w:w="140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264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Qué se comparte</w:t>
            </w:r>
          </w:p>
        </w:tc>
        <w:tc>
          <w:tcPr>
            <w:tcW w:type="dxa" w:w="264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Quién lo ve</w:t>
            </w:r>
          </w:p>
        </w:tc>
        <w:tc>
          <w:tcPr>
            <w:tcW w:type="dxa" w:w="268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Consentimiento</w:t>
            </w:r>
          </w:p>
        </w:tc>
      </w:tr>
      <w:tr>
        <w:tc>
          <w:tcPr>
            <w:tcW w:type="dxa" w:w="14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1. Índice</w:t>
            </w:r>
          </w:p>
        </w:tc>
        <w:tc>
          <w:tcPr>
            <w:tcW w:type="dxa" w:w="26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Tags + objetivo hasheado</w:t>
            </w:r>
          </w:p>
        </w:tc>
        <w:tc>
          <w:tcPr>
            <w:tcW w:type="dxa" w:w="26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Algoritmo de búsqueda</w:t>
            </w:r>
          </w:p>
        </w:tc>
        <w:tc>
          <w:tcPr>
            <w:tcW w:type="dxa" w:w="26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Automático al publicar</w:t>
            </w:r>
          </w:p>
        </w:tc>
      </w:tr>
      <w:tr>
        <w:tc>
          <w:tcPr>
            <w:tcW w:type="dxa" w:w="1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2. Candidato</w:t>
            </w:r>
          </w:p>
        </w:tc>
        <w:tc>
          <w:tcPr>
            <w:tcW w:type="dxa" w:w="26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Scores OT/OFC + semáforo</w:t>
            </w:r>
          </w:p>
        </w:tc>
        <w:tc>
          <w:tcPr>
            <w:tcW w:type="dxa" w:w="26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Claude local del otro usuario</w:t>
            </w:r>
          </w:p>
        </w:tc>
        <w:tc>
          <w:tcPr>
            <w:tcW w:type="dxa" w:w="2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Automático (datos anonimizados)</w:t>
            </w:r>
          </w:p>
        </w:tc>
      </w:tr>
      <w:tr>
        <w:tc>
          <w:tcPr>
            <w:tcW w:type="dxa" w:w="14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3. Detalle</w:t>
            </w:r>
          </w:p>
        </w:tc>
        <w:tc>
          <w:tcPr>
            <w:tcW w:type="dxa" w:w="26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Commit completo desencriptado</w:t>
            </w:r>
          </w:p>
        </w:tc>
        <w:tc>
          <w:tcPr>
            <w:tcW w:type="dxa" w:w="26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Claude local + usuario</w:t>
            </w:r>
          </w:p>
        </w:tc>
        <w:tc>
          <w:tcPr>
            <w:tcW w:type="dxa" w:w="268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Aprobación explícita de ambos</w:t>
            </w:r>
          </w:p>
        </w:tc>
      </w:tr>
      <w:tr>
        <w:tc>
          <w:tcPr>
            <w:tcW w:type="dxa" w:w="14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4. Código</w:t>
            </w:r>
          </w:p>
        </w:tc>
        <w:tc>
          <w:tcPr>
            <w:tcW w:type="dxa" w:w="26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Archivos seleccionados del repo</w:t>
            </w:r>
          </w:p>
        </w:tc>
        <w:tc>
          <w:tcPr>
            <w:tcW w:type="dxa" w:w="26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Ambos usuarios</w:t>
            </w:r>
          </w:p>
        </w:tc>
        <w:tc>
          <w:tcPr>
            <w:tcW w:type="dxa" w:w="2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Selección manual de archivos</w:t>
            </w:r>
          </w:p>
        </w:tc>
      </w:tr>
    </w:tbl>
    <w:p>
      <w:pPr>
        <w:spacing w:after="160"/>
      </w:pPr>
    </w:p>
    <w:p>
      <w:pPr>
        <w:pStyle w:val="Heading2"/>
        <w:spacing w:before="300" w:after="160"/>
      </w:pPr>
      <w:r>
        <w:rPr>
          <w:rFonts w:ascii="Arial" w:cs="Arial" w:eastAsia="Arial" w:hAnsi="Arial"/>
          <w:b/>
          <w:bCs/>
          <w:color w:val="1D3557"/>
          <w:sz w:val="28"/>
          <w:szCs w:val="28"/>
        </w:rPr>
        <w:t xml:space="preserve">6.3 Sin Chat: Preservando la Originalidad</w:t>
      </w:r>
    </w:p>
    <w:p>
      <w:pPr>
        <w:spacing w:after="160" w:line="276"/>
      </w:pPr>
      <w:r>
        <w:rPr>
          <w:rFonts w:ascii="Arial" w:cs="Arial" w:eastAsia="Arial" w:hAnsi="Arial"/>
          <w:color w:val="333333"/>
          <w:sz w:val="22"/>
          <w:szCs w:val="22"/>
        </w:rPr>
        <w:t xml:space="preserve">La decisión de no incluir chat es deliberada. El chat genera ruido, sesgo grupal, y diluye la originalidad de cada equipo. En cambio, se usa una carpeta compartida de necesidades (/needs/) donde se documentan pedidos específicos de ayuda. Es como un sistema de pull requests intelectuales.</w:t>
      </w:r>
    </w:p>
    <w:p>
      <w:pPr>
        <w:pStyle w:val="Heading2"/>
        <w:spacing w:before="300" w:after="160"/>
      </w:pPr>
      <w:r>
        <w:rPr>
          <w:rFonts w:ascii="Arial" w:cs="Arial" w:eastAsia="Arial" w:hAnsi="Arial"/>
          <w:b/>
          <w:bCs/>
          <w:color w:val="1D3557"/>
          <w:sz w:val="28"/>
          <w:szCs w:val="28"/>
        </w:rPr>
        <w:t xml:space="preserve">6.4 Encriptación</w:t>
      </w:r>
    </w:p>
    <w:p>
      <w:pPr>
        <w:pStyle w:val="ListParagraph"/>
        <w:numPr>
          <w:ilvl w:val="0"/>
          <w:numId w:val="2"/>
        </w:numPr>
        <w:spacing w:after="80" w:line="276"/>
      </w:pPr>
      <w:r>
        <w:rPr>
          <w:rFonts w:ascii="Arial" w:cs="Arial" w:eastAsia="Arial" w:hAnsi="Arial"/>
          <w:color w:val="333333"/>
          <w:sz w:val="22"/>
          <w:szCs w:val="22"/>
        </w:rPr>
        <w:t xml:space="preserve">AES-256 para datos en reposo en la base de datos</w:t>
      </w:r>
    </w:p>
    <w:p>
      <w:pPr>
        <w:pStyle w:val="ListParagraph"/>
        <w:numPr>
          <w:ilvl w:val="0"/>
          <w:numId w:val="2"/>
        </w:numPr>
        <w:spacing w:after="80" w:line="276"/>
      </w:pPr>
      <w:r>
        <w:rPr>
          <w:rFonts w:ascii="Arial" w:cs="Arial" w:eastAsia="Arial" w:hAnsi="Arial"/>
          <w:color w:val="333333"/>
          <w:sz w:val="22"/>
          <w:szCs w:val="22"/>
        </w:rPr>
        <w:t xml:space="preserve">TLS 1.3 con Certificate Pinning para datos en tránsito</w:t>
      </w:r>
    </w:p>
    <w:p>
      <w:pPr>
        <w:pStyle w:val="ListParagraph"/>
        <w:numPr>
          <w:ilvl w:val="0"/>
          <w:numId w:val="2"/>
        </w:numPr>
        <w:spacing w:after="80" w:line="276"/>
      </w:pPr>
      <w:r>
        <w:rPr>
          <w:rFonts w:ascii="Arial" w:cs="Arial" w:eastAsia="Arial" w:hAnsi="Arial"/>
          <w:color w:val="333333"/>
          <w:sz w:val="22"/>
          <w:szCs w:val="22"/>
        </w:rPr>
        <w:t xml:space="preserve">Cifrado homomórfico para evaluación sin descifrar (producción)</w:t>
      </w:r>
    </w:p>
    <w:p>
      <w:pPr>
        <w:pStyle w:val="ListParagraph"/>
        <w:numPr>
          <w:ilvl w:val="0"/>
          <w:numId w:val="2"/>
        </w:numPr>
        <w:spacing w:after="80" w:line="276"/>
      </w:pPr>
      <w:r>
        <w:rPr>
          <w:rFonts w:ascii="Arial" w:cs="Arial" w:eastAsia="Arial" w:hAnsi="Arial"/>
          <w:color w:val="333333"/>
          <w:sz w:val="22"/>
          <w:szCs w:val="22"/>
        </w:rPr>
        <w:t xml:space="preserve">Enclaves seguros (TEE: Intel SGX / ARM TrustZone) para el motor de IA</w:t>
      </w:r>
    </w:p>
    <w:p>
      <w:pPr>
        <w:pStyle w:val="ListParagraph"/>
        <w:numPr>
          <w:ilvl w:val="0"/>
          <w:numId w:val="2"/>
        </w:numPr>
        <w:spacing w:after="80" w:line="276"/>
      </w:pPr>
      <w:r>
        <w:rPr>
          <w:rFonts w:ascii="Arial" w:cs="Arial" w:eastAsia="Arial" w:hAnsi="Arial"/>
          <w:color w:val="333333"/>
          <w:sz w:val="22"/>
          <w:szCs w:val="22"/>
        </w:rPr>
        <w:t xml:space="preserve">Fragmentación criptográfica distribuida para almacenamiento</w:t>
      </w:r>
    </w:p>
    <w:p>
      <w:r>
        <w:br w:type="page"/>
      </w:r>
    </w:p>
    <w:p>
      <w:pPr>
        <w:pStyle w:val="Heading1"/>
        <w:spacing w:before="400" w:after="200"/>
      </w:pPr>
      <w:r>
        <w:rPr>
          <w:rFonts w:ascii="Arial" w:cs="Arial" w:eastAsia="Arial" w:hAnsi="Arial"/>
          <w:b/>
          <w:bCs/>
          <w:color w:val="0D1B2A"/>
          <w:sz w:val="34"/>
          <w:szCs w:val="34"/>
        </w:rPr>
        <w:t xml:space="preserve">7. Arquitectura Técnica</w:t>
      </w:r>
    </w:p>
    <w:p>
      <w:pPr>
        <w:pStyle w:val="Heading2"/>
        <w:spacing w:before="300" w:after="160"/>
      </w:pPr>
      <w:r>
        <w:rPr>
          <w:rFonts w:ascii="Arial" w:cs="Arial" w:eastAsia="Arial" w:hAnsi="Arial"/>
          <w:b/>
          <w:bCs/>
          <w:color w:val="1D3557"/>
          <w:sz w:val="28"/>
          <w:szCs w:val="28"/>
        </w:rPr>
        <w:t xml:space="preserve">7.1 Modelo Económico Descentralizado</w:t>
      </w:r>
    </w:p>
    <w:p>
      <w:pPr>
        <w:spacing w:after="160" w:line="276"/>
      </w:pPr>
      <w:r>
        <w:rPr>
          <w:rFonts w:ascii="Arial" w:cs="Arial" w:eastAsia="Arial" w:hAnsi="Arial"/>
          <w:color w:val="333333"/>
          <w:sz w:val="22"/>
          <w:szCs w:val="22"/>
        </w:rPr>
        <w:t xml:space="preserve">El diseño elimina la necesidad de una API centralizada costosa:</w:t>
      </w:r>
    </w:p>
    <w:p>
      <w:pPr>
        <w:pStyle w:val="ListParagraph"/>
        <w:numPr>
          <w:ilvl w:val="0"/>
          <w:numId w:val="2"/>
        </w:numPr>
        <w:spacing w:after="80" w:line="276"/>
      </w:pPr>
      <w:r>
        <w:rPr>
          <w:rFonts w:ascii="Arial" w:cs="Arial" w:eastAsia="Arial" w:hAnsi="Arial"/>
          <w:b/>
          <w:bCs/>
          <w:color w:val="333333"/>
          <w:sz w:val="22"/>
          <w:szCs w:val="22"/>
        </w:rPr>
        <w:t xml:space="preserve">Búsqueda (Algolia free tier): </w:t>
      </w:r>
      <w:r>
        <w:rPr>
          <w:rFonts w:ascii="Arial" w:cs="Arial" w:eastAsia="Arial" w:hAnsi="Arial"/>
          <w:color w:val="333333"/>
          <w:sz w:val="22"/>
          <w:szCs w:val="22"/>
        </w:rPr>
        <w:t xml:space="preserve">10,000 registros, 10,000 búsquedas/mes.</w:t>
      </w:r>
    </w:p>
    <w:p>
      <w:pPr>
        <w:pStyle w:val="ListParagraph"/>
        <w:numPr>
          <w:ilvl w:val="0"/>
          <w:numId w:val="2"/>
        </w:numPr>
        <w:spacing w:after="80" w:line="276"/>
      </w:pPr>
      <w:r>
        <w:rPr>
          <w:rFonts w:ascii="Arial" w:cs="Arial" w:eastAsia="Arial" w:hAnsi="Arial"/>
          <w:b/>
          <w:bCs/>
          <w:color w:val="333333"/>
          <w:sz w:val="22"/>
          <w:szCs w:val="22"/>
        </w:rPr>
        <w:t xml:space="preserve">Almacenamiento (Supabase free tier): </w:t>
      </w:r>
      <w:r>
        <w:rPr>
          <w:rFonts w:ascii="Arial" w:cs="Arial" w:eastAsia="Arial" w:hAnsi="Arial"/>
          <w:color w:val="333333"/>
          <w:sz w:val="22"/>
          <w:szCs w:val="22"/>
        </w:rPr>
        <w:t xml:space="preserve">500MB, 50,000 filas.</w:t>
      </w:r>
    </w:p>
    <w:p>
      <w:pPr>
        <w:pStyle w:val="ListParagraph"/>
        <w:numPr>
          <w:ilvl w:val="0"/>
          <w:numId w:val="2"/>
        </w:numPr>
        <w:spacing w:after="80" w:line="276"/>
      </w:pPr>
      <w:r>
        <w:rPr>
          <w:rFonts w:ascii="Arial" w:cs="Arial" w:eastAsia="Arial" w:hAnsi="Arial"/>
          <w:b/>
          <w:bCs/>
          <w:color w:val="333333"/>
          <w:sz w:val="22"/>
          <w:szCs w:val="22"/>
        </w:rPr>
        <w:t xml:space="preserve">AI (Claude via Cowork): </w:t>
      </w:r>
      <w:r>
        <w:rPr>
          <w:rFonts w:ascii="Arial" w:cs="Arial" w:eastAsia="Arial" w:hAnsi="Arial"/>
          <w:color w:val="333333"/>
          <w:sz w:val="22"/>
          <w:szCs w:val="22"/>
        </w:rPr>
        <w:t xml:space="preserve">cada usuario usa SU PROPIA suscripción para análisis profundo.</w:t>
      </w:r>
    </w:p>
    <w:p>
      <w:pPr>
        <w:pStyle w:val="ListParagraph"/>
        <w:numPr>
          <w:ilvl w:val="0"/>
          <w:numId w:val="2"/>
        </w:numPr>
        <w:spacing w:after="80" w:line="276"/>
      </w:pPr>
      <w:r>
        <w:rPr>
          <w:rFonts w:ascii="Arial" w:cs="Arial" w:eastAsia="Arial" w:hAnsi="Arial"/>
          <w:b/>
          <w:bCs/>
          <w:color w:val="E63946"/>
          <w:sz w:val="22"/>
          <w:szCs w:val="22"/>
        </w:rPr>
        <w:t xml:space="preserve">Resultado: </w:t>
      </w:r>
      <w:r>
        <w:rPr>
          <w:rFonts w:ascii="Arial" w:cs="Arial" w:eastAsia="Arial" w:hAnsi="Arial"/>
          <w:color w:val="333333"/>
          <w:sz w:val="22"/>
          <w:szCs w:val="22"/>
        </w:rPr>
        <w:t xml:space="preserve">costo operativo central ~$0. Cada usuario paga solo sus tokens.</w:t>
      </w:r>
    </w:p>
    <w:p>
      <w:pPr>
        <w:pStyle w:val="Heading2"/>
        <w:spacing w:before="300" w:after="160"/>
      </w:pPr>
      <w:r>
        <w:rPr>
          <w:rFonts w:ascii="Arial" w:cs="Arial" w:eastAsia="Arial" w:hAnsi="Arial"/>
          <w:b/>
          <w:bCs/>
          <w:color w:val="1D3557"/>
          <w:sz w:val="28"/>
          <w:szCs w:val="28"/>
        </w:rPr>
        <w:t xml:space="preserve">7.2 Componentes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34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234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Costo</w:t>
            </w:r>
          </w:p>
        </w:tc>
        <w:tc>
          <w:tcPr>
            <w:tcW w:type="dxa" w:w="234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3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b/>
                <w:bCs/>
                <w:color w:val="333333"/>
                <w:sz w:val="20"/>
                <w:szCs w:val="20"/>
              </w:rPr>
              <w:t xml:space="preserve">Plugin Cowork</w:t>
            </w:r>
          </w:p>
        </w:tc>
        <w:tc>
          <w:tcPr>
            <w:tcW w:type="dxa" w:w="23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MCP Server (Python/FastMCP)</w:t>
            </w:r>
          </w:p>
        </w:tc>
        <w:tc>
          <w:tcPr>
            <w:tcW w:type="dxa" w:w="23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Gratuito (local)</w:t>
            </w:r>
          </w:p>
        </w:tc>
        <w:tc>
          <w:tcPr>
            <w:tcW w:type="dxa" w:w="23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Interfaz, extracción, evaluación local</w:t>
            </w:r>
          </w:p>
        </w:tc>
      </w:tr>
      <w:tr>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333333"/>
                <w:sz w:val="20"/>
                <w:szCs w:val="20"/>
              </w:rPr>
              <w:t xml:space="preserve">Repositorio Git</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GitHub/GitLab (privado)</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Free tier</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Código fuente del usuario</w:t>
            </w:r>
          </w:p>
        </w:tc>
      </w:tr>
      <w:tr>
        <w:tc>
          <w:tcPr>
            <w:tcW w:type="dxa" w:w="23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b/>
                <w:bCs/>
                <w:color w:val="333333"/>
                <w:sz w:val="20"/>
                <w:szCs w:val="20"/>
              </w:rPr>
              <w:t xml:space="preserve">Base de Datos</w:t>
            </w:r>
          </w:p>
        </w:tc>
        <w:tc>
          <w:tcPr>
            <w:tcW w:type="dxa" w:w="23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Supabase (PostgreSQL)</w:t>
            </w:r>
          </w:p>
        </w:tc>
        <w:tc>
          <w:tcPr>
            <w:tcW w:type="dxa" w:w="23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Free tier (500MB)</w:t>
            </w:r>
          </w:p>
        </w:tc>
        <w:tc>
          <w:tcPr>
            <w:tcW w:type="dxa" w:w="23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Commits cifrados, usuarios, ratings</w:t>
            </w:r>
          </w:p>
        </w:tc>
      </w:tr>
      <w:tr>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333333"/>
                <w:sz w:val="20"/>
                <w:szCs w:val="20"/>
              </w:rPr>
              <w:t xml:space="preserve">Índice</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Algolia / Meilisearch</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Free tier</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Búsqueda semántica de candidatos</w:t>
            </w:r>
          </w:p>
        </w:tc>
      </w:tr>
      <w:tr>
        <w:tc>
          <w:tcPr>
            <w:tcW w:type="dxa" w:w="23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b/>
                <w:bCs/>
                <w:color w:val="333333"/>
                <w:sz w:val="20"/>
                <w:szCs w:val="20"/>
              </w:rPr>
              <w:t xml:space="preserve">Análisis AI</w:t>
            </w:r>
          </w:p>
        </w:tc>
        <w:tc>
          <w:tcPr>
            <w:tcW w:type="dxa" w:w="23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Claude via Cowork</w:t>
            </w:r>
          </w:p>
        </w:tc>
        <w:tc>
          <w:tcPr>
            <w:tcW w:type="dxa" w:w="23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Tokens del usuario</w:t>
            </w:r>
          </w:p>
        </w:tc>
        <w:tc>
          <w:tcPr>
            <w:tcW w:type="dxa" w:w="234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Compatibilidad profunda</w:t>
            </w:r>
          </w:p>
        </w:tc>
      </w:tr>
    </w:tbl>
    <w:p>
      <w:pPr>
        <w:spacing w:after="160"/>
      </w:pPr>
    </w:p>
    <w:p>
      <w:pPr>
        <w:pStyle w:val="Heading2"/>
        <w:spacing w:before="300" w:after="160"/>
      </w:pPr>
      <w:r>
        <w:rPr>
          <w:rFonts w:ascii="Arial" w:cs="Arial" w:eastAsia="Arial" w:hAnsi="Arial"/>
          <w:b/>
          <w:bCs/>
          <w:color w:val="1D3557"/>
          <w:sz w:val="28"/>
          <w:szCs w:val="28"/>
        </w:rPr>
        <w:t xml:space="preserve">7.3 Flujo de Datos Completo</w:t>
      </w:r>
    </w:p>
    <w:p>
      <w:pPr>
        <w:pStyle w:val="Heading3"/>
        <w:spacing w:before="220" w:after="120"/>
      </w:pPr>
      <w:r>
        <w:rPr>
          <w:rFonts w:ascii="Arial" w:cs="Arial" w:eastAsia="Arial" w:hAnsi="Arial"/>
          <w:b/>
          <w:bCs/>
          <w:color w:val="457B9D"/>
          <w:sz w:val="23"/>
          <w:szCs w:val="23"/>
        </w:rPr>
        <w:t xml:space="preserve">Publicación</w:t>
      </w:r>
    </w:p>
    <w:p>
      <w:pPr>
        <w:pStyle w:val="ListParagraph"/>
        <w:numPr>
          <w:ilvl w:val="0"/>
          <w:numId w:val="3"/>
        </w:numPr>
        <w:spacing w:after="80" w:line="276"/>
      </w:pPr>
      <w:r>
        <w:rPr>
          <w:rFonts w:ascii="Arial" w:cs="Arial" w:eastAsia="Arial" w:hAnsi="Arial"/>
          <w:color w:val="333333"/>
          <w:sz w:val="22"/>
          <w:szCs w:val="22"/>
        </w:rPr>
        <w:t xml:space="preserve">El usuario trabaja normalmente en su repo privado con git</w:t>
      </w:r>
    </w:p>
    <w:p>
      <w:pPr>
        <w:pStyle w:val="ListParagraph"/>
        <w:numPr>
          <w:ilvl w:val="0"/>
          <w:numId w:val="3"/>
        </w:numPr>
        <w:spacing w:after="80" w:line="276"/>
      </w:pPr>
      <w:r>
        <w:rPr>
          <w:rFonts w:ascii="Arial" w:cs="Arial" w:eastAsia="Arial" w:hAnsi="Arial"/>
          <w:color w:val="333333"/>
          <w:sz w:val="22"/>
          <w:szCs w:val="22"/>
        </w:rPr>
        <w:t xml:space="preserve">Al commitear, incluye o actualiza el Research Commit (header estandarizado)</w:t>
      </w:r>
    </w:p>
    <w:p>
      <w:pPr>
        <w:pStyle w:val="ListParagraph"/>
        <w:numPr>
          <w:ilvl w:val="0"/>
          <w:numId w:val="3"/>
        </w:numPr>
        <w:spacing w:after="80" w:line="276"/>
      </w:pPr>
      <w:r>
        <w:rPr>
          <w:rFonts w:ascii="Arial" w:cs="Arial" w:eastAsia="Arial" w:hAnsi="Arial"/>
          <w:color w:val="333333"/>
          <w:sz w:val="22"/>
          <w:szCs w:val="22"/>
        </w:rPr>
        <w:t xml:space="preserve">El plugin extrae el commit y genera un resumen anonimizado</w:t>
      </w:r>
    </w:p>
    <w:p>
      <w:pPr>
        <w:pStyle w:val="ListParagraph"/>
        <w:numPr>
          <w:ilvl w:val="0"/>
          <w:numId w:val="3"/>
        </w:numPr>
        <w:spacing w:after="80" w:line="276"/>
      </w:pPr>
      <w:r>
        <w:rPr>
          <w:rFonts w:ascii="Arial" w:cs="Arial" w:eastAsia="Arial" w:hAnsi="Arial"/>
          <w:color w:val="333333"/>
          <w:sz w:val="22"/>
          <w:szCs w:val="22"/>
        </w:rPr>
        <w:t xml:space="preserve">El resumen se encripta (AES-256) y se sube a Supabase</w:t>
      </w:r>
    </w:p>
    <w:p>
      <w:pPr>
        <w:pStyle w:val="ListParagraph"/>
        <w:numPr>
          <w:ilvl w:val="0"/>
          <w:numId w:val="3"/>
        </w:numPr>
        <w:spacing w:after="80" w:line="276"/>
      </w:pPr>
      <w:r>
        <w:rPr>
          <w:rFonts w:ascii="Arial" w:cs="Arial" w:eastAsia="Arial" w:hAnsi="Arial"/>
          <w:color w:val="333333"/>
          <w:sz w:val="22"/>
          <w:szCs w:val="22"/>
        </w:rPr>
        <w:t xml:space="preserve">Los campos de búsqueda (tags, objetivo simplificado) se indexan en Algolia</w:t>
      </w:r>
    </w:p>
    <w:p>
      <w:pPr>
        <w:pStyle w:val="Heading3"/>
        <w:spacing w:before="220" w:after="120"/>
      </w:pPr>
      <w:r>
        <w:rPr>
          <w:rFonts w:ascii="Arial" w:cs="Arial" w:eastAsia="Arial" w:hAnsi="Arial"/>
          <w:b/>
          <w:bCs/>
          <w:color w:val="457B9D"/>
          <w:sz w:val="23"/>
          <w:szCs w:val="23"/>
        </w:rPr>
        <w:t xml:space="preserve">Descubrimiento</w:t>
      </w:r>
    </w:p>
    <w:p>
      <w:pPr>
        <w:pStyle w:val="ListParagraph"/>
        <w:numPr>
          <w:ilvl w:val="0"/>
          <w:numId w:val="4"/>
        </w:numPr>
        <w:spacing w:after="80" w:line="276"/>
      </w:pPr>
      <w:r>
        <w:rPr>
          <w:rFonts w:ascii="Arial" w:cs="Arial" w:eastAsia="Arial" w:hAnsi="Arial"/>
          <w:color w:val="333333"/>
          <w:sz w:val="22"/>
          <w:szCs w:val="22"/>
        </w:rPr>
        <w:t xml:space="preserve">El usuario activa la búsqueda de matches desde el plugin</w:t>
      </w:r>
    </w:p>
    <w:p>
      <w:pPr>
        <w:pStyle w:val="ListParagraph"/>
        <w:numPr>
          <w:ilvl w:val="0"/>
          <w:numId w:val="4"/>
        </w:numPr>
        <w:spacing w:after="80" w:line="276"/>
      </w:pPr>
      <w:r>
        <w:rPr>
          <w:rFonts w:ascii="Arial" w:cs="Arial" w:eastAsia="Arial" w:hAnsi="Arial"/>
          <w:color w:val="333333"/>
          <w:sz w:val="22"/>
          <w:szCs w:val="22"/>
        </w:rPr>
        <w:t xml:space="preserve">Algolia devuelve candidatos rankeados por proximidad semántica</w:t>
      </w:r>
    </w:p>
    <w:p>
      <w:pPr>
        <w:pStyle w:val="ListParagraph"/>
        <w:numPr>
          <w:ilvl w:val="0"/>
          <w:numId w:val="4"/>
        </w:numPr>
        <w:spacing w:after="80" w:line="276"/>
      </w:pPr>
      <w:r>
        <w:rPr>
          <w:rFonts w:ascii="Arial" w:cs="Arial" w:eastAsia="Arial" w:hAnsi="Arial"/>
          <w:color w:val="333333"/>
          <w:sz w:val="22"/>
          <w:szCs w:val="22"/>
        </w:rPr>
        <w:t xml:space="preserve">Claude local (tokens del usuario) analiza cada candidato en profundidad</w:t>
      </w:r>
    </w:p>
    <w:p>
      <w:pPr>
        <w:pStyle w:val="ListParagraph"/>
        <w:numPr>
          <w:ilvl w:val="0"/>
          <w:numId w:val="4"/>
        </w:numPr>
        <w:spacing w:after="80" w:line="276"/>
      </w:pPr>
      <w:r>
        <w:rPr>
          <w:rFonts w:ascii="Arial" w:cs="Arial" w:eastAsia="Arial" w:hAnsi="Arial"/>
          <w:color w:val="333333"/>
          <w:sz w:val="22"/>
          <w:szCs w:val="22"/>
        </w:rPr>
        <w:t xml:space="preserve">Se genera porcentaje de compatibilidad + semáforo bilateral</w:t>
      </w:r>
    </w:p>
    <w:p>
      <w:pPr>
        <w:pStyle w:val="Heading3"/>
        <w:spacing w:before="220" w:after="120"/>
      </w:pPr>
      <w:r>
        <w:rPr>
          <w:rFonts w:ascii="Arial" w:cs="Arial" w:eastAsia="Arial" w:hAnsi="Arial"/>
          <w:b/>
          <w:bCs/>
          <w:color w:val="457B9D"/>
          <w:sz w:val="23"/>
          <w:szCs w:val="23"/>
        </w:rPr>
        <w:t xml:space="preserve">Conexión</w:t>
      </w:r>
    </w:p>
    <w:p>
      <w:pPr>
        <w:pStyle w:val="ListParagraph"/>
        <w:numPr>
          <w:ilvl w:val="0"/>
          <w:numId w:val="5"/>
        </w:numPr>
        <w:spacing w:after="80" w:line="276"/>
      </w:pPr>
      <w:r>
        <w:rPr>
          <w:rFonts w:ascii="Arial" w:cs="Arial" w:eastAsia="Arial" w:hAnsi="Arial"/>
          <w:color w:val="333333"/>
          <w:sz w:val="22"/>
          <w:szCs w:val="22"/>
        </w:rPr>
        <w:t xml:space="preserve">Si el porcentaje supera umbral, se envía solicitud de consentimiento</w:t>
      </w:r>
    </w:p>
    <w:p>
      <w:pPr>
        <w:pStyle w:val="ListParagraph"/>
        <w:numPr>
          <w:ilvl w:val="0"/>
          <w:numId w:val="5"/>
        </w:numPr>
        <w:spacing w:after="80" w:line="276"/>
      </w:pPr>
      <w:r>
        <w:rPr>
          <w:rFonts w:ascii="Arial" w:cs="Arial" w:eastAsia="Arial" w:hAnsi="Arial"/>
          <w:color w:val="333333"/>
          <w:sz w:val="22"/>
          <w:szCs w:val="22"/>
        </w:rPr>
        <w:t xml:space="preserve">Ambos aprueban qué información compartir (reveal progresivo)</w:t>
      </w:r>
    </w:p>
    <w:p>
      <w:pPr>
        <w:pStyle w:val="ListParagraph"/>
        <w:numPr>
          <w:ilvl w:val="0"/>
          <w:numId w:val="5"/>
        </w:numPr>
        <w:spacing w:after="80" w:line="276"/>
      </w:pPr>
      <w:r>
        <w:rPr>
          <w:rFonts w:ascii="Arial" w:cs="Arial" w:eastAsia="Arial" w:hAnsi="Arial"/>
          <w:color w:val="333333"/>
          <w:sz w:val="22"/>
          <w:szCs w:val="22"/>
        </w:rPr>
        <w:t xml:space="preserve">Se crea carpeta compartida de necesidades en ambos repos</w:t>
      </w:r>
    </w:p>
    <w:p>
      <w:pPr>
        <w:pStyle w:val="ListParagraph"/>
        <w:numPr>
          <w:ilvl w:val="0"/>
          <w:numId w:val="5"/>
        </w:numPr>
        <w:spacing w:after="80" w:line="276"/>
      </w:pPr>
      <w:r>
        <w:rPr>
          <w:rFonts w:ascii="Arial" w:cs="Arial" w:eastAsia="Arial" w:hAnsi="Arial"/>
          <w:color w:val="333333"/>
          <w:sz w:val="22"/>
          <w:szCs w:val="22"/>
        </w:rPr>
        <w:t xml:space="preserve">Se fusionan repos con la información seleccionada</w:t>
      </w:r>
    </w:p>
    <w:p>
      <w:pPr>
        <w:pStyle w:val="ListParagraph"/>
        <w:numPr>
          <w:ilvl w:val="0"/>
          <w:numId w:val="5"/>
        </w:numPr>
        <w:spacing w:after="80" w:line="276"/>
      </w:pPr>
      <w:r>
        <w:rPr>
          <w:rFonts w:ascii="Arial" w:cs="Arial" w:eastAsia="Arial" w:hAnsi="Arial"/>
          <w:color w:val="333333"/>
          <w:sz w:val="22"/>
          <w:szCs w:val="22"/>
        </w:rPr>
        <w:t xml:space="preserve">Post-colaboración: ambos se ratean mutuamente</w:t>
      </w:r>
    </w:p>
    <w:p>
      <w:r>
        <w:br w:type="page"/>
      </w:r>
    </w:p>
    <w:p>
      <w:pPr>
        <w:pStyle w:val="Heading1"/>
        <w:spacing w:before="400" w:after="200"/>
      </w:pPr>
      <w:r>
        <w:rPr>
          <w:rFonts w:ascii="Arial" w:cs="Arial" w:eastAsia="Arial" w:hAnsi="Arial"/>
          <w:b/>
          <w:bCs/>
          <w:color w:val="0D1B2A"/>
          <w:sz w:val="34"/>
          <w:szCs w:val="34"/>
        </w:rPr>
        <w:t xml:space="preserve">8. Plugin MCP: Tools Disponibles</w:t>
      </w:r>
    </w:p>
    <w:p>
      <w:pPr>
        <w:spacing w:after="160" w:line="276"/>
      </w:pPr>
      <w:r>
        <w:rPr>
          <w:rFonts w:ascii="Arial" w:cs="Arial" w:eastAsia="Arial" w:hAnsi="Arial"/>
          <w:color w:val="333333"/>
          <w:sz w:val="22"/>
          <w:szCs w:val="22"/>
        </w:rPr>
        <w:t xml:space="preserve">El plugin se implementa como servidor MCP (Model Context Protocol) que Claude en Cowork utiliza directamente.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860"/>
            <w:tcBorders>
              <w:top w:val="single" w:color="C0C0C0" w:sz="1"/>
              <w:left w:val="single" w:color="C0C0C0" w:sz="1"/>
              <w:bottom w:val="single" w:color="C0C0C0" w:sz="1"/>
              <w:right w:val="single" w:color="C0C0C0"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35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Courier New" w:cs="Courier New" w:eastAsia="Courier New" w:hAnsi="Courier New"/>
                <w:color w:val="333333"/>
                <w:sz w:val="18"/>
                <w:szCs w:val="18"/>
              </w:rPr>
              <w:t xml:space="preserve">research_match_register</w:t>
            </w:r>
          </w:p>
        </w:tc>
        <w:tc>
          <w:tcPr>
            <w:tcW w:type="dxa" w:w="586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Registrar usuario con identidad pseudonímica</w:t>
            </w:r>
          </w:p>
        </w:tc>
      </w:tr>
      <w:tr>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Courier New" w:cs="Courier New" w:eastAsia="Courier New" w:hAnsi="Courier New"/>
                <w:color w:val="333333"/>
                <w:sz w:val="18"/>
                <w:szCs w:val="18"/>
              </w:rPr>
              <w:t xml:space="preserve">research_match_submit_commit</w:t>
            </w:r>
          </w:p>
        </w:tc>
        <w:tc>
          <w:tcPr>
            <w:tcW w:type="dxa" w:w="58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Enviar Research Commit para evaluación por IA</w:t>
            </w:r>
          </w:p>
        </w:tc>
      </w:tr>
      <w:tr>
        <w:tc>
          <w:tcPr>
            <w:tcW w:type="dxa" w:w="35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Courier New" w:cs="Courier New" w:eastAsia="Courier New" w:hAnsi="Courier New"/>
                <w:color w:val="333333"/>
                <w:sz w:val="18"/>
                <w:szCs w:val="18"/>
              </w:rPr>
              <w:t xml:space="preserve">research_match_my_profile</w:t>
            </w:r>
          </w:p>
        </w:tc>
        <w:tc>
          <w:tcPr>
            <w:tcW w:type="dxa" w:w="586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Ver perfil de originalidad y scores OT/OFC</w:t>
            </w:r>
          </w:p>
        </w:tc>
      </w:tr>
      <w:tr>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Courier New" w:cs="Courier New" w:eastAsia="Courier New" w:hAnsi="Courier New"/>
                <w:color w:val="333333"/>
                <w:sz w:val="18"/>
                <w:szCs w:val="18"/>
              </w:rPr>
              <w:t xml:space="preserve">research_match_find_collaborators</w:t>
            </w:r>
          </w:p>
        </w:tc>
        <w:tc>
          <w:tcPr>
            <w:tcW w:type="dxa" w:w="58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Buscar investigadores complementarios con semáforo</w:t>
            </w:r>
          </w:p>
        </w:tc>
      </w:tr>
      <w:tr>
        <w:tc>
          <w:tcPr>
            <w:tcW w:type="dxa" w:w="35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Courier New" w:cs="Courier New" w:eastAsia="Courier New" w:hAnsi="Courier New"/>
                <w:color w:val="333333"/>
                <w:sz w:val="18"/>
                <w:szCs w:val="18"/>
              </w:rPr>
              <w:t xml:space="preserve">research_match_send_request</w:t>
            </w:r>
          </w:p>
        </w:tc>
        <w:tc>
          <w:tcPr>
            <w:tcW w:type="dxa" w:w="586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Enviar solicitud de colaboración</w:t>
            </w:r>
          </w:p>
        </w:tc>
      </w:tr>
      <w:tr>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Courier New" w:cs="Courier New" w:eastAsia="Courier New" w:hAnsi="Courier New"/>
                <w:color w:val="333333"/>
                <w:sz w:val="18"/>
                <w:szCs w:val="18"/>
              </w:rPr>
              <w:t xml:space="preserve">research_match_inbox</w:t>
            </w:r>
          </w:p>
        </w:tc>
        <w:tc>
          <w:tcPr>
            <w:tcW w:type="dxa" w:w="58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Ver solicitudes entrantes y salientes</w:t>
            </w:r>
          </w:p>
        </w:tc>
      </w:tr>
      <w:tr>
        <w:tc>
          <w:tcPr>
            <w:tcW w:type="dxa" w:w="35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Courier New" w:cs="Courier New" w:eastAsia="Courier New" w:hAnsi="Courier New"/>
                <w:color w:val="333333"/>
                <w:sz w:val="18"/>
                <w:szCs w:val="18"/>
              </w:rPr>
              <w:t xml:space="preserve">research_match_respond_request</w:t>
            </w:r>
          </w:p>
        </w:tc>
        <w:tc>
          <w:tcPr>
            <w:tcW w:type="dxa" w:w="586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Aceptar o rechazar solicitudes</w:t>
            </w:r>
          </w:p>
        </w:tc>
      </w:tr>
      <w:tr>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Courier New" w:cs="Courier New" w:eastAsia="Courier New" w:hAnsi="Courier New"/>
                <w:color w:val="333333"/>
                <w:sz w:val="18"/>
                <w:szCs w:val="18"/>
              </w:rPr>
              <w:t xml:space="preserve">research_match_analyze_work</w:t>
            </w:r>
          </w:p>
        </w:tc>
        <w:tc>
          <w:tcPr>
            <w:tcW w:type="dxa" w:w="58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Plantilla para crear un commit desde el contexto actual</w:t>
            </w:r>
          </w:p>
        </w:tc>
      </w:tr>
      <w:tr>
        <w:tc>
          <w:tcPr>
            <w:tcW w:type="dxa" w:w="350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Courier New" w:cs="Courier New" w:eastAsia="Courier New" w:hAnsi="Courier New"/>
                <w:color w:val="E63946"/>
                <w:sz w:val="18"/>
                <w:szCs w:val="18"/>
              </w:rPr>
              <w:t xml:space="preserve">research_match_rate_user</w:t>
            </w:r>
          </w:p>
        </w:tc>
        <w:tc>
          <w:tcPr>
            <w:tcW w:type="dxa" w:w="5860"/>
            <w:tcBorders>
              <w:top w:val="single" w:color="C0C0C0" w:sz="1"/>
              <w:left w:val="single" w:color="C0C0C0" w:sz="1"/>
              <w:bottom w:val="single" w:color="C0C0C0" w:sz="1"/>
              <w:right w:val="single" w:color="C0C0C0" w:sz="1"/>
            </w:tcBorders>
            <w:shd w:fill="F1FAEE" w:val="clear"/>
            <w:tcMar>
              <w:top w:type="dxa" w:w="80"/>
              <w:left w:type="dxa" w:w="120"/>
              <w:bottom w:type="dxa" w:w="80"/>
              <w:right w:type="dxa" w:w="120"/>
            </w:tcMar>
          </w:tcPr>
          <w:p>
            <w:r>
              <w:rPr>
                <w:rFonts w:ascii="Arial" w:cs="Arial" w:eastAsia="Arial" w:hAnsi="Arial"/>
                <w:color w:val="333333"/>
                <w:sz w:val="20"/>
                <w:szCs w:val="20"/>
              </w:rPr>
              <w:t xml:space="preserve">NUEVO: Calificar honestidad, calidad y esfuerzo post-match</w:t>
            </w:r>
          </w:p>
        </w:tc>
      </w:tr>
      <w:tr>
        <w:tc>
          <w:tcPr>
            <w:tcW w:type="dxa" w:w="35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Courier New" w:cs="Courier New" w:eastAsia="Courier New" w:hAnsi="Courier New"/>
                <w:color w:val="E63946"/>
                <w:sz w:val="18"/>
                <w:szCs w:val="18"/>
              </w:rPr>
              <w:t xml:space="preserve">research_match_needs</w:t>
            </w:r>
          </w:p>
        </w:tc>
        <w:tc>
          <w:tcPr>
            <w:tcW w:type="dxa" w:w="58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20"/>
                <w:szCs w:val="20"/>
              </w:rPr>
              <w:t xml:space="preserve">NUEVO: Gestionar carpeta compartida de necesidades</w:t>
            </w:r>
          </w:p>
        </w:tc>
      </w:tr>
    </w:tbl>
    <w:p>
      <w:pPr>
        <w:spacing w:after="160"/>
      </w:pPr>
    </w:p>
    <w:p>
      <w:r>
        <w:br w:type="page"/>
      </w:r>
    </w:p>
    <w:p>
      <w:pPr>
        <w:pStyle w:val="Heading1"/>
        <w:spacing w:before="400" w:after="200"/>
      </w:pPr>
      <w:r>
        <w:rPr>
          <w:rFonts w:ascii="Arial" w:cs="Arial" w:eastAsia="Arial" w:hAnsi="Arial"/>
          <w:b/>
          <w:bCs/>
          <w:color w:val="0D1B2A"/>
          <w:sz w:val="34"/>
          <w:szCs w:val="34"/>
        </w:rPr>
        <w:t xml:space="preserve">9. Estrategia de Cold-Start</w:t>
      </w:r>
    </w:p>
    <w:p>
      <w:pPr>
        <w:spacing w:after="160" w:line="276"/>
      </w:pPr>
      <w:r>
        <w:rPr>
          <w:rFonts w:ascii="Arial" w:cs="Arial" w:eastAsia="Arial" w:hAnsi="Arial"/>
          <w:color w:val="333333"/>
          <w:sz w:val="22"/>
          <w:szCs w:val="22"/>
        </w:rPr>
        <w:t xml:space="preserve">El problema clásico de marketplace aplicado con estrategia específica:</w:t>
      </w:r>
    </w:p>
    <w:p>
      <w:pPr>
        <w:pStyle w:val="ListParagraph"/>
        <w:numPr>
          <w:ilvl w:val="0"/>
          <w:numId w:val="2"/>
        </w:numPr>
        <w:spacing w:after="80" w:line="276"/>
      </w:pPr>
      <w:r>
        <w:rPr>
          <w:rFonts w:ascii="Arial" w:cs="Arial" w:eastAsia="Arial" w:hAnsi="Arial"/>
          <w:b/>
          <w:bCs/>
          <w:color w:val="333333"/>
          <w:sz w:val="22"/>
          <w:szCs w:val="22"/>
        </w:rPr>
        <w:t xml:space="preserve">Valor individual primero: </w:t>
      </w:r>
      <w:r>
        <w:rPr>
          <w:rFonts w:ascii="Arial" w:cs="Arial" w:eastAsia="Arial" w:hAnsi="Arial"/>
          <w:color w:val="333333"/>
          <w:sz w:val="22"/>
          <w:szCs w:val="22"/>
        </w:rPr>
        <w:t xml:space="preserve">el plugin es útil incluso sin matches. El Research Commit ayuda a organizar tu propio trabajo, y Claude usa los DEAD_ENDS para sugerirte alternativas.</w:t>
      </w:r>
    </w:p>
    <w:p>
      <w:pPr>
        <w:pStyle w:val="ListParagraph"/>
        <w:numPr>
          <w:ilvl w:val="0"/>
          <w:numId w:val="2"/>
        </w:numPr>
        <w:spacing w:after="80" w:line="276"/>
      </w:pPr>
      <w:r>
        <w:rPr>
          <w:rFonts w:ascii="Arial" w:cs="Arial" w:eastAsia="Arial" w:hAnsi="Arial"/>
          <w:b/>
          <w:bCs/>
          <w:color w:val="333333"/>
          <w:sz w:val="22"/>
          <w:szCs w:val="22"/>
        </w:rPr>
        <w:t xml:space="preserve">Seed con proyectos públicos: </w:t>
      </w:r>
      <w:r>
        <w:rPr>
          <w:rFonts w:ascii="Arial" w:cs="Arial" w:eastAsia="Arial" w:hAnsi="Arial"/>
          <w:color w:val="333333"/>
          <w:sz w:val="22"/>
          <w:szCs w:val="22"/>
        </w:rPr>
        <w:t xml:space="preserve">indexar proyectos open-source de GitHub como candidatos pasivos (sin merge, solo referencia).</w:t>
      </w:r>
    </w:p>
    <w:p>
      <w:pPr>
        <w:pStyle w:val="ListParagraph"/>
        <w:numPr>
          <w:ilvl w:val="0"/>
          <w:numId w:val="2"/>
        </w:numPr>
        <w:spacing w:after="80" w:line="276"/>
      </w:pPr>
      <w:r>
        <w:rPr>
          <w:rFonts w:ascii="Arial" w:cs="Arial" w:eastAsia="Arial" w:hAnsi="Arial"/>
          <w:b/>
          <w:bCs/>
          <w:color w:val="333333"/>
          <w:sz w:val="22"/>
          <w:szCs w:val="22"/>
        </w:rPr>
        <w:t xml:space="preserve">Comunidad Cowork: </w:t>
      </w:r>
      <w:r>
        <w:rPr>
          <w:rFonts w:ascii="Arial" w:cs="Arial" w:eastAsia="Arial" w:hAnsi="Arial"/>
          <w:color w:val="333333"/>
          <w:sz w:val="22"/>
          <w:szCs w:val="22"/>
        </w:rPr>
        <w:t xml:space="preserve">aprovechar la base de usuarios existente como primer público.</w:t>
      </w:r>
    </w:p>
    <w:p>
      <w:pPr>
        <w:pStyle w:val="ListParagraph"/>
        <w:numPr>
          <w:ilvl w:val="0"/>
          <w:numId w:val="2"/>
        </w:numPr>
        <w:spacing w:after="80" w:line="276"/>
      </w:pPr>
      <w:r>
        <w:rPr>
          <w:rFonts w:ascii="Arial" w:cs="Arial" w:eastAsia="Arial" w:hAnsi="Arial"/>
          <w:b/>
          <w:bCs/>
          <w:color w:val="333333"/>
          <w:sz w:val="22"/>
          <w:szCs w:val="22"/>
        </w:rPr>
        <w:t xml:space="preserve">Contenido educativo: </w:t>
      </w:r>
      <w:r>
        <w:rPr>
          <w:rFonts w:ascii="Arial" w:cs="Arial" w:eastAsia="Arial" w:hAnsi="Arial"/>
          <w:color w:val="333333"/>
          <w:sz w:val="22"/>
          <w:szCs w:val="22"/>
        </w:rPr>
        <w:t xml:space="preserve">tutoriales mostrando cómo el matching indirecto resolvió problemas reales.</w:t>
      </w:r>
    </w:p>
    <w:p>
      <w:pPr>
        <w:pStyle w:val="ListParagraph"/>
        <w:numPr>
          <w:ilvl w:val="0"/>
          <w:numId w:val="2"/>
        </w:numPr>
        <w:spacing w:after="80" w:line="276"/>
      </w:pPr>
      <w:r>
        <w:rPr>
          <w:rFonts w:ascii="Arial" w:cs="Arial" w:eastAsia="Arial" w:hAnsi="Arial"/>
          <w:b/>
          <w:bCs/>
          <w:color w:val="333333"/>
          <w:sz w:val="22"/>
          <w:szCs w:val="22"/>
        </w:rPr>
        <w:t xml:space="preserve">El rating como atractor: </w:t>
      </w:r>
      <w:r>
        <w:rPr>
          <w:rFonts w:ascii="Arial" w:cs="Arial" w:eastAsia="Arial" w:hAnsi="Arial"/>
          <w:color w:val="333333"/>
          <w:sz w:val="22"/>
          <w:szCs w:val="22"/>
        </w:rPr>
        <w:t xml:space="preserve">usuarios con rating alto son visibles y atractivos, generando incentivo para participar y ser honesto.</w:t>
      </w:r>
    </w:p>
    <w:p>
      <w:r>
        <w:br w:type="page"/>
      </w:r>
    </w:p>
    <w:p>
      <w:pPr>
        <w:pStyle w:val="Heading1"/>
        <w:spacing w:before="400" w:after="200"/>
      </w:pPr>
      <w:r>
        <w:rPr>
          <w:rFonts w:ascii="Arial" w:cs="Arial" w:eastAsia="Arial" w:hAnsi="Arial"/>
          <w:b/>
          <w:bCs/>
          <w:color w:val="0D1B2A"/>
          <w:sz w:val="34"/>
          <w:szCs w:val="34"/>
        </w:rPr>
        <w:t xml:space="preserve">10. Roadmap</w:t>
      </w:r>
    </w:p>
    <w:p>
      <w:pPr>
        <w:pStyle w:val="Heading2"/>
        <w:spacing w:before="300" w:after="160"/>
      </w:pPr>
      <w:r>
        <w:rPr>
          <w:rFonts w:ascii="Arial" w:cs="Arial" w:eastAsia="Arial" w:hAnsi="Arial"/>
          <w:b/>
          <w:bCs/>
          <w:color w:val="1D3557"/>
          <w:sz w:val="28"/>
          <w:szCs w:val="28"/>
        </w:rPr>
        <w:t xml:space="preserve">Fase 1: MVP (Semanas 1-4)</w:t>
      </w:r>
    </w:p>
    <w:p>
      <w:pPr>
        <w:pStyle w:val="ListParagraph"/>
        <w:numPr>
          <w:ilvl w:val="0"/>
          <w:numId w:val="2"/>
        </w:numPr>
        <w:spacing w:after="80" w:line="276"/>
      </w:pPr>
      <w:r>
        <w:rPr>
          <w:rFonts w:ascii="Arial" w:cs="Arial" w:eastAsia="Arial" w:hAnsi="Arial"/>
          <w:color w:val="333333"/>
          <w:sz w:val="22"/>
          <w:szCs w:val="22"/>
        </w:rPr>
        <w:t xml:space="preserve">Research Commit estandarizado con niveles de solidez</w:t>
      </w:r>
    </w:p>
    <w:p>
      <w:pPr>
        <w:pStyle w:val="ListParagraph"/>
        <w:numPr>
          <w:ilvl w:val="0"/>
          <w:numId w:val="2"/>
        </w:numPr>
        <w:spacing w:after="80" w:line="276"/>
      </w:pPr>
      <w:r>
        <w:rPr>
          <w:rFonts w:ascii="Arial" w:cs="Arial" w:eastAsia="Arial" w:hAnsi="Arial"/>
          <w:color w:val="333333"/>
          <w:sz w:val="22"/>
          <w:szCs w:val="22"/>
        </w:rPr>
        <w:t xml:space="preserve">Plugin básico de Cowork con MCP server (ya existe la base)</w:t>
      </w:r>
    </w:p>
    <w:p>
      <w:pPr>
        <w:pStyle w:val="ListParagraph"/>
        <w:numPr>
          <w:ilvl w:val="0"/>
          <w:numId w:val="2"/>
        </w:numPr>
        <w:spacing w:after="80" w:line="276"/>
      </w:pPr>
      <w:r>
        <w:rPr>
          <w:rFonts w:ascii="Arial" w:cs="Arial" w:eastAsia="Arial" w:hAnsi="Arial"/>
          <w:color w:val="333333"/>
          <w:sz w:val="22"/>
          <w:szCs w:val="22"/>
        </w:rPr>
        <w:t xml:space="preserve">Evaluación heurística OT/OFC (ya implementada)</w:t>
      </w:r>
    </w:p>
    <w:p>
      <w:pPr>
        <w:pStyle w:val="ListParagraph"/>
        <w:numPr>
          <w:ilvl w:val="0"/>
          <w:numId w:val="2"/>
        </w:numPr>
        <w:spacing w:after="80" w:line="276"/>
      </w:pPr>
      <w:r>
        <w:rPr>
          <w:rFonts w:ascii="Arial" w:cs="Arial" w:eastAsia="Arial" w:hAnsi="Arial"/>
          <w:color w:val="333333"/>
          <w:sz w:val="22"/>
          <w:szCs w:val="22"/>
        </w:rPr>
        <w:t xml:space="preserve">Matching básico con semáforo bilateral</w:t>
      </w:r>
    </w:p>
    <w:p>
      <w:pPr>
        <w:pStyle w:val="ListParagraph"/>
        <w:numPr>
          <w:ilvl w:val="0"/>
          <w:numId w:val="2"/>
        </w:numPr>
        <w:spacing w:after="80" w:line="276"/>
      </w:pPr>
      <w:r>
        <w:rPr>
          <w:rFonts w:ascii="Arial" w:cs="Arial" w:eastAsia="Arial" w:hAnsi="Arial"/>
          <w:color w:val="333333"/>
          <w:sz w:val="22"/>
          <w:szCs w:val="22"/>
        </w:rPr>
        <w:t xml:space="preserve">Supabase + Algolia en free tier</w:t>
      </w:r>
    </w:p>
    <w:p>
      <w:pPr>
        <w:pStyle w:val="Heading2"/>
        <w:spacing w:before="300" w:after="160"/>
      </w:pPr>
      <w:r>
        <w:rPr>
          <w:rFonts w:ascii="Arial" w:cs="Arial" w:eastAsia="Arial" w:hAnsi="Arial"/>
          <w:b/>
          <w:bCs/>
          <w:color w:val="1D3557"/>
          <w:sz w:val="28"/>
          <w:szCs w:val="28"/>
        </w:rPr>
        <w:t xml:space="preserve">Fase 2: Rating e Inteligencia (Semanas 5-8)</w:t>
      </w:r>
    </w:p>
    <w:p>
      <w:pPr>
        <w:pStyle w:val="ListParagraph"/>
        <w:numPr>
          <w:ilvl w:val="0"/>
          <w:numId w:val="2"/>
        </w:numPr>
        <w:spacing w:after="80" w:line="276"/>
      </w:pPr>
      <w:r>
        <w:rPr>
          <w:rFonts w:ascii="Arial" w:cs="Arial" w:eastAsia="Arial" w:hAnsi="Arial"/>
          <w:color w:val="333333"/>
          <w:sz w:val="22"/>
          <w:szCs w:val="22"/>
        </w:rPr>
        <w:t xml:space="preserve">Sistema de rating post-match (honestidad, calidad, esfuerzo)</w:t>
      </w:r>
    </w:p>
    <w:p>
      <w:pPr>
        <w:pStyle w:val="ListParagraph"/>
        <w:numPr>
          <w:ilvl w:val="0"/>
          <w:numId w:val="2"/>
        </w:numPr>
        <w:spacing w:after="80" w:line="276"/>
      </w:pPr>
      <w:r>
        <w:rPr>
          <w:rFonts w:ascii="Arial" w:cs="Arial" w:eastAsia="Arial" w:hAnsi="Arial"/>
          <w:color w:val="333333"/>
          <w:sz w:val="22"/>
          <w:szCs w:val="22"/>
        </w:rPr>
        <w:t xml:space="preserve">Matching indirecto (NEED_HELP ↔ CAN_OFFER, CRITICAL_PATH ↔ DEAD_ENDS)</w:t>
      </w:r>
    </w:p>
    <w:p>
      <w:pPr>
        <w:pStyle w:val="ListParagraph"/>
        <w:numPr>
          <w:ilvl w:val="0"/>
          <w:numId w:val="2"/>
        </w:numPr>
        <w:spacing w:after="80" w:line="276"/>
      </w:pPr>
      <w:r>
        <w:rPr>
          <w:rFonts w:ascii="Arial" w:cs="Arial" w:eastAsia="Arial" w:hAnsi="Arial"/>
          <w:color w:val="333333"/>
          <w:sz w:val="22"/>
          <w:szCs w:val="22"/>
        </w:rPr>
        <w:t xml:space="preserve">Mejora del evaluador con Claude local para análisis profundo</w:t>
      </w:r>
    </w:p>
    <w:p>
      <w:pPr>
        <w:pStyle w:val="ListParagraph"/>
        <w:numPr>
          <w:ilvl w:val="0"/>
          <w:numId w:val="2"/>
        </w:numPr>
        <w:spacing w:after="80" w:line="276"/>
      </w:pPr>
      <w:r>
        <w:rPr>
          <w:rFonts w:ascii="Arial" w:cs="Arial" w:eastAsia="Arial" w:hAnsi="Arial"/>
          <w:color w:val="333333"/>
          <w:sz w:val="22"/>
          <w:szCs w:val="22"/>
        </w:rPr>
        <w:t xml:space="preserve">Encriptación end-to-end de commits</w:t>
      </w:r>
    </w:p>
    <w:p>
      <w:pPr>
        <w:pStyle w:val="Heading2"/>
        <w:spacing w:before="300" w:after="160"/>
      </w:pPr>
      <w:r>
        <w:rPr>
          <w:rFonts w:ascii="Arial" w:cs="Arial" w:eastAsia="Arial" w:hAnsi="Arial"/>
          <w:b/>
          <w:bCs/>
          <w:color w:val="1D3557"/>
          <w:sz w:val="28"/>
          <w:szCs w:val="28"/>
        </w:rPr>
        <w:t xml:space="preserve">Fase 3: Colaboración (Semanas 9-12)</w:t>
      </w:r>
    </w:p>
    <w:p>
      <w:pPr>
        <w:pStyle w:val="ListParagraph"/>
        <w:numPr>
          <w:ilvl w:val="0"/>
          <w:numId w:val="2"/>
        </w:numPr>
        <w:spacing w:after="80" w:line="276"/>
      </w:pPr>
      <w:r>
        <w:rPr>
          <w:rFonts w:ascii="Arial" w:cs="Arial" w:eastAsia="Arial" w:hAnsi="Arial"/>
          <w:color w:val="333333"/>
          <w:sz w:val="22"/>
          <w:szCs w:val="22"/>
        </w:rPr>
        <w:t xml:space="preserve">Fusión de repos con información seleccionada</w:t>
      </w:r>
    </w:p>
    <w:p>
      <w:pPr>
        <w:pStyle w:val="ListParagraph"/>
        <w:numPr>
          <w:ilvl w:val="0"/>
          <w:numId w:val="2"/>
        </w:numPr>
        <w:spacing w:after="80" w:line="276"/>
      </w:pPr>
      <w:r>
        <w:rPr>
          <w:rFonts w:ascii="Arial" w:cs="Arial" w:eastAsia="Arial" w:hAnsi="Arial"/>
          <w:color w:val="333333"/>
          <w:sz w:val="22"/>
          <w:szCs w:val="22"/>
        </w:rPr>
        <w:t xml:space="preserve">Carpeta compartida de necesidades (/needs/)</w:t>
      </w:r>
    </w:p>
    <w:p>
      <w:pPr>
        <w:pStyle w:val="ListParagraph"/>
        <w:numPr>
          <w:ilvl w:val="0"/>
          <w:numId w:val="2"/>
        </w:numPr>
        <w:spacing w:after="80" w:line="276"/>
      </w:pPr>
      <w:r>
        <w:rPr>
          <w:rFonts w:ascii="Arial" w:cs="Arial" w:eastAsia="Arial" w:hAnsi="Arial"/>
          <w:color w:val="333333"/>
          <w:sz w:val="22"/>
          <w:szCs w:val="22"/>
        </w:rPr>
        <w:t xml:space="preserve">Reveal progresivo completo (4 niveles)</w:t>
      </w:r>
    </w:p>
    <w:p>
      <w:pPr>
        <w:pStyle w:val="ListParagraph"/>
        <w:numPr>
          <w:ilvl w:val="0"/>
          <w:numId w:val="2"/>
        </w:numPr>
        <w:spacing w:after="80" w:line="276"/>
      </w:pPr>
      <w:r>
        <w:rPr>
          <w:rFonts w:ascii="Arial" w:cs="Arial" w:eastAsia="Arial" w:hAnsi="Arial"/>
          <w:color w:val="333333"/>
          <w:sz w:val="22"/>
          <w:szCs w:val="22"/>
        </w:rPr>
        <w:t xml:space="preserve">Licenciamiento conjunto automático</w:t>
      </w:r>
    </w:p>
    <w:p>
      <w:pPr>
        <w:pStyle w:val="Heading2"/>
        <w:spacing w:before="300" w:after="160"/>
      </w:pPr>
      <w:r>
        <w:rPr>
          <w:rFonts w:ascii="Arial" w:cs="Arial" w:eastAsia="Arial" w:hAnsi="Arial"/>
          <w:b/>
          <w:bCs/>
          <w:color w:val="1D3557"/>
          <w:sz w:val="28"/>
          <w:szCs w:val="28"/>
        </w:rPr>
        <w:t xml:space="preserve">Fase 4: Escala (Semanas 13+)</w:t>
      </w:r>
    </w:p>
    <w:p>
      <w:pPr>
        <w:pStyle w:val="ListParagraph"/>
        <w:numPr>
          <w:ilvl w:val="0"/>
          <w:numId w:val="2"/>
        </w:numPr>
        <w:spacing w:after="80" w:line="276"/>
      </w:pPr>
      <w:r>
        <w:rPr>
          <w:rFonts w:ascii="Arial" w:cs="Arial" w:eastAsia="Arial" w:hAnsi="Arial"/>
          <w:color w:val="333333"/>
          <w:sz w:val="22"/>
          <w:szCs w:val="22"/>
        </w:rPr>
        <w:t xml:space="preserve">Cold-start: seed con proyectos públicos</w:t>
      </w:r>
    </w:p>
    <w:p>
      <w:pPr>
        <w:pStyle w:val="ListParagraph"/>
        <w:numPr>
          <w:ilvl w:val="0"/>
          <w:numId w:val="2"/>
        </w:numPr>
        <w:spacing w:after="80" w:line="276"/>
      </w:pPr>
      <w:r>
        <w:rPr>
          <w:rFonts w:ascii="Arial" w:cs="Arial" w:eastAsia="Arial" w:hAnsi="Arial"/>
          <w:color w:val="333333"/>
          <w:sz w:val="22"/>
          <w:szCs w:val="22"/>
        </w:rPr>
        <w:t xml:space="preserve">Publicación en marketplace de plugins de Cowork</w:t>
      </w:r>
    </w:p>
    <w:p>
      <w:pPr>
        <w:pStyle w:val="ListParagraph"/>
        <w:numPr>
          <w:ilvl w:val="0"/>
          <w:numId w:val="2"/>
        </w:numPr>
        <w:spacing w:after="80" w:line="276"/>
      </w:pPr>
      <w:r>
        <w:rPr>
          <w:rFonts w:ascii="Arial" w:cs="Arial" w:eastAsia="Arial" w:hAnsi="Arial"/>
          <w:color w:val="333333"/>
          <w:sz w:val="22"/>
          <w:szCs w:val="22"/>
        </w:rPr>
        <w:t xml:space="preserve">Seguridad avanzada: TEE, cifrado homomórfico</w:t>
      </w:r>
    </w:p>
    <w:p>
      <w:pPr>
        <w:pStyle w:val="ListParagraph"/>
        <w:numPr>
          <w:ilvl w:val="0"/>
          <w:numId w:val="2"/>
        </w:numPr>
        <w:spacing w:after="80" w:line="276"/>
      </w:pPr>
      <w:r>
        <w:rPr>
          <w:rFonts w:ascii="Arial" w:cs="Arial" w:eastAsia="Arial" w:hAnsi="Arial"/>
          <w:color w:val="333333"/>
          <w:sz w:val="22"/>
          <w:szCs w:val="22"/>
        </w:rPr>
        <w:t xml:space="preserve">Comunidad global y múltiples dominios</w:t>
      </w:r>
    </w:p>
    <w:p>
      <w:pPr>
        <w:spacing w:after="300"/>
      </w:pPr>
    </w:p>
    <w:p>
      <w:pPr>
        <w:pBdr>
          <w:top w:val="single" w:color="E63946" w:sz="4" w:space="12"/>
        </w:pBdr>
        <w:spacing w:before="400" w:after="100"/>
        <w:jc w:val="center"/>
      </w:pPr>
      <w:r>
        <w:rPr>
          <w:rFonts w:ascii="Arial" w:cs="Arial" w:eastAsia="Arial" w:hAnsi="Arial"/>
          <w:b/>
          <w:bCs/>
          <w:color w:val="0D1B2A"/>
          <w:sz w:val="30"/>
          <w:szCs w:val="30"/>
        </w:rPr>
        <w:t xml:space="preserve">Research Match</w:t>
      </w:r>
    </w:p>
    <w:p>
      <w:pPr>
        <w:spacing w:after="60"/>
        <w:jc w:val="center"/>
      </w:pPr>
      <w:r>
        <w:rPr>
          <w:rFonts w:ascii="Arial" w:cs="Arial" w:eastAsia="Arial" w:hAnsi="Arial"/>
          <w:i/>
          <w:iCs/>
          <w:color w:val="666666"/>
          <w:sz w:val="22"/>
          <w:szCs w:val="22"/>
        </w:rPr>
        <w:t xml:space="preserve">No desperdicies tu originalidad. Compartíla.</w:t>
      </w:r>
    </w:p>
    <w:p>
      <w:pPr>
        <w:jc w:val="center"/>
      </w:pPr>
      <w:r>
        <w:rPr>
          <w:rFonts w:ascii="Arial" w:cs="Arial" w:eastAsia="Arial" w:hAnsi="Arial"/>
          <w:color w:val="999999"/>
          <w:sz w:val="18"/>
          <w:szCs w:val="18"/>
        </w:rPr>
        <w:t xml:space="preserve">© 2026 Fausto &amp; Claude AI — Documento vivo, sujeto a iteraciones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3557" w:sz="4" w:space="4"/>
      </w:pBdr>
      <w:tabs>
        <w:tab w:val="right" w:pos="9026"/>
      </w:tabs>
    </w:pPr>
    <w:r>
      <w:rPr>
        <w:rFonts w:ascii="Arial" w:cs="Arial" w:eastAsia="Arial" w:hAnsi="Arial"/>
        <w:b/>
        <w:bCs/>
        <w:color w:val="1D3557"/>
        <w:sz w:val="18"/>
        <w:szCs w:val="18"/>
      </w:rPr>
      <w:t xml:space="preserve">Research Match</w:t>
    </w:r>
    <w:r>
      <w:rPr>
        <w:rFonts w:ascii="Arial" w:cs="Arial" w:eastAsia="Arial" w:hAnsi="Arial"/>
        <w:color w:val="999999"/>
        <w:sz w:val="18"/>
        <w:szCs w:val="18"/>
      </w:rPr>
      <w:t xml:space="preserve">	Especificación Unificada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B2A"/>
      <w:sz w:val="34"/>
      <w:szCs w:val="34"/>
    </w:rPr>
  </w:style>
  <w:style w:type="paragraph" w:styleId="Heading2">
    <w:name w:val="Heading 2"/>
    <w:basedOn w:val="Normal"/>
    <w:next w:val="Normal"/>
    <w:qFormat/>
    <w:pPr>
      <w:spacing w:before="300" w:after="160"/>
      <w:outlineLvl w:val="1"/>
    </w:pPr>
    <w:rPr>
      <w:rFonts w:ascii="Arial" w:cs="Arial" w:eastAsia="Arial" w:hAnsi="Arial"/>
      <w:b/>
      <w:bCs/>
      <w:color w:val="1D3557"/>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457B9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2026-02-15T12:29:57.997Z</dcterms:created>
  <dcterms:modified xsi:type="dcterms:W3CDTF">2026-02-15T12:29:57.997Z</dcterms:modified>
</cp:coreProperties>
</file>

<file path=docProps/custom.xml><?xml version="1.0" encoding="utf-8"?>
<Properties xmlns="http://schemas.openxmlformats.org/officeDocument/2006/custom-properties" xmlns:vt="http://schemas.openxmlformats.org/officeDocument/2006/docPropsVTypes"/>
</file>