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jpe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bc03edf312afae683294dc557fc7d3f1fb9dcf4"/>
    <w:p>
      <w:pPr>
        <w:pStyle w:val="Heading1"/>
      </w:pPr>
      <w:r>
        <w:t xml:space="preserve">Combining ability, heritability and stability for grain yield and phosphorus-use efficiency in a maize line × tester population evaluated under contrasting phosphorus supply in Mozambique</w:t>
      </w:r>
    </w:p>
    <w:p>
      <w:pPr>
        <w:pStyle w:val="FirstParagraph"/>
      </w:pPr>
      <w:r>
        <w:t xml:space="preserve">Stélio Boaventura Nuvunga</w:t>
      </w:r>
      <w:r>
        <w:rPr>
          <w:vertAlign w:val="superscript"/>
        </w:rPr>
        <w:t xml:space="preserve">1,2</w:t>
      </w:r>
      <w:r>
        <w:t xml:space="preserve">, Fausto Rodríguez-Zapata</w:t>
      </w:r>
      <w:r>
        <w:rPr>
          <w:vertAlign w:val="superscript"/>
        </w:rPr>
        <w:t xml:space="preserve">2</w:t>
      </w:r>
      <w:r>
        <w:t xml:space="preserve">, Rubén Rellán-Álvarez</w:t>
      </w:r>
      <w:r>
        <w:rPr>
          <w:vertAlign w:val="superscript"/>
        </w:rPr>
        <w:t xml:space="preserve">2</w:t>
      </w:r>
      <w:r>
        <w:t xml:space="preserve">, Joseph L. Gage</w:t>
      </w:r>
      <w:r>
        <w:rPr>
          <w:vertAlign w:val="superscript"/>
        </w:rPr>
        <w:t xml:space="preserve">3</w:t>
      </w:r>
    </w:p>
    <w:p>
      <w:pPr>
        <w:pStyle w:val="BodyText"/>
      </w:pPr>
      <w:r>
        <w:rPr>
          <w:vertAlign w:val="superscript"/>
        </w:rPr>
        <w:t xml:space="preserve">1</w:t>
      </w:r>
      <w:r>
        <w:t xml:space="preserve">Instituto de Investigação Agrária de Moçambique (IIAM), Maputo, Mozambique</w:t>
      </w:r>
    </w:p>
    <w:p>
      <w:pPr>
        <w:pStyle w:val="BodyText"/>
      </w:pPr>
      <w:r>
        <w:rPr>
          <w:vertAlign w:val="superscript"/>
        </w:rPr>
        <w:t xml:space="preserve">2</w:t>
      </w:r>
      <w:r>
        <w:t xml:space="preserve">Department of Molecular and Structural Biochemistry, North Carolina State University, Raleigh, NC, USA</w:t>
      </w:r>
    </w:p>
    <w:p>
      <w:pPr>
        <w:pStyle w:val="BodyText"/>
      </w:pPr>
      <w:r>
        <w:rPr>
          <w:vertAlign w:val="superscript"/>
        </w:rPr>
        <w:t xml:space="preserve">3</w:t>
      </w:r>
      <w:r>
        <w:t xml:space="preserve">Department of Crop and Soil Sciences, North Carolina State University, Raleigh, NC, USA</w:t>
      </w:r>
    </w:p>
    <w:p>
      <w:pPr>
        <w:pStyle w:val="BodyText"/>
      </w:pPr>
      <w:r>
        <w:rPr>
          <w:i/>
          <w:iCs/>
        </w:rPr>
        <w:t xml:space="preserve">Corresponding author:</w:t>
      </w:r>
      <w:r>
        <w:t xml:space="preserve"> </w:t>
      </w:r>
      <w:r>
        <w:t xml:space="preserve">[email] · [ORCID]</w:t>
      </w:r>
    </w:p>
    <w:p>
      <w:pPr>
        <w:pStyle w:val="BodyText"/>
      </w:pPr>
      <w:r>
        <w:rPr>
          <w:i/>
          <w:iCs/>
        </w:rPr>
        <w:t xml:space="preserve">(ORCIDs, corresponding author and Stélio’s affiliation footnotes to be confirmed. Note: this</w:t>
      </w:r>
      <w:r>
        <w:rPr>
          <w:i/>
          <w:iCs/>
        </w:rPr>
        <w:t xml:space="preserve"> </w:t>
      </w:r>
      <w:r>
        <w:rPr>
          <w:i/>
          <w:iCs/>
        </w:rPr>
        <w:t xml:space="preserve">draft is formatted with the supplied MWEN/IMWA template styles; substitute the Theoretical and</w:t>
      </w:r>
      <w:r>
        <w:rPr>
          <w:i/>
          <w:iCs/>
        </w:rPr>
        <w:t xml:space="preserve"> </w:t>
      </w:r>
      <w:r>
        <w:rPr>
          <w:i/>
          <w:iCs/>
        </w:rPr>
        <w:t xml:space="preserve">Applied Genetics template before submission.)</w:t>
      </w:r>
    </w:p>
    <w:bookmarkEnd w:id="20"/>
    <w:bookmarkStart w:id="21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Low soil-phosphorus availability limits maize productivity across much of sub-Saharan Africa,</w:t>
      </w:r>
      <w:r>
        <w:t xml:space="preserve"> </w:t>
      </w:r>
      <w:r>
        <w:t xml:space="preserve">and breeding phosphorus-efficient hybrids requires knowing how much of the variation in grain</w:t>
      </w:r>
      <w:r>
        <w:t xml:space="preserve"> </w:t>
      </w:r>
      <w:r>
        <w:t xml:space="preserve">yield (GY) and phosphorus-use efficiency (PUE) is heritable and combinable. We evaluated a</w:t>
      </w:r>
      <w:r>
        <w:t xml:space="preserve"> </w:t>
      </w:r>
      <w:r>
        <w:t xml:space="preserve">7 × 7 line × tester (North Carolina Design II) population — 49 F₁ hybrids from seven CIMMYT</w:t>
      </w:r>
      <w:r>
        <w:t xml:space="preserve"> </w:t>
      </w:r>
      <w:r>
        <w:t xml:space="preserve">donor lines crossed with seven IIAM tester lines — across five environments in Mozambique</w:t>
      </w:r>
      <w:r>
        <w:t xml:space="preserve"> </w:t>
      </w:r>
      <w:r>
        <w:t xml:space="preserve">(four locations, with the Chokwe site grown at both optimal and phosphorus-stress levels),</w:t>
      </w:r>
      <w:r>
        <w:t xml:space="preserve"> </w:t>
      </w:r>
      <w:r>
        <w:t xml:space="preserve">in a randomized complete block design with three replications. Eleven traits were analysed:</w:t>
      </w:r>
      <w:r>
        <w:t xml:space="preserve"> </w:t>
      </w:r>
      <w:r>
        <w:t xml:space="preserve">GY and PUE (selection), harvest index, root:shoot ratio, root, shoot and total dry mass</w:t>
      </w:r>
      <w:r>
        <w:t xml:space="preserve"> </w:t>
      </w:r>
      <w:r>
        <w:t xml:space="preserve">(physiological), and plant height, days to anthesis, days to silking and the</w:t>
      </w:r>
      <w:r>
        <w:t xml:space="preserve"> </w:t>
      </w:r>
      <w:r>
        <w:t xml:space="preserve">anthesis–silking interval (auxiliary). Combined line × tester analysis of variance,</w:t>
      </w:r>
      <w:r>
        <w:t xml:space="preserve"> </w:t>
      </w:r>
      <w:r>
        <w:t xml:space="preserve">REML variance components (</w:t>
      </w:r>
      <w:r>
        <w:rPr>
          <w:rStyle w:val="VerbatimChar"/>
        </w:rPr>
        <w:t xml:space="preserve">sommer</w:t>
      </w:r>
      <w:r>
        <w:t xml:space="preserve">), genetic parameters (additive and dominance variance,</w:t>
      </w:r>
      <w:r>
        <w:t xml:space="preserve"> </w:t>
      </w:r>
      <w:r>
        <w:t xml:space="preserve">broad- and narrow-sense heritability, Baker’s predictability ratio), trait correlations and</w:t>
      </w:r>
      <w:r>
        <w:t xml:space="preserve"> </w:t>
      </w:r>
      <w:r>
        <w:t xml:space="preserve">AMMI/GGE stability were estimated. Male-tester GCA was effectively null for GY and its</w:t>
      </w:r>
      <w:r>
        <w:t xml:space="preserve"> </w:t>
      </w:r>
      <w:r>
        <w:t xml:space="preserve">components; narrow-sense heritability was low for GY (h² = 0.12) and PUE (h² = 0.03) but high</w:t>
      </w:r>
      <w:r>
        <w:t xml:space="preserve"> </w:t>
      </w:r>
      <w:r>
        <w:t xml:space="preserve">for flowering time (h² ≈ 0.60, BR ≈ 0.98). PUE and GY were driven by harvest index and shoot</w:t>
      </w:r>
      <w:r>
        <w:t xml:space="preserve"> </w:t>
      </w:r>
      <w:r>
        <w:t xml:space="preserve">biomass (R² = 0.81 and 0.96). The low additive variance for yield is attributed to the narrow,</w:t>
      </w:r>
      <w:r>
        <w:t xml:space="preserve"> </w:t>
      </w:r>
      <w:r>
        <w:t xml:space="preserve">yield-selected parental base. Indirect selection on harvest index and biomass, and exploitation</w:t>
      </w:r>
      <w:r>
        <w:t xml:space="preserve"> </w:t>
      </w:r>
      <w:r>
        <w:t xml:space="preserve">of specific combining ability, are proposed for improving PUE.</w:t>
      </w:r>
    </w:p>
    <w:p>
      <w:pPr>
        <w:pStyle w:val="BodyText"/>
      </w:pPr>
      <w:r>
        <w:rPr>
          <w:b/>
          <w:bCs/>
        </w:rPr>
        <w:t xml:space="preserve">Keywords</w:t>
      </w:r>
      <w:r>
        <w:t xml:space="preserve"> </w:t>
      </w:r>
      <w:r>
        <w:t xml:space="preserve">phosphorus-use efficiency · line × tester · general combining ability ·</w:t>
      </w:r>
      <w:r>
        <w:t xml:space="preserve"> </w:t>
      </w:r>
      <w:r>
        <w:t xml:space="preserve">heritability · genotype × environment · maize</w:t>
      </w:r>
    </w:p>
    <w:bookmarkEnd w:id="21"/>
    <w:bookmarkStart w:id="22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Phosphorus (P) is among the most limiting nutrients for maize (</w:t>
      </w:r>
      <w:r>
        <w:rPr>
          <w:i/>
          <w:iCs/>
        </w:rPr>
        <w:t xml:space="preserve">Zea mays</w:t>
      </w:r>
      <w:r>
        <w:t xml:space="preserve"> </w:t>
      </w:r>
      <w:r>
        <w:t xml:space="preserve">L.) production on</w:t>
      </w:r>
      <w:r>
        <w:t xml:space="preserve"> </w:t>
      </w:r>
      <w:r>
        <w:t xml:space="preserve">the weathered, P-fixing soils that dominate sub-Saharan Africa, where most smallholders cannot</w:t>
      </w:r>
      <w:r>
        <w:t xml:space="preserve"> </w:t>
      </w:r>
      <w:r>
        <w:t xml:space="preserve">afford corrective fertilization. Breeding hybrids that yield well under low-P supply — that is,</w:t>
      </w:r>
      <w:r>
        <w:t xml:space="preserve"> </w:t>
      </w:r>
      <w:r>
        <w:t xml:space="preserve">with high phosphorus-use efficiency (PUE) — is therefore a strategic objective for national</w:t>
      </w:r>
      <w:r>
        <w:t xml:space="preserve"> </w:t>
      </w:r>
      <w:r>
        <w:t xml:space="preserve">programmes such as Mozambique’s Instituto de Investigação Agrária de Moçambique (IIAM).</w:t>
      </w:r>
    </w:p>
    <w:p>
      <w:pPr>
        <w:pStyle w:val="BodyText"/>
      </w:pPr>
      <w:r>
        <w:t xml:space="preserve">Realizing genetic gain for a complex trait such as PUE depends on the amount and nature of the</w:t>
      </w:r>
      <w:r>
        <w:t xml:space="preserve"> </w:t>
      </w:r>
      <w:r>
        <w:t xml:space="preserve">genetic variance available: additive (general combining ability, GCA) variance is directly</w:t>
      </w:r>
      <w:r>
        <w:t xml:space="preserve"> </w:t>
      </w:r>
      <w:r>
        <w:t xml:space="preserve">selectable and transmissible, whereas non-additive (specific combining ability, SCA) variance</w:t>
      </w:r>
      <w:r>
        <w:t xml:space="preserve"> </w:t>
      </w:r>
      <w:r>
        <w:t xml:space="preserve">is exploited through specific hybrid combinations. The line × tester (North Carolina Design II)</w:t>
      </w:r>
      <w:r>
        <w:t xml:space="preserve"> </w:t>
      </w:r>
      <w:r>
        <w:t xml:space="preserve">mating design partitions among-cross variation into GCA of each parental pool and SCA, and,</w:t>
      </w:r>
      <w:r>
        <w:t xml:space="preserve"> </w:t>
      </w:r>
      <w:r>
        <w:t xml:space="preserve">when evaluated across environments, into the corresponding genotype × environment (G×E)</w:t>
      </w:r>
      <w:r>
        <w:t xml:space="preserve"> </w:t>
      </w:r>
      <w:r>
        <w:t xml:space="preserve">interactions.</w:t>
      </w:r>
    </w:p>
    <w:p>
      <w:pPr>
        <w:pStyle w:val="BodyText"/>
      </w:pPr>
      <w:r>
        <w:t xml:space="preserve">Here we analyse a 7 × 7 line × tester maize population — CIMMYT low-P donor lines crossed with</w:t>
      </w:r>
      <w:r>
        <w:t xml:space="preserve"> </w:t>
      </w:r>
      <w:r>
        <w:t xml:space="preserve">IIAM testers — evaluated across five Mozambican environments that contrast in P supply. Our</w:t>
      </w:r>
      <w:r>
        <w:t xml:space="preserve"> </w:t>
      </w:r>
      <w:r>
        <w:t xml:space="preserve">objectives were to (i) estimate combining ability, variance components, heritability and gene</w:t>
      </w:r>
      <w:r>
        <w:t xml:space="preserve"> </w:t>
      </w:r>
      <w:r>
        <w:t xml:space="preserve">action for grain yield, PUE and nine physiological and phenological traits; (ii) identify the</w:t>
      </w:r>
      <w:r>
        <w:t xml:space="preserve"> </w:t>
      </w:r>
      <w:r>
        <w:t xml:space="preserve">traits that drive PUE and could serve as indirect-selection criteria; (iii) assess hybrid</w:t>
      </w:r>
      <w:r>
        <w:t xml:space="preserve"> </w:t>
      </w:r>
      <w:r>
        <w:t xml:space="preserve">stability across environments; and (iv) interpret the observed genetic architecture in light of</w:t>
      </w:r>
      <w:r>
        <w:t xml:space="preserve"> </w:t>
      </w:r>
      <w:r>
        <w:t xml:space="preserve">the parental germplasm base.</w:t>
      </w:r>
    </w:p>
    <w:bookmarkEnd w:id="22"/>
    <w:bookmarkStart w:id="27" w:name="materials-and-methods"/>
    <w:p>
      <w:pPr>
        <w:pStyle w:val="Heading1"/>
      </w:pPr>
      <w:r>
        <w:t xml:space="preserve">Materials and Methods</w:t>
      </w:r>
    </w:p>
    <w:bookmarkStart w:id="23" w:name="plant-material"/>
    <w:p>
      <w:pPr>
        <w:pStyle w:val="Heading2"/>
      </w:pPr>
      <w:r>
        <w:t xml:space="preserve">Plant material</w:t>
      </w:r>
    </w:p>
    <w:p>
      <w:pPr>
        <w:pStyle w:val="FirstParagraph"/>
      </w:pPr>
      <w:r>
        <w:t xml:space="preserve">The population is a 7 × 7 factorial (North Carolina Design II) of 49 F₁ hybrids, with no selfs</w:t>
      </w:r>
      <w:r>
        <w:t xml:space="preserve"> </w:t>
      </w:r>
      <w:r>
        <w:t xml:space="preserve">or reciprocals. The</w:t>
      </w:r>
      <w:r>
        <w:t xml:space="preserve"> </w:t>
      </w:r>
      <w:r>
        <w:rPr>
          <w:b/>
          <w:bCs/>
        </w:rPr>
        <w:t xml:space="preserve">female (line) pool</w:t>
      </w:r>
      <w:r>
        <w:t xml:space="preserve"> </w:t>
      </w:r>
      <w:r>
        <w:t xml:space="preserve">comprised seven CIMMYT tropical donor inbreds</w:t>
      </w:r>
      <w:r>
        <w:t xml:space="preserve"> </w:t>
      </w:r>
      <w:r>
        <w:t xml:space="preserve">selected for low-P tolerance: CML364, CML366, CML434, CML435, CML439, CML530 and CML532. The</w:t>
      </w:r>
      <w:r>
        <w:t xml:space="preserve"> </w:t>
      </w:r>
      <w:r>
        <w:rPr>
          <w:b/>
          <w:bCs/>
        </w:rPr>
        <w:t xml:space="preserve">male (tester) pool</w:t>
      </w:r>
      <w:r>
        <w:t xml:space="preserve"> </w:t>
      </w:r>
      <w:r>
        <w:t xml:space="preserve">comprised seven IIAM tester lines, designated by their IIAM donor</w:t>
      </w:r>
      <w:r>
        <w:t xml:space="preserve"> </w:t>
      </w:r>
      <w:r>
        <w:t xml:space="preserve">identifiers EN17, EN20, EN21, EN25, EN31, EN32 and EN64 (corresponding to the legacy NCDII</w:t>
      </w:r>
      <w:r>
        <w:t xml:space="preserve"> </w:t>
      </w:r>
      <w:r>
        <w:t xml:space="preserve">identifiers MOZL3, MOZL5, MOZL6, MOZL7, MOZL8, MOZL9 and MOZL10). The testers derive from three</w:t>
      </w:r>
      <w:r>
        <w:t xml:space="preserve"> </w:t>
      </w:r>
      <w:r>
        <w:t xml:space="preserve">CIMMYT-based pedigree backgrounds — (ZM421 × CML491), (ZM421 × CLRCY034) and (MATUBASG × CML539)</w:t>
      </w:r>
      <w:r>
        <w:t xml:space="preserve"> </w:t>
      </w:r>
      <w:r>
        <w:t xml:space="preserve">— and were retained as the top seven for yield from a broader set of elite candidates. A</w:t>
      </w:r>
      <w:r>
        <w:t xml:space="preserve"> </w:t>
      </w:r>
      <w:r>
        <w:t xml:space="preserve">released commercial hybrid, NAMULONGUE, was included as a repeated check.</w:t>
      </w:r>
    </w:p>
    <w:bookmarkEnd w:id="23"/>
    <w:bookmarkStart w:id="24" w:name="X0d0464ca0dddd9b1b1351b5376028499f0e17cb"/>
    <w:p>
      <w:pPr>
        <w:pStyle w:val="Heading2"/>
      </w:pPr>
      <w:r>
        <w:t xml:space="preserve">Locations, phosphorus treatments and experimental design</w:t>
      </w:r>
    </w:p>
    <w:p>
      <w:pPr>
        <w:pStyle w:val="FirstParagraph"/>
      </w:pPr>
      <w:r>
        <w:t xml:space="preserve">Hybrids were evaluated across</w:t>
      </w:r>
      <w:r>
        <w:t xml:space="preserve"> </w:t>
      </w:r>
      <w:r>
        <w:rPr>
          <w:b/>
          <w:bCs/>
        </w:rPr>
        <w:t xml:space="preserve">four locations</w:t>
      </w:r>
      <w:r>
        <w:t xml:space="preserve"> </w:t>
      </w:r>
      <w:r>
        <w:t xml:space="preserve">in Mozambique. At Chokwe the trial was grown</w:t>
      </w:r>
      <w:r>
        <w:t xml:space="preserve"> </w:t>
      </w:r>
      <w:r>
        <w:t xml:space="preserve">under</w:t>
      </w:r>
      <w:r>
        <w:t xml:space="preserve"> </w:t>
      </w:r>
      <w:r>
        <w:rPr>
          <w:b/>
          <w:bCs/>
        </w:rPr>
        <w:t xml:space="preserve">two phosphorus regimes</w:t>
      </w:r>
      <w:r>
        <w:t xml:space="preserve"> </w:t>
      </w:r>
      <w:r>
        <w:t xml:space="preserve">— optimal (50 kg P ha⁻¹) and stress (10 kg P ha⁻¹) — while</w:t>
      </w:r>
      <w:r>
        <w:t xml:space="preserve"> </w:t>
      </w:r>
      <w:r>
        <w:t xml:space="preserve">Maniquenique was grown under optimal supply and Nhacoongo and Sussundenga under P-stress,</w:t>
      </w:r>
      <w:r>
        <w:t xml:space="preserve"> </w:t>
      </w:r>
      <w:r>
        <w:t xml:space="preserve">giving</w:t>
      </w:r>
      <w:r>
        <w:t xml:space="preserve"> </w:t>
      </w:r>
      <w:r>
        <w:rPr>
          <w:b/>
          <w:bCs/>
        </w:rPr>
        <w:t xml:space="preserve">five environment × treatment combinations</w:t>
      </w:r>
      <w:r>
        <w:t xml:space="preserve"> </w:t>
      </w:r>
      <w:r>
        <w:t xml:space="preserve">(hereafter environments): CHOKWE OPT,</w:t>
      </w:r>
      <w:r>
        <w:t xml:space="preserve"> </w:t>
      </w:r>
      <w:r>
        <w:t xml:space="preserve">CHOKWE STS, MANIQUENIQ OPT, NHACOONGO STS and SUSSUNDENGA STS. Because both P levels were</w:t>
      </w:r>
      <w:r>
        <w:t xml:space="preserve"> </w:t>
      </w:r>
      <w:r>
        <w:t xml:space="preserve">applied to the same genotypes only at Chokwe, the phosphorus effect was estimated within that</w:t>
      </w:r>
      <w:r>
        <w:t xml:space="preserve"> </w:t>
      </w:r>
      <w:r>
        <w:t xml:space="preserve">paired site to avoid confounding with location.</w:t>
      </w:r>
    </w:p>
    <w:p>
      <w:pPr>
        <w:pStyle w:val="BodyText"/>
      </w:pPr>
      <w:r>
        <w:t xml:space="preserve">Each environment was laid out as a</w:t>
      </w:r>
      <w:r>
        <w:t xml:space="preserve"> </w:t>
      </w:r>
      <w:r>
        <w:rPr>
          <w:b/>
          <w:bCs/>
        </w:rPr>
        <w:t xml:space="preserve">randomized complete block design (RCBD)</w:t>
      </w:r>
      <w:r>
        <w:t xml:space="preserve"> </w:t>
      </w:r>
      <w:r>
        <w:t xml:space="preserve">with three</w:t>
      </w:r>
      <w:r>
        <w:t xml:space="preserve"> </w:t>
      </w:r>
      <w:r>
        <w:t xml:space="preserve">replications. Within each replication, the 50 entries (49 hybrids + check) were sown in a</w:t>
      </w:r>
      <w:r>
        <w:t xml:space="preserve"> </w:t>
      </w:r>
      <w:r>
        <w:t xml:space="preserve">5-column × 10-row</w:t>
      </w:r>
      <w:r>
        <w:t xml:space="preserve"> </w:t>
      </w:r>
      <w:r>
        <w:rPr>
          <w:b/>
          <w:bCs/>
        </w:rPr>
        <w:t xml:space="preserve">serpentine</w:t>
      </w:r>
      <w:r>
        <w:t xml:space="preserve"> </w:t>
      </w:r>
      <w:r>
        <w:t xml:space="preserve">arrangement; field row and column were recovered from the</w:t>
      </w:r>
      <w:r>
        <w:t xml:space="preserve"> </w:t>
      </w:r>
      <w:r>
        <w:t xml:space="preserve">planting order and fitted as nested spatial covariates. The complete dataset comprised</w:t>
      </w:r>
      <w:r>
        <w:t xml:space="preserve"> </w:t>
      </w:r>
      <w:r>
        <w:rPr>
          <w:b/>
          <w:bCs/>
        </w:rPr>
        <w:t xml:space="preserve">750</w:t>
      </w:r>
      <w:r>
        <w:rPr>
          <w:b/>
          <w:bCs/>
        </w:rPr>
        <w:t xml:space="preserve"> </w:t>
      </w:r>
      <w:r>
        <w:rPr>
          <w:b/>
          <w:bCs/>
        </w:rPr>
        <w:t xml:space="preserve">plots</w:t>
      </w:r>
      <w:r>
        <w:t xml:space="preserve"> </w:t>
      </w:r>
      <w:r>
        <w:t xml:space="preserve">(49 hybrids × 5 environments × 3 replications, plus the check), a balanced 7 × 7</w:t>
      </w:r>
      <w:r>
        <w:t xml:space="preserve"> </w:t>
      </w:r>
      <w:r>
        <w:t xml:space="preserve">factorial. Planting dates ranged from early July to early August; days to flowering were</w:t>
      </w:r>
      <w:r>
        <w:t xml:space="preserve"> </w:t>
      </w:r>
      <w:r>
        <w:t xml:space="preserve">computed relative to each environment’s planting date.</w:t>
      </w:r>
    </w:p>
    <w:bookmarkEnd w:id="24"/>
    <w:bookmarkStart w:id="25" w:name="traits"/>
    <w:p>
      <w:pPr>
        <w:pStyle w:val="Heading2"/>
      </w:pPr>
      <w:r>
        <w:t xml:space="preserve">Traits</w:t>
      </w:r>
    </w:p>
    <w:p>
      <w:pPr>
        <w:pStyle w:val="FirstParagraph"/>
      </w:pPr>
      <w:r>
        <w:t xml:space="preserve">Eleven traits were analysed, in three groups.</w:t>
      </w:r>
      <w:r>
        <w:t xml:space="preserve"> </w:t>
      </w:r>
      <w:r>
        <w:rPr>
          <w:b/>
          <w:bCs/>
        </w:rPr>
        <w:t xml:space="preserve">Selection traits:</w:t>
      </w:r>
      <w:r>
        <w:t xml:space="preserve"> </w:t>
      </w:r>
      <w:r>
        <w:t xml:space="preserve">grain yield (GY, t ha⁻¹)</w:t>
      </w:r>
      <w:r>
        <w:t xml:space="preserve"> </w:t>
      </w:r>
      <w:r>
        <w:t xml:space="preserve">and phosphorus-use efficiency (PUE = grain yield / applied P).</w:t>
      </w:r>
      <w:r>
        <w:t xml:space="preserve"> </w:t>
      </w:r>
      <w:r>
        <w:rPr>
          <w:b/>
          <w:bCs/>
        </w:rPr>
        <w:t xml:space="preserve">Physiological traits:</w:t>
      </w:r>
      <w:r>
        <w:t xml:space="preserve"> </w:t>
      </w:r>
      <w:r>
        <w:t xml:space="preserve">harvest index (HI = grain dry weight / total aboveground dry biomass), root:shoot ratio</w:t>
      </w:r>
      <w:r>
        <w:t xml:space="preserve"> </w:t>
      </w:r>
      <w:r>
        <w:t xml:space="preserve">(RSR = root dry weight / shoot dry weight), root weight (RW), shoot dry weight (SW) and total</w:t>
      </w:r>
      <w:r>
        <w:t xml:space="preserve"> </w:t>
      </w:r>
      <w:r>
        <w:t xml:space="preserve">dry mass (TDM = SW + RW).</w:t>
      </w:r>
      <w:r>
        <w:t xml:space="preserve"> </w:t>
      </w:r>
      <w:r>
        <w:rPr>
          <w:b/>
          <w:bCs/>
        </w:rPr>
        <w:t xml:space="preserve">Auxiliary traits:</w:t>
      </w:r>
      <w:r>
        <w:t xml:space="preserve"> </w:t>
      </w:r>
      <w:r>
        <w:t xml:space="preserve">plant height (PH, cm), days to anthesis (DTA),</w:t>
      </w:r>
      <w:r>
        <w:t xml:space="preserve"> </w:t>
      </w:r>
      <w:r>
        <w:t xml:space="preserve">days to silking (DTS) and the anthesis–silking interval (ASI = DTS − DTA).</w:t>
      </w:r>
    </w:p>
    <w:bookmarkEnd w:id="25"/>
    <w:bookmarkStart w:id="26" w:name="statistical-analyses"/>
    <w:p>
      <w:pPr>
        <w:pStyle w:val="Heading2"/>
      </w:pPr>
      <w:r>
        <w:t xml:space="preserve">Statistical analyses</w:t>
      </w:r>
    </w:p>
    <w:p>
      <w:pPr>
        <w:pStyle w:val="FirstParagraph"/>
      </w:pPr>
      <w:r>
        <w:t xml:space="preserve">All analyses were performed in R. Data quality was screened for missing values and outliers</w:t>
      </w:r>
      <w:r>
        <w:t xml:space="preserve"> </w:t>
      </w:r>
      <w:r>
        <w:t xml:space="preserve">(Tukey inter-quartile-range fences), and distributional form assessed per trait with the</w:t>
      </w:r>
      <w:r>
        <w:t xml:space="preserve"> </w:t>
      </w:r>
      <w:r>
        <w:t xml:space="preserve">Shapiro–Wilk test, Q–Q plots and histograms. The</w:t>
      </w:r>
      <w:r>
        <w:t xml:space="preserve"> </w:t>
      </w:r>
      <w:r>
        <w:rPr>
          <w:b/>
          <w:bCs/>
        </w:rPr>
        <w:t xml:space="preserve">phosphorus effect</w:t>
      </w:r>
      <w:r>
        <w:t xml:space="preserve"> </w:t>
      </w:r>
      <w:r>
        <w:t xml:space="preserve">at Chokwe was estimated</w:t>
      </w:r>
      <w:r>
        <w:t xml:space="preserve"> </w:t>
      </w:r>
      <w:r>
        <w:t xml:space="preserve">per trait with a mixed model (treatment fixed; replication, genotype and genotype × treatment</w:t>
      </w:r>
      <w:r>
        <w:t xml:space="preserve"> </w:t>
      </w:r>
      <w:r>
        <w:t xml:space="preserve">random), using Kenward–Roger F-tests (</w:t>
      </w:r>
      <w:r>
        <w:rPr>
          <w:rStyle w:val="VerbatimChar"/>
        </w:rPr>
        <w:t xml:space="preserve">lmerTest</w:t>
      </w:r>
      <w:r>
        <w:t xml:space="preserve">) and estimated marginal means (</w:t>
      </w:r>
      <w:r>
        <w:rPr>
          <w:rStyle w:val="VerbatimChar"/>
        </w:rPr>
        <w:t xml:space="preserve">emmeans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Combining ability</w:t>
      </w:r>
      <w:r>
        <w:t xml:space="preserve"> </w:t>
      </w:r>
      <w:r>
        <w:t xml:space="preserve">was analysed with the combined line × tester model across environments.</w:t>
      </w:r>
      <w:r>
        <w:t xml:space="preserve"> </w:t>
      </w:r>
      <w:r>
        <w:t xml:space="preserve">General combining ability of the lines (GCA_L) and testers (GCA_T) and specific combining</w:t>
      </w:r>
      <w:r>
        <w:t xml:space="preserve"> </w:t>
      </w:r>
      <w:r>
        <w:t xml:space="preserve">ability (SCA) were tested against their respective environment-interaction mean squares (the</w:t>
      </w:r>
      <w:r>
        <w:t xml:space="preserve"> </w:t>
      </w:r>
      <w:r>
        <w:t xml:space="preserve">appropriate error strata for a multi-environment trial), and GCA and SCA effects were estimated</w:t>
      </w:r>
      <w:r>
        <w:t xml:space="preserve"> </w:t>
      </w:r>
      <w:r>
        <w:t xml:space="preserve">from the balanced cross means.</w:t>
      </w:r>
      <w:r>
        <w:t xml:space="preserve"> </w:t>
      </w:r>
      <w:r>
        <w:rPr>
          <w:b/>
          <w:bCs/>
        </w:rPr>
        <w:t xml:space="preserve">Variance components</w:t>
      </w:r>
      <w:r>
        <w:t xml:space="preserve"> </w:t>
      </w:r>
      <w:r>
        <w:t xml:space="preserve">were estimated by REML with</w:t>
      </w:r>
      <w:r>
        <w:t xml:space="preserve"> </w:t>
      </w:r>
      <w:r>
        <w:rPr>
          <w:rStyle w:val="VerbatimChar"/>
        </w:rPr>
        <w:t xml:space="preserve">sommer::mmer</w:t>
      </w:r>
      <w:r>
        <w:t xml:space="preserve"> </w:t>
      </w:r>
      <w:r>
        <w:t xml:space="preserve">(environment fixed; female, male, cross and their environment interactions, and</w:t>
      </w:r>
      <w:r>
        <w:t xml:space="preserve"> </w:t>
      </w:r>
      <w:r>
        <w:t xml:space="preserve">the spatial terms, random). From the variance components we derived additive variance</w:t>
      </w:r>
      <w:r>
        <w:t xml:space="preserve"> </w:t>
      </w:r>
      <w:r>
        <w:t xml:space="preserve">(AV = 2[σ²_GCA(L) + σ²_GCA(T)]), dominance variance (DV = 4 σ²_SCA), entry-mean broad-sense</w:t>
      </w:r>
      <w:r>
        <w:t xml:space="preserve"> </w:t>
      </w:r>
      <w:r>
        <w:t xml:space="preserve">(H²) and narrow-sense (h²) heritabilities, and</w:t>
      </w:r>
      <w:r>
        <w:t xml:space="preserve"> </w:t>
      </w:r>
      <w:r>
        <w:rPr>
          <w:b/>
          <w:bCs/>
        </w:rPr>
        <w:t xml:space="preserve">Baker’s predictability ratio</w:t>
      </w:r>
      <w:r>
        <w:t xml:space="preserve"> </w:t>
      </w:r>
      <w:r>
        <w:t xml:space="preserve">(BR = 2σ²_GCA / [2σ²_GCA + σ²_SCA]; BR → 1 indicates additive control). Superior hybrids were</w:t>
      </w:r>
      <w:r>
        <w:t xml:space="preserve"> </w:t>
      </w:r>
      <w:r>
        <w:t xml:space="preserve">ranked by BLUP genotypic value.</w:t>
      </w:r>
    </w:p>
    <w:p>
      <w:pPr>
        <w:pStyle w:val="BodyText"/>
      </w:pPr>
      <w:r>
        <w:t xml:space="preserve">Genetic (among-hybrid)</w:t>
      </w:r>
      <w:r>
        <w:t xml:space="preserve"> </w:t>
      </w:r>
      <w:r>
        <w:rPr>
          <w:b/>
          <w:bCs/>
        </w:rPr>
        <w:t xml:space="preserve">correlations</w:t>
      </w:r>
      <w:r>
        <w:t xml:space="preserve"> </w:t>
      </w:r>
      <w:r>
        <w:t xml:space="preserve">among traits were computed on the 49 cross means, and</w:t>
      </w:r>
      <w:r>
        <w:t xml:space="preserve"> </w:t>
      </w:r>
      <w:r>
        <w:t xml:space="preserve">standardized</w:t>
      </w:r>
      <w:r>
        <w:t xml:space="preserve"> </w:t>
      </w:r>
      <w:r>
        <w:rPr>
          <w:b/>
          <w:bCs/>
        </w:rPr>
        <w:t xml:space="preserve">multiple regressions</w:t>
      </w:r>
      <w:r>
        <w:t xml:space="preserve"> </w:t>
      </w:r>
      <w:r>
        <w:t xml:space="preserve">of PUE and GY on the physiological and auxiliary traits</w:t>
      </w:r>
      <w:r>
        <w:t xml:space="preserve"> </w:t>
      </w:r>
      <w:r>
        <w:t xml:space="preserve">identified the traits most associated with each (excluding the exact identities TDM = SW + RW</w:t>
      </w:r>
      <w:r>
        <w:t xml:space="preserve"> </w:t>
      </w:r>
      <w:r>
        <w:t xml:space="preserve">and ASI = DTS − DTA, and GY from the PUE model).</w:t>
      </w:r>
      <w:r>
        <w:t xml:space="preserve"> </w:t>
      </w:r>
      <w:r>
        <w:rPr>
          <w:b/>
          <w:bCs/>
        </w:rPr>
        <w:t xml:space="preserve">Stability</w:t>
      </w:r>
      <w:r>
        <w:t xml:space="preserve"> </w:t>
      </w:r>
      <w:r>
        <w:t xml:space="preserve">of GY and PUE was assessed with</w:t>
      </w:r>
      <w:r>
        <w:t xml:space="preserve"> </w:t>
      </w:r>
      <w:r>
        <w:t xml:space="preserve">AMMI and GGE biplots and the WAAS/WAASY indices (</w:t>
      </w:r>
      <w:r>
        <w:rPr>
          <w:rStyle w:val="VerbatimChar"/>
        </w:rPr>
        <w:t xml:space="preserve">metan</w:t>
      </w:r>
      <w:r>
        <w:t xml:space="preserve">).</w:t>
      </w:r>
    </w:p>
    <w:bookmarkEnd w:id="26"/>
    <w:bookmarkEnd w:id="27"/>
    <w:bookmarkStart w:id="34" w:name="results"/>
    <w:p>
      <w:pPr>
        <w:pStyle w:val="Heading1"/>
      </w:pPr>
      <w:r>
        <w:t xml:space="preserve">Results</w:t>
      </w:r>
    </w:p>
    <w:bookmarkStart w:id="28" w:name="trait-variation-and-data-quality"/>
    <w:p>
      <w:pPr>
        <w:pStyle w:val="Heading2"/>
      </w:pPr>
      <w:r>
        <w:t xml:space="preserve">Trait variation and data quality</w:t>
      </w:r>
    </w:p>
    <w:p>
      <w:pPr>
        <w:pStyle w:val="FirstParagraph"/>
      </w:pPr>
      <w:r>
        <w:t xml:space="preserve">The 49 hybrids were fully replicated (750 plots, no missing values in the analysed traits). The</w:t>
      </w:r>
      <w:r>
        <w:t xml:space="preserve"> </w:t>
      </w:r>
      <w:r>
        <w:t xml:space="preserve">grand-mean grain yield was 6.5 t ha⁻¹, ranging among environments from 5.25 t ha⁻¹ (Nhacoongo)</w:t>
      </w:r>
      <w:r>
        <w:t xml:space="preserve"> </w:t>
      </w:r>
      <w:r>
        <w:t xml:space="preserve">to 7.41 t ha⁻¹ (Sussundenga). Ratio and interval traits (PUE, RSR, HI, ASI) departed most from</w:t>
      </w:r>
      <w:r>
        <w:t xml:space="preserve"> </w:t>
      </w:r>
      <w:r>
        <w:t xml:space="preserve">normality (Shapiro–Wilk), flagging them as transformation candidates.</w:t>
      </w:r>
    </w:p>
    <w:bookmarkEnd w:id="28"/>
    <w:bookmarkStart w:id="29" w:name="effect-of-phosphorus-supply-chokwe"/>
    <w:p>
      <w:pPr>
        <w:pStyle w:val="Heading2"/>
      </w:pPr>
      <w:r>
        <w:t xml:space="preserve">Effect of phosphorus supply (Chokwe)</w:t>
      </w:r>
    </w:p>
    <w:p>
      <w:pPr>
        <w:pStyle w:val="FirstParagraph"/>
      </w:pPr>
      <w:r>
        <w:t xml:space="preserve">At Chokwe, phosphorus stress significantly reduced plant height (162 → 145 cm, P &lt; 0.001),</w:t>
      </w:r>
      <w:r>
        <w:t xml:space="preserve"> </w:t>
      </w:r>
      <w:r>
        <w:t xml:space="preserve">delayed anthesis (73.0 → 75.4 d, P &lt; 0.001) and silking (74.9 → 78.1 d, P &lt; 0.001), and widened</w:t>
      </w:r>
      <w:r>
        <w:t xml:space="preserve"> </w:t>
      </w:r>
      <w:r>
        <w:t xml:space="preserve">the anthesis–silking interval (1.9 → 2.7 d, P = 0.03) — the classical phenological signatures of</w:t>
      </w:r>
      <w:r>
        <w:t xml:space="preserve"> </w:t>
      </w:r>
      <w:r>
        <w:t xml:space="preserve">abiotic stress. Grain yield did not differ significantly between P levels (6.49 vs 6.83 t ha⁻¹,</w:t>
      </w:r>
      <w:r>
        <w:t xml:space="preserve"> </w:t>
      </w:r>
      <w:r>
        <w:t xml:space="preserve">P = 0.46), nor did the biomass traits; the apparent PUE difference is a mechanical consequence</w:t>
      </w:r>
      <w:r>
        <w:t xml:space="preserve"> </w:t>
      </w:r>
      <w:r>
        <w:t xml:space="preserve">of the applied-P denominator. Genotype × treatment interaction was significant for plant height</w:t>
      </w:r>
      <w:r>
        <w:t xml:space="preserve"> </w:t>
      </w:r>
      <w:r>
        <w:t xml:space="preserve">and days to anthesis, indicating that hybrids differed in their phenological response to P.</w:t>
      </w:r>
    </w:p>
    <w:bookmarkEnd w:id="29"/>
    <w:bookmarkStart w:id="30" w:name="combining-ability"/>
    <w:p>
      <w:pPr>
        <w:pStyle w:val="Heading2"/>
      </w:pPr>
      <w:r>
        <w:t xml:space="preserve">Combining ability</w:t>
      </w:r>
    </w:p>
    <w:p>
      <w:pPr>
        <w:pStyle w:val="FirstParagraph"/>
      </w:pPr>
      <w:r>
        <w:t xml:space="preserve">In the combined line × tester ANOVA, tester GCA (GCA_T) was significant only for maturity (days</w:t>
      </w:r>
      <w:r>
        <w:t xml:space="preserve"> </w:t>
      </w:r>
      <w:r>
        <w:t xml:space="preserve">to anthesis and silking) and for root and total dry mass; it was non-significant for grain yield</w:t>
      </w:r>
      <w:r>
        <w:t xml:space="preserve"> </w:t>
      </w:r>
      <w:r>
        <w:t xml:space="preserve">and its components. Line GCA (GCA_L) was significant for harvest index, root weight, plant</w:t>
      </w:r>
      <w:r>
        <w:t xml:space="preserve"> </w:t>
      </w:r>
      <w:r>
        <w:t xml:space="preserve">height and maturity. Specific combining ability was significant for grain yield, root weight and</w:t>
      </w:r>
      <w:r>
        <w:t xml:space="preserve"> </w:t>
      </w:r>
      <w:r>
        <w:t xml:space="preserve">total dry mass, and the G×E interaction dominated PUE and grain yield. Thus the male testers</w:t>
      </w:r>
      <w:r>
        <w:t xml:space="preserve"> </w:t>
      </w:r>
      <w:r>
        <w:t xml:space="preserve">contributed essentially no additive variation for yield, while the female donor lines and</w:t>
      </w:r>
      <w:r>
        <w:t xml:space="preserve"> </w:t>
      </w:r>
      <w:r>
        <w:t xml:space="preserve">specific combinations carried the yield-relevant genetic signal.</w:t>
      </w:r>
    </w:p>
    <w:bookmarkEnd w:id="30"/>
    <w:bookmarkStart w:id="31" w:name="X998496ba4a1a42f095d01e49331fe3217ef0918"/>
    <w:p>
      <w:pPr>
        <w:pStyle w:val="Heading2"/>
      </w:pPr>
      <w:r>
        <w:t xml:space="preserve">Variance components, heritability and gene action</w:t>
      </w:r>
    </w:p>
    <w:p>
      <w:pPr>
        <w:pStyle w:val="FirstParagraph"/>
      </w:pPr>
      <w:r>
        <w:t xml:space="preserve">Narrow-sense heritability was highest for the flowering traits (DTA h² = 0.60, DTS h² = 0.61)</w:t>
      </w:r>
      <w:r>
        <w:t xml:space="preserve"> </w:t>
      </w:r>
      <w:r>
        <w:t xml:space="preserve">with Baker’s ratio ≈ 0.98, indicating almost purely additive, predictable control. Grain yield</w:t>
      </w:r>
      <w:r>
        <w:t xml:space="preserve"> </w:t>
      </w:r>
      <w:r>
        <w:t xml:space="preserve">had moderate broad-sense but low narrow-sense heritability (H² = 0.39, h² = 0.12, BR = 0.47),</w:t>
      </w:r>
      <w:r>
        <w:t xml:space="preserve"> </w:t>
      </w:r>
      <w:r>
        <w:t xml:space="preserve">and PUE was lowest (H² = 0.25, h² = 0.03, BR = 0.20), reflecting a predominantly non-additive</w:t>
      </w:r>
      <w:r>
        <w:t xml:space="preserve"> </w:t>
      </w:r>
      <w:r>
        <w:t xml:space="preserve">and G×E-driven architecture. Plant height and the biomass traits were intermediate (h² = 0.19–</w:t>
      </w:r>
      <w:r>
        <w:t xml:space="preserve"> </w:t>
      </w:r>
      <w:r>
        <w:t xml:space="preserve">0.27, BR = 0.52–0.72). Male-tester GCA variance for grain yield and its components was estimated</w:t>
      </w:r>
      <w:r>
        <w:t xml:space="preserve"> </w:t>
      </w:r>
      <w:r>
        <w:t xml:space="preserve">at the zero boundary (singular), confirming negligible additive differentiation among testers</w:t>
      </w:r>
      <w:r>
        <w:t xml:space="preserve"> </w:t>
      </w:r>
      <w:r>
        <w:t xml:space="preserve">for yield.</w:t>
      </w:r>
    </w:p>
    <w:bookmarkEnd w:id="31"/>
    <w:bookmarkStart w:id="32" w:name="traits-associated-with-pue"/>
    <w:p>
      <w:pPr>
        <w:pStyle w:val="Heading2"/>
      </w:pPr>
      <w:r>
        <w:t xml:space="preserve">Traits associated with PUE</w:t>
      </w:r>
    </w:p>
    <w:p>
      <w:pPr>
        <w:pStyle w:val="FirstParagraph"/>
      </w:pPr>
      <w:r>
        <w:t xml:space="preserve">Genetically, PUE was most strongly correlated with grain yield (r = 0.87, by definition) and</w:t>
      </w:r>
      <w:r>
        <w:t xml:space="preserve"> </w:t>
      </w:r>
      <w:r>
        <w:t xml:space="preserve">then with total dry mass (0.67), shoot dry weight (0.66), root weight (0.58) and plant height</w:t>
      </w:r>
      <w:r>
        <w:t xml:space="preserve"> </w:t>
      </w:r>
      <w:r>
        <w:t xml:space="preserve">(0.41). Standardized multiple regression identified</w:t>
      </w:r>
      <w:r>
        <w:t xml:space="preserve"> </w:t>
      </w:r>
      <w:r>
        <w:rPr>
          <w:b/>
          <w:bCs/>
        </w:rPr>
        <w:t xml:space="preserve">shoot dry weight and harvest index</w:t>
      </w:r>
      <w:r>
        <w:t xml:space="preserve"> </w:t>
      </w:r>
      <w:r>
        <w:t xml:space="preserve">as</w:t>
      </w:r>
      <w:r>
        <w:t xml:space="preserve"> </w:t>
      </w:r>
      <w:r>
        <w:t xml:space="preserve">the dominant drivers of PUE (R² = 0.81) and of grain yield (harvest index and shoot dry weight,</w:t>
      </w:r>
      <w:r>
        <w:t xml:space="preserve"> </w:t>
      </w:r>
      <w:r>
        <w:t xml:space="preserve">R² = 0.96). Because these driver traits are moderately heritable whereas PUE is weakly heritable</w:t>
      </w:r>
      <w:r>
        <w:t xml:space="preserve"> </w:t>
      </w:r>
      <w:r>
        <w:t xml:space="preserve">directly, they are candidate indirect-selection criteria.</w:t>
      </w:r>
    </w:p>
    <w:bookmarkEnd w:id="32"/>
    <w:bookmarkStart w:id="33" w:name="stability"/>
    <w:p>
      <w:pPr>
        <w:pStyle w:val="Heading2"/>
      </w:pPr>
      <w:r>
        <w:t xml:space="preserve">Stability</w:t>
      </w:r>
    </w:p>
    <w:p>
      <w:pPr>
        <w:pStyle w:val="FirstParagraph"/>
      </w:pPr>
      <w:r>
        <w:t xml:space="preserve">AMMI analysis of grain yield showed a significant genotype main effect but a non-significant</w:t>
      </w:r>
      <w:r>
        <w:t xml:space="preserve"> </w:t>
      </w:r>
      <w:r>
        <w:t xml:space="preserve">genotype × environment interaction, and the first two interaction principal components captured</w:t>
      </w:r>
      <w:r>
        <w:t xml:space="preserve"> </w:t>
      </w:r>
      <w:r>
        <w:t xml:space="preserve">≈ 72 % of the (limited) G×E, indicating broadly stable hybrid rankings. The GGE which-won-where</w:t>
      </w:r>
      <w:r>
        <w:t xml:space="preserve"> </w:t>
      </w:r>
      <w:r>
        <w:t xml:space="preserve">biplot resolved the environments into few mega-environments. Jointly ranking mean performance</w:t>
      </w:r>
      <w:r>
        <w:t xml:space="preserve"> </w:t>
      </w:r>
      <w:r>
        <w:t xml:space="preserve">and stability (WAASY), the most stable high-yielding hybrids were CML434 × EN20, CML434 × EN17</w:t>
      </w:r>
      <w:r>
        <w:t xml:space="preserve"> </w:t>
      </w:r>
      <w:r>
        <w:t xml:space="preserve">and CML530 × EN31.</w:t>
      </w:r>
    </w:p>
    <w:bookmarkEnd w:id="33"/>
    <w:bookmarkEnd w:id="34"/>
    <w:bookmarkStart w:id="38" w:name="discussion"/>
    <w:p>
      <w:pPr>
        <w:pStyle w:val="Heading1"/>
      </w:pPr>
      <w:r>
        <w:t xml:space="preserve">Discussion</w:t>
      </w:r>
    </w:p>
    <w:bookmarkStart w:id="35" w:name="genetic-architecture-of-yield-and-pue"/>
    <w:p>
      <w:pPr>
        <w:pStyle w:val="Heading2"/>
      </w:pPr>
      <w:r>
        <w:t xml:space="preserve">Genetic architecture of yield and PUE</w:t>
      </w:r>
    </w:p>
    <w:p>
      <w:pPr>
        <w:pStyle w:val="FirstParagraph"/>
      </w:pPr>
      <w:r>
        <w:t xml:space="preserve">Grain yield and, especially, PUE showed low narrow-sense heritability and low Baker’s ratios,</w:t>
      </w:r>
      <w:r>
        <w:t xml:space="preserve"> </w:t>
      </w:r>
      <w:r>
        <w:t xml:space="preserve">with the yield-relevant variance concentrated in specific combining ability and genotype ×</w:t>
      </w:r>
      <w:r>
        <w:t xml:space="preserve"> </w:t>
      </w:r>
      <w:r>
        <w:t xml:space="preserve">environment interaction rather than in transmissible additive (GCA) effects. In contrast,</w:t>
      </w:r>
      <w:r>
        <w:t xml:space="preserve"> </w:t>
      </w:r>
      <w:r>
        <w:t xml:space="preserve">flowering time was highly heritable and almost purely additive. This pattern — heritable</w:t>
      </w:r>
      <w:r>
        <w:t xml:space="preserve"> </w:t>
      </w:r>
      <w:r>
        <w:t xml:space="preserve">phenology but weakly heritable, non-additive yield — has direct consequences for the breeding</w:t>
      </w:r>
      <w:r>
        <w:t xml:space="preserve"> </w:t>
      </w:r>
      <w:r>
        <w:t xml:space="preserve">strategy: direct selection on yield or PUE across environments will be inefficient, whereas the</w:t>
      </w:r>
      <w:r>
        <w:t xml:space="preserve"> </w:t>
      </w:r>
      <w:r>
        <w:t xml:space="preserve">more heritable, correlated traits offer a more reliable route.</w:t>
      </w:r>
    </w:p>
    <w:bookmarkEnd w:id="35"/>
    <w:bookmarkStart w:id="36" w:name="Xe6eb63ab1c1eff9e2142185869706d6f535acc9"/>
    <w:p>
      <w:pPr>
        <w:pStyle w:val="Heading2"/>
      </w:pPr>
      <w:r>
        <w:t xml:space="preserve">A narrow, yield-selected parental base explains the low additive variance for yield</w:t>
      </w:r>
    </w:p>
    <w:p>
      <w:pPr>
        <w:pStyle w:val="FirstParagraph"/>
      </w:pPr>
      <w:r>
        <w:t xml:space="preserve">The most striking result is the near-null tester GCA for grain yield: the seven male testers do</w:t>
      </w:r>
      <w:r>
        <w:t xml:space="preserve"> </w:t>
      </w:r>
      <w:r>
        <w:t xml:space="preserve">not differ in their average (additive) contribution to hybrid yield, so among-tester additive</w:t>
      </w:r>
      <w:r>
        <w:t xml:space="preserve"> </w:t>
      </w:r>
      <w:r>
        <w:t xml:space="preserve">variance for yield is effectively zero. We interpret this as a consequence of the</w:t>
      </w:r>
      <w:r>
        <w:t xml:space="preserve"> </w:t>
      </w:r>
      <w:r>
        <w:rPr>
          <w:b/>
          <w:bCs/>
        </w:rPr>
        <w:t xml:space="preserve">narrow,</w:t>
      </w:r>
      <w:r>
        <w:rPr>
          <w:b/>
          <w:bCs/>
        </w:rPr>
        <w:t xml:space="preserve"> </w:t>
      </w:r>
      <w:r>
        <w:rPr>
          <w:b/>
          <w:bCs/>
        </w:rPr>
        <w:t xml:space="preserve">double-ascertained genetic base of the parental lines</w:t>
      </w:r>
      <w:r>
        <w:t xml:space="preserve">, rather than of any defect of the trial.</w:t>
      </w:r>
    </w:p>
    <w:p>
      <w:pPr>
        <w:pStyle w:val="BodyText"/>
      </w:pPr>
      <w:r>
        <w:t xml:space="preserve">First, the testers were</w:t>
      </w:r>
      <w:r>
        <w:t xml:space="preserve"> </w:t>
      </w:r>
      <w:r>
        <w:rPr>
          <w:b/>
          <w:bCs/>
        </w:rPr>
        <w:t xml:space="preserve">twice filtered on yield</w:t>
      </w:r>
      <w:r>
        <w:t xml:space="preserve">: they were drawn from an already-elite,</w:t>
      </w:r>
      <w:r>
        <w:t xml:space="preserve"> </w:t>
      </w:r>
      <w:r>
        <w:t xml:space="preserve">advanced breeding pool and then retained as the top seven for yield. Truncation selection on a</w:t>
      </w:r>
      <w:r>
        <w:t xml:space="preserve"> </w:t>
      </w:r>
      <w:r>
        <w:t xml:space="preserve">trait mechanically compresses the among-line variance for that trait in the selected set — the</w:t>
      </w:r>
      <w:r>
        <w:t xml:space="preserve"> </w:t>
      </w:r>
      <w:r>
        <w:t xml:space="preserve">survivors are, by construction, those most alike at the top of the yield distribution.</w:t>
      </w:r>
    </w:p>
    <w:p>
      <w:pPr>
        <w:pStyle w:val="BodyText"/>
      </w:pPr>
      <w:r>
        <w:t xml:space="preserve">Second, the elite germplasm from which they derive is independently documented as narrow.</w:t>
      </w:r>
      <w:r>
        <w:t xml:space="preserve"> </w:t>
      </w:r>
      <w:r>
        <w:t xml:space="preserve">Masuka et al. (2017), fingerprinting the parents of the best CIMMYT eastern- and southern-African</w:t>
      </w:r>
      <w:r>
        <w:t xml:space="preserve"> </w:t>
      </w:r>
      <w:r>
        <w:t xml:space="preserve">hybrids, reported a low mean genetic distance (≈ 0.29) and found that four lines accounted for</w:t>
      </w:r>
      <w:r>
        <w:t xml:space="preserve"> </w:t>
      </w:r>
      <w:r>
        <w:t xml:space="preserve">29–58 % of the released hybrids, explicitly attributing the narrowing to</w:t>
      </w:r>
      <w:r>
        <w:t xml:space="preserve"> </w:t>
      </w:r>
      <w:r>
        <w:t xml:space="preserve">“selection pressure for</w:t>
      </w:r>
      <w:r>
        <w:t xml:space="preserve"> </w:t>
      </w:r>
      <w:r>
        <w:t xml:space="preserve">defined traits.”</w:t>
      </w:r>
      <w:r>
        <w:t xml:space="preserve"> </w:t>
      </w:r>
      <w:r>
        <w:t xml:space="preserve">Fato et al. (2025) reported that seven years of IIAM breeding produced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b/>
          <w:bCs/>
        </w:rPr>
        <w:t xml:space="preserve">significant genetic gain for grain yield</w:t>
      </w:r>
      <w:r>
        <w:t xml:space="preserve"> </w:t>
      </w:r>
      <w:r>
        <w:t xml:space="preserve">(a yield plateau), concluding that the parental lines</w:t>
      </w:r>
      <w:r>
        <w:t xml:space="preserve"> </w:t>
      </w:r>
      <w:r>
        <w:t xml:space="preserve">may lack superior alleles for yield beyond the current plateau — precisely the condition that</w:t>
      </w:r>
      <w:r>
        <w:t xml:space="preserve"> </w:t>
      </w:r>
      <w:r>
        <w:t xml:space="preserve">drives tester GCA for yield to zero. Crucially, the same studies show the base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genome-wide monomorphic: the pool did respond to selection for non-yield traits (ear height,</w:t>
      </w:r>
      <w:r>
        <w:t xml:space="preserve"> </w:t>
      </w:r>
      <w:r>
        <w:t xml:space="preserve">ears per plant, flowering), and Afonso (2013) showed that Mozambican</w:t>
      </w:r>
      <w:r>
        <w:t xml:space="preserve"> </w:t>
      </w:r>
      <w:r>
        <w:rPr>
          <w:b/>
          <w:bCs/>
        </w:rPr>
        <w:t xml:space="preserve">landraces</w:t>
      </w:r>
      <w:r>
        <w:t xml:space="preserve"> </w:t>
      </w:r>
      <w:r>
        <w:t xml:space="preserve">remain highly</w:t>
      </w:r>
      <w:r>
        <w:t xml:space="preserve"> </w:t>
      </w:r>
      <w:r>
        <w:t xml:space="preserve">diverse (expected heterozygosity ≈ 0.67). The narrowness is therefore a property of the elite,</w:t>
      </w:r>
      <w:r>
        <w:t xml:space="preserve"> </w:t>
      </w:r>
      <w:r>
        <w:t xml:space="preserve">yield-selected slice — not of the national germplasm.</w:t>
      </w:r>
    </w:p>
    <w:p>
      <w:pPr>
        <w:pStyle w:val="BodyText"/>
      </w:pPr>
      <w:r>
        <w:t xml:space="preserve">Third, the residual among-tester differentiation is confined to exactly the traits selection did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target. Tester GCA remained significant for maturity (days to anthesis and silking) and</w:t>
      </w:r>
      <w:r>
        <w:t xml:space="preserve"> </w:t>
      </w:r>
      <w:r>
        <w:t xml:space="preserve">for biomass, even though it vanished for yield. This is the fingerprint of</w:t>
      </w:r>
      <w:r>
        <w:t xml:space="preserve"> </w:t>
      </w:r>
      <w:r>
        <w:rPr>
          <w:b/>
          <w:bCs/>
        </w:rPr>
        <w:t xml:space="preserve">ascertainment</w:t>
      </w:r>
      <w:r>
        <w:t xml:space="preserve">: the</w:t>
      </w:r>
      <w:r>
        <w:t xml:space="preserve"> </w:t>
      </w:r>
      <w:r>
        <w:t xml:space="preserve">testers were homogenized where they were selected (yield and its correlates) but still carry the</w:t>
      </w:r>
      <w:r>
        <w:t xml:space="preserve"> </w:t>
      </w:r>
      <w:r>
        <w:t xml:space="preserve">phenological and biomass differences that come free with diverse elite lines. Consistent with a</w:t>
      </w:r>
      <w:r>
        <w:t xml:space="preserve"> </w:t>
      </w:r>
      <w:r>
        <w:t xml:space="preserve">genuine boundary-zero rather than an estimation artefact, the yield tester-variance estimates sat</w:t>
      </w:r>
      <w:r>
        <w:t xml:space="preserve"> </w:t>
      </w:r>
      <w:r>
        <w:t xml:space="preserve">on the zero boundary (singular fits) under full replication.</w:t>
      </w:r>
    </w:p>
    <w:p>
      <w:pPr>
        <w:pStyle w:val="BodyText"/>
      </w:pPr>
      <w:r>
        <w:t xml:space="preserve">Finally, the specific combining ability that does exist should be read cautiously: the SCA and</w:t>
      </w:r>
      <w:r>
        <w:t xml:space="preserve"> </w:t>
      </w:r>
      <w:r>
        <w:t xml:space="preserve">SCA × environment estimates were imprecise (Wald Z ≈ 1.3; the arithmetic SCA spread was of the</w:t>
      </w:r>
      <w:r>
        <w:t xml:space="preserve"> </w:t>
      </w:r>
      <w:r>
        <w:t xml:space="preserve">same order as the sampling error of a cross mean), so the non-additive signal for yield, while</w:t>
      </w:r>
      <w:r>
        <w:t xml:space="preserve"> </w:t>
      </w:r>
      <w:r>
        <w:t xml:space="preserve">present, is weakly determined. In short, the low additive variance for yield reflects a</w:t>
      </w:r>
      <w:r>
        <w:t xml:space="preserve"> </w:t>
      </w:r>
      <w:r>
        <w:t xml:space="preserve">narrow, yield-selected parental base; it does not imply that the germplasm is uniform for all</w:t>
      </w:r>
      <w:r>
        <w:t xml:space="preserve"> </w:t>
      </w:r>
      <w:r>
        <w:t xml:space="preserve">traits, and it does not preclude gains through complementary specific combinations or through</w:t>
      </w:r>
      <w:r>
        <w:t xml:space="preserve"> </w:t>
      </w:r>
      <w:r>
        <w:t xml:space="preserve">broadening the base with more diverse donors.</w:t>
      </w:r>
    </w:p>
    <w:bookmarkEnd w:id="36"/>
    <w:bookmarkStart w:id="37" w:name="implications-for-selection"/>
    <w:p>
      <w:pPr>
        <w:pStyle w:val="Heading2"/>
      </w:pPr>
      <w:r>
        <w:t xml:space="preserve">Implications for selection</w:t>
      </w:r>
    </w:p>
    <w:p>
      <w:pPr>
        <w:pStyle w:val="FirstParagraph"/>
      </w:pPr>
      <w:r>
        <w:t xml:space="preserve">Because PUE and grain yield are governed largely by</w:t>
      </w:r>
      <w:r>
        <w:t xml:space="preserve"> </w:t>
      </w:r>
      <w:r>
        <w:rPr>
          <w:b/>
          <w:bCs/>
        </w:rPr>
        <w:t xml:space="preserve">harvest index and shoot biomass</w:t>
      </w:r>
      <w:r>
        <w:t xml:space="preserve"> </w:t>
      </w:r>
      <w:r>
        <w:t xml:space="preserve">— traits</w:t>
      </w:r>
      <w:r>
        <w:t xml:space="preserve"> </w:t>
      </w:r>
      <w:r>
        <w:t xml:space="preserve">of moderate, usable heritability — indirect selection on these secondary traits is expected to be</w:t>
      </w:r>
      <w:r>
        <w:t xml:space="preserve"> </w:t>
      </w:r>
      <w:r>
        <w:t xml:space="preserve">more effective than direct selection on PUE, which is weakly heritable and, across a P gradient,</w:t>
      </w:r>
      <w:r>
        <w:t xml:space="preserve"> </w:t>
      </w:r>
      <w:r>
        <w:t xml:space="preserve">partly definitional. The heritable phenological traits provide additional, well-characterized</w:t>
      </w:r>
      <w:r>
        <w:t xml:space="preserve"> </w:t>
      </w:r>
      <w:r>
        <w:t xml:space="preserve">selection handles and are relevant to escape/adaptation under stress. Broadening the tester base</w:t>
      </w:r>
      <w:r>
        <w:t xml:space="preserve"> </w:t>
      </w:r>
      <w:r>
        <w:t xml:space="preserve">with more genetically distinct donors would be expected to restore additive variance for yield</w:t>
      </w:r>
      <w:r>
        <w:t xml:space="preserve"> </w:t>
      </w:r>
      <w:r>
        <w:t xml:space="preserve">and increase the response to selection.</w:t>
      </w:r>
    </w:p>
    <w:bookmarkEnd w:id="37"/>
    <w:bookmarkEnd w:id="38"/>
    <w:bookmarkStart w:id="39" w:name="conclusions"/>
    <w:p>
      <w:pPr>
        <w:pStyle w:val="Heading1"/>
      </w:pPr>
      <w:r>
        <w:t xml:space="preserve">Conclusions</w:t>
      </w:r>
    </w:p>
    <w:p>
      <w:pPr>
        <w:pStyle w:val="FirstParagraph"/>
      </w:pPr>
      <w:r>
        <w:t xml:space="preserve">In this maize line × tester population, grain yield and phosphorus-use efficiency were weakly</w:t>
      </w:r>
      <w:r>
        <w:t xml:space="preserve"> </w:t>
      </w:r>
      <w:r>
        <w:t xml:space="preserve">heritable and dominated by non-additive and genotype × environment variance, with the male</w:t>
      </w:r>
      <w:r>
        <w:t xml:space="preserve"> </w:t>
      </w:r>
      <w:r>
        <w:t xml:space="preserve">testers contributing essentially no additive variation for yield. This low additive variance is</w:t>
      </w:r>
      <w:r>
        <w:t xml:space="preserve"> </w:t>
      </w:r>
      <w:r>
        <w:t xml:space="preserve">best explained by the narrow, yield-selected base of the elite parental lines, corroborated by</w:t>
      </w:r>
      <w:r>
        <w:t xml:space="preserve"> </w:t>
      </w:r>
      <w:r>
        <w:t xml:space="preserve">independent diversity and genetic-trend studies, rather than by a lack of variation in the wider</w:t>
      </w:r>
      <w:r>
        <w:t xml:space="preserve"> </w:t>
      </w:r>
      <w:r>
        <w:t xml:space="preserve">germplasm. Harvest index and shoot biomass emerged as the heritable drivers of PUE and are</w:t>
      </w:r>
      <w:r>
        <w:t xml:space="preserve"> </w:t>
      </w:r>
      <w:r>
        <w:t xml:space="preserve">proposed as indirect-selection criteria, alongside exploitation of specific high-performing,</w:t>
      </w:r>
      <w:r>
        <w:t xml:space="preserve"> </w:t>
      </w:r>
      <w:r>
        <w:t xml:space="preserve">stable hybrids and, in the longer term, broadening of the parental base.</w:t>
      </w:r>
    </w:p>
    <w:bookmarkEnd w:id="39"/>
    <w:bookmarkStart w:id="40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Afonso AV (2013) Genetic diversity of local maize (</w:t>
      </w:r>
      <w:r>
        <w:rPr>
          <w:i/>
          <w:iCs/>
        </w:rPr>
        <w:t xml:space="preserve">Zea mays</w:t>
      </w:r>
      <w:r>
        <w:t xml:space="preserve"> </w:t>
      </w:r>
      <w:r>
        <w:t xml:space="preserve">L.) germplasm from eight</w:t>
      </w:r>
      <w:r>
        <w:t xml:space="preserve"> </w:t>
      </w:r>
      <w:r>
        <w:t xml:space="preserve">agro-ecological zones in Mozambique. MSc Thesis, Swedish University of Agricultural Sciences,</w:t>
      </w:r>
      <w:r>
        <w:t xml:space="preserve"> </w:t>
      </w:r>
      <w:r>
        <w:t xml:space="preserve">Alnarp</w:t>
      </w:r>
    </w:p>
    <w:p>
      <w:pPr>
        <w:pStyle w:val="BodyText"/>
      </w:pPr>
      <w:r>
        <w:t xml:space="preserve">Baker RJ (1978) Issues in diallel analysis. Crop Sci 18:533–536.</w:t>
      </w:r>
      <w:r>
        <w:t xml:space="preserve"> </w:t>
      </w:r>
      <w:r>
        <w:t xml:space="preserve">https://doi.org/10.2135/cropsci1978.0011183X001800040001x</w:t>
      </w:r>
    </w:p>
    <w:p>
      <w:pPr>
        <w:pStyle w:val="BodyText"/>
      </w:pPr>
      <w:r>
        <w:t xml:space="preserve">Comstock RE, Robinson HF (1948) The components of genetic variance in populations of biparental</w:t>
      </w:r>
      <w:r>
        <w:t xml:space="preserve"> </w:t>
      </w:r>
      <w:r>
        <w:t xml:space="preserve">progenies and their use in estimating the average degree of dominance. Biometrics 4:254–266.</w:t>
      </w:r>
      <w:r>
        <w:t xml:space="preserve"> </w:t>
      </w:r>
      <w:r>
        <w:t xml:space="preserve">https://doi.org/10.2307/3001412</w:t>
      </w:r>
    </w:p>
    <w:p>
      <w:pPr>
        <w:pStyle w:val="BodyText"/>
      </w:pPr>
      <w:r>
        <w:t xml:space="preserve">Fato P, Chaúque P, Senete C, Nhamucho E, Sneller C, Mutiga S, Musundire L, Wegary D, Das B,</w:t>
      </w:r>
      <w:r>
        <w:t xml:space="preserve"> </w:t>
      </w:r>
      <w:r>
        <w:t xml:space="preserve">Prasanna BM (2025) Genetic trends in seven years of maize breeding at Mozambique’s Institute of</w:t>
      </w:r>
      <w:r>
        <w:t xml:space="preserve"> </w:t>
      </w:r>
      <w:r>
        <w:t xml:space="preserve">Agricultural Research. Agronomy 15(2):449. https://doi.org/10.3390/agronomy15020449</w:t>
      </w:r>
    </w:p>
    <w:p>
      <w:pPr>
        <w:pStyle w:val="BodyText"/>
      </w:pPr>
      <w:r>
        <w:t xml:space="preserve">Isik F, Holland J, Maltecca C (2017) Genetic data analysis for plant and animal breeding.</w:t>
      </w:r>
      <w:r>
        <w:t xml:space="preserve"> </w:t>
      </w:r>
      <w:r>
        <w:t xml:space="preserve">Springer International Publishing. https://doi.org/10.1007/978-3-319-55177-7</w:t>
      </w:r>
    </w:p>
    <w:p>
      <w:pPr>
        <w:pStyle w:val="BodyText"/>
      </w:pPr>
      <w:r>
        <w:t xml:space="preserve">Masuka BP, van Biljon A, Cairns JE, Das B, Labuschagne M, MacRobert J, Makumbi D, Magorokosho C,</w:t>
      </w:r>
      <w:r>
        <w:t xml:space="preserve"> </w:t>
      </w:r>
      <w:r>
        <w:t xml:space="preserve">Zaman-Allah M, Ogugo V, Olsen M, Prasanna BM, Tarekegne A, Semagn K (2017) Genetic diversity</w:t>
      </w:r>
      <w:r>
        <w:t xml:space="preserve"> </w:t>
      </w:r>
      <w:r>
        <w:t xml:space="preserve">among selected elite CIMMYT maize hybrids in East and Southern Africa. Crop Sci 57:2395–2404.</w:t>
      </w:r>
      <w:r>
        <w:t xml:space="preserve"> </w:t>
      </w:r>
      <w:r>
        <w:t xml:space="preserve">https://doi.org/10.2135/cropsci2016.09.0754</w:t>
      </w:r>
    </w:p>
    <w:p>
      <w:pPr>
        <w:pStyle w:val="BodyText"/>
      </w:pPr>
      <w:r>
        <w:t xml:space="preserve">Olivoto T, Lúcio ADC (2020) metan: an R package for multi-environment trial analysis. Methods</w:t>
      </w:r>
      <w:r>
        <w:t xml:space="preserve"> </w:t>
      </w:r>
      <w:r>
        <w:t xml:space="preserve">Ecol Evol 11:783–789. https://doi.org/10.1111/2041-210X.13384</w:t>
      </w:r>
    </w:p>
    <w:bookmarkEnd w:id="40"/>
    <w:sectPr w:rsidR="008E3CE6" w:rsidRPr="004658E1" w:rsidSect="00B00C25">
      <w:footerReference r:id="rId10" w:type="even"/>
      <w:footerReference r:id="rId11" w:type="default"/>
      <w:pgSz w:code="9" w:h="16838" w:w="11906"/>
      <w:pgMar w:bottom="1418" w:footer="0" w:gutter="0" w:header="720" w:left="1021" w:right="1021" w:top="1021"/>
      <w:cols w:space="720"/>
      <w:docGrid w:linePitch="29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4A2F" w:rsidRDefault="00DC4A2F" w:rsidP="00B863D4">
    <w:pPr>
      <w:pStyle w:val="Foo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:rsidR="00DC4A2F" w:rsidRDefault="00DC4A2F" w:rsidP="00B863D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4A2F" w:rsidRPr="004658E1" w:rsidRDefault="00DC4A2F" w:rsidP="004658E1">
    <w:pPr>
      <w:pStyle w:val="PageNumbers"/>
      <w:rPr>
        <w:rStyle w:val="PageNumber"/>
      </w:rPr>
    </w:pPr>
    <w:r w:rsidRPr="004658E1">
      <w:rPr>
        <w:rStyle w:val="PageNumber"/>
      </w:rPr>
      <w:fldChar w:fldCharType="begin"/>
    </w:r>
    <w:r w:rsidRPr="004658E1">
      <w:rPr>
        <w:rStyle w:val="PageNumber"/>
      </w:rPr>
      <w:instrText xml:space="preserve">PAGE  </w:instrText>
    </w:r>
    <w:r w:rsidRPr="004658E1">
      <w:rPr>
        <w:rStyle w:val="PageNumber"/>
      </w:rPr>
      <w:fldChar w:fldCharType="separate"/>
    </w:r>
    <w:r w:rsidR="00AA1C63">
      <w:rPr>
        <w:rStyle w:val="PageNumber"/>
        <w:noProof/>
      </w:rPr>
      <w:t>5</w:t>
    </w:r>
    <w:r w:rsidRPr="004658E1">
      <w:rPr>
        <w:rStyle w:val="PageNumber"/>
      </w:rPr>
      <w:fldChar w:fldCharType="end"/>
    </w:r>
    <w:r w:rsidRPr="004658E1">
      <w:rPr>
        <w:rStyle w:val="PageNumber"/>
      </w:rPr>
      <w:t xml:space="preserve"> | </w:t>
    </w:r>
    <w:r w:rsidRPr="004658E1">
      <w:rPr>
        <w:rStyle w:val="PageNumber"/>
      </w:rPr>
      <w:fldChar w:fldCharType="begin"/>
    </w:r>
    <w:r w:rsidRPr="004658E1">
      <w:rPr>
        <w:rStyle w:val="PageNumber"/>
      </w:rPr>
      <w:instrText xml:space="preserve"> NUMPAGES   \* MERGEFORMAT </w:instrText>
    </w:r>
    <w:r w:rsidRPr="004658E1">
      <w:rPr>
        <w:rStyle w:val="PageNumber"/>
      </w:rPr>
      <w:fldChar w:fldCharType="separate"/>
    </w:r>
    <w:r w:rsidR="00AA1C63">
      <w:rPr>
        <w:rStyle w:val="PageNumber"/>
        <w:noProof/>
      </w:rPr>
      <w:t>5</w:t>
    </w:r>
    <w:r w:rsidRPr="004658E1">
      <w:rPr>
        <w:rStyle w:val="PageNumber"/>
      </w:rPr>
      <w:fldChar w:fldCharType="end"/>
    </w:r>
  </w:p>
  <w:p w:rsidR="00DC4A2F" w:rsidRDefault="00DC4A2F" w:rsidP="00B863D4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09105172"/>
    <w:multiLevelType w:val="singleLevel"/>
    <w:tmpl w:val="B61CF0F4"/>
    <w:lvl w:ilvl="0">
      <w:start w:val="1"/>
      <w:numFmt w:val="lowerRoman"/>
      <w:lvlText w:val="%1."/>
      <w:lvlJc w:val="left"/>
      <w:pPr>
        <w:tabs>
          <w:tab w:pos="1287" w:val="num"/>
        </w:tabs>
        <w:ind w:hanging="720" w:left="1287"/>
      </w:pPr>
      <w:rPr>
        <w:rFonts w:hint="default"/>
      </w:rPr>
    </w:lvl>
  </w:abstractNum>
  <w:abstractNum w:abstractNumId="1">
    <w:nsid w:val="09303644"/>
    <w:multiLevelType w:val="hybridMultilevel"/>
    <w:tmpl w:val="C18231F0"/>
    <w:lvl w:ilvl="0" w:tplc="2B32A60C">
      <w:numFmt w:val="bullet"/>
      <w:lvlText w:val="•"/>
      <w:lvlJc w:val="left"/>
      <w:pPr>
        <w:ind w:hanging="360" w:left="720"/>
      </w:pPr>
      <w:rPr>
        <w:rFonts w:ascii="Cambria" w:cstheme="minorBidi" w:eastAsiaTheme="minorEastAsia" w:hAnsi="Cambria" w:hint="default"/>
      </w:rPr>
    </w:lvl>
    <w:lvl w:ilvl="1" w:tentative="1" w:tplc="0407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7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7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7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7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7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7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7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0B3D61AB"/>
    <w:multiLevelType w:val="singleLevel"/>
    <w:tmpl w:val="04050011"/>
    <w:lvl w:ilvl="0">
      <w:start w:val="2"/>
      <w:numFmt w:val="decimal"/>
      <w:lvlText w:val="%1)"/>
      <w:lvlJc w:val="left"/>
      <w:pPr>
        <w:tabs>
          <w:tab w:pos="360" w:val="num"/>
        </w:tabs>
        <w:ind w:hanging="360" w:left="360"/>
      </w:pPr>
      <w:rPr>
        <w:rFonts w:hint="default"/>
      </w:rPr>
    </w:lvl>
  </w:abstractNum>
  <w:abstractNum w:abstractNumId="3">
    <w:nsid w:val="0CFE227A"/>
    <w:multiLevelType w:val="singleLevel"/>
    <w:tmpl w:val="D61A3C72"/>
    <w:lvl w:ilvl="0">
      <w:start w:val="1"/>
      <w:numFmt w:val="lowerRoman"/>
      <w:lvlText w:val="%1."/>
      <w:lvlJc w:val="left"/>
      <w:pPr>
        <w:tabs>
          <w:tab w:pos="1429" w:val="num"/>
        </w:tabs>
        <w:ind w:hanging="720" w:left="1429"/>
      </w:pPr>
      <w:rPr>
        <w:rFonts w:hint="default"/>
      </w:rPr>
    </w:lvl>
  </w:abstractNum>
  <w:abstractNum w:abstractNumId="4">
    <w:nsid w:val="18634A24"/>
    <w:multiLevelType w:val="multilevel"/>
    <w:tmpl w:val="F9A8317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  <w:lvl w:ilvl="1" w:tentative="1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</w:lvl>
  </w:abstractNum>
  <w:abstractNum w:abstractNumId="5">
    <w:nsid w:val="411E4E68"/>
    <w:multiLevelType w:val="hybridMultilevel"/>
    <w:tmpl w:val="3DFA09A4"/>
    <w:lvl w:ilvl="0" w:tplc="0407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7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7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7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7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7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7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7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7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4F6773B4"/>
    <w:multiLevelType w:val="singleLevel"/>
    <w:tmpl w:val="2E34DA40"/>
    <w:lvl w:ilvl="0">
      <w:start w:val="1"/>
      <w:numFmt w:val="lowerRoman"/>
      <w:lvlText w:val="%1."/>
      <w:lvlJc w:val="left"/>
      <w:pPr>
        <w:tabs>
          <w:tab w:pos="1287" w:val="num"/>
        </w:tabs>
        <w:ind w:hanging="720" w:left="1287"/>
      </w:pPr>
      <w:rPr>
        <w:rFonts w:hint="default"/>
      </w:rPr>
    </w:lvl>
  </w:abstractNum>
  <w:abstractNum w:abstractNumId="7">
    <w:nsid w:val="707E4F9E"/>
    <w:multiLevelType w:val="multilevel"/>
    <w:tmpl w:val="413C00EA"/>
    <w:lvl w:ilvl="0">
      <w:start w:val="1"/>
      <w:numFmt w:val="decimal"/>
      <w:lvlText w:val="%1."/>
      <w:lvlJc w:val="left"/>
      <w:pPr>
        <w:tabs>
          <w:tab w:pos="1145" w:val="num"/>
        </w:tabs>
        <w:ind w:hanging="360" w:left="1145"/>
      </w:pPr>
    </w:lvl>
    <w:lvl w:ilvl="1" w:tentative="1">
      <w:start w:val="1"/>
      <w:numFmt w:val="lowerLetter"/>
      <w:lvlText w:val="%2."/>
      <w:lvlJc w:val="left"/>
      <w:pPr>
        <w:tabs>
          <w:tab w:pos="1865" w:val="num"/>
        </w:tabs>
        <w:ind w:hanging="360" w:left="1865"/>
      </w:pPr>
    </w:lvl>
    <w:lvl w:ilvl="2" w:tentative="1">
      <w:start w:val="1"/>
      <w:numFmt w:val="lowerRoman"/>
      <w:lvlText w:val="%3."/>
      <w:lvlJc w:val="right"/>
      <w:pPr>
        <w:tabs>
          <w:tab w:pos="2585" w:val="num"/>
        </w:tabs>
        <w:ind w:hanging="180" w:left="2585"/>
      </w:pPr>
    </w:lvl>
    <w:lvl w:ilvl="3" w:tentative="1">
      <w:start w:val="1"/>
      <w:numFmt w:val="decimal"/>
      <w:lvlText w:val="%4."/>
      <w:lvlJc w:val="left"/>
      <w:pPr>
        <w:tabs>
          <w:tab w:pos="3305" w:val="num"/>
        </w:tabs>
        <w:ind w:hanging="360" w:left="3305"/>
      </w:pPr>
    </w:lvl>
    <w:lvl w:ilvl="4" w:tentative="1">
      <w:start w:val="1"/>
      <w:numFmt w:val="lowerLetter"/>
      <w:lvlText w:val="%5."/>
      <w:lvlJc w:val="left"/>
      <w:pPr>
        <w:tabs>
          <w:tab w:pos="4025" w:val="num"/>
        </w:tabs>
        <w:ind w:hanging="360" w:left="4025"/>
      </w:pPr>
    </w:lvl>
    <w:lvl w:ilvl="5" w:tentative="1">
      <w:start w:val="1"/>
      <w:numFmt w:val="lowerRoman"/>
      <w:lvlText w:val="%6."/>
      <w:lvlJc w:val="right"/>
      <w:pPr>
        <w:tabs>
          <w:tab w:pos="4745" w:val="num"/>
        </w:tabs>
        <w:ind w:hanging="180" w:left="4745"/>
      </w:pPr>
    </w:lvl>
    <w:lvl w:ilvl="6" w:tentative="1">
      <w:start w:val="1"/>
      <w:numFmt w:val="decimal"/>
      <w:lvlText w:val="%7."/>
      <w:lvlJc w:val="left"/>
      <w:pPr>
        <w:tabs>
          <w:tab w:pos="5465" w:val="num"/>
        </w:tabs>
        <w:ind w:hanging="360" w:left="5465"/>
      </w:pPr>
    </w:lvl>
    <w:lvl w:ilvl="7" w:tentative="1">
      <w:start w:val="1"/>
      <w:numFmt w:val="lowerLetter"/>
      <w:lvlText w:val="%8."/>
      <w:lvlJc w:val="left"/>
      <w:pPr>
        <w:tabs>
          <w:tab w:pos="6185" w:val="num"/>
        </w:tabs>
        <w:ind w:hanging="360" w:left="6185"/>
      </w:pPr>
    </w:lvl>
    <w:lvl w:ilvl="8" w:tentative="1">
      <w:start w:val="1"/>
      <w:numFmt w:val="lowerRoman"/>
      <w:lvlText w:val="%9."/>
      <w:lvlJc w:val="right"/>
      <w:pPr>
        <w:tabs>
          <w:tab w:pos="6905" w:val="num"/>
        </w:tabs>
        <w:ind w:hanging="180" w:left="6905"/>
      </w:pPr>
    </w:lvl>
  </w:abstractNum>
  <w:abstractNum w:abstractNumId="8">
    <w:nsid w:val="75713C43"/>
    <w:multiLevelType w:val="singleLevel"/>
    <w:tmpl w:val="04050011"/>
    <w:lvl w:ilvl="0">
      <w:start w:val="1"/>
      <w:numFmt w:val="decimal"/>
      <w:lvlText w:val="%1)"/>
      <w:lvlJc w:val="left"/>
      <w:pPr>
        <w:tabs>
          <w:tab w:pos="360" w:val="num"/>
        </w:tabs>
        <w:ind w:hanging="360" w:left="360"/>
      </w:pPr>
      <w:rPr>
        <w:rFonts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7"/>
  </w:num>
  <w:num w:numId="2">
    <w:abstractNumId w:val="4"/>
  </w:num>
  <w:num w:numId="3">
    <w:abstractNumId w:val="8"/>
  </w:num>
  <w:num w:numId="4">
    <w:abstractNumId w:val="2"/>
  </w:num>
  <w:num w:numId="5">
    <w:abstractNumId w:val="6"/>
  </w:num>
  <w:num w:numId="6">
    <w:abstractNumId w:val="0"/>
  </w:num>
  <w:num w:numId="7">
    <w:abstractNumId w:val="3"/>
  </w:num>
  <w:num w:numId="8">
    <w:abstractNumId w:val="5"/>
  </w:num>
  <w:num w:numId="9">
    <w:abstractNumId w:val="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3" w:val="bestFit"/>
  <w:doNotDisplayPageBoundaries/>
  <w:embedSystemFonts/>
  <w:activeWritingStyle w:appName="MSWord" w:checkStyle="0" w:dllVersion="0" w:lang="en-GB" w:nlCheck="1" w:vendorID="64"/>
  <w:proofState w:grammar="clean" w:spelling="clean"/>
  <w:stylePaneFormatFilter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al="3F01" w:visibleStyles="0"/>
  <w:doNotTrackMoves/>
  <w:defaultTabStop w:val="708"/>
  <w:hyphenationZone w:val="425"/>
  <w:drawingGridHorizontalSpacing w:val="110"/>
  <w:drawingGridVerticalSpacing w:val="360"/>
  <w:displayHorizontalDrawingGridEvery w:val="0"/>
  <w:displayVerticalDrawingGridEvery w:val="0"/>
  <w:noPunctuationKerning/>
  <w:characterSpacingControl w:val="doNotCompress"/>
  <w:savePreviewPicture/>
  <w:hdrShapeDefaults>
    <o:shapedefaults fill="f" fillcolor="white" spidmax="2049" stroke="f" v:ext="edit">
      <v:fill color="white" on="f"/>
      <v:stroke on="f"/>
    </o:shapedefaults>
  </w:hdrShapeDefaults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1409"/>
    <w:rsid w:val="00004062"/>
    <w:rsid w:val="00007CD0"/>
    <w:rsid w:val="0002793B"/>
    <w:rsid w:val="00035263"/>
    <w:rsid w:val="0003542F"/>
    <w:rsid w:val="00046194"/>
    <w:rsid w:val="00047149"/>
    <w:rsid w:val="0007532B"/>
    <w:rsid w:val="00086B1A"/>
    <w:rsid w:val="000911D5"/>
    <w:rsid w:val="0009699A"/>
    <w:rsid w:val="000B543D"/>
    <w:rsid w:val="000B5AF0"/>
    <w:rsid w:val="00104D5C"/>
    <w:rsid w:val="001120D4"/>
    <w:rsid w:val="00121985"/>
    <w:rsid w:val="00127191"/>
    <w:rsid w:val="00132BC1"/>
    <w:rsid w:val="001466BC"/>
    <w:rsid w:val="00153C7B"/>
    <w:rsid w:val="00155B65"/>
    <w:rsid w:val="00170668"/>
    <w:rsid w:val="001971A2"/>
    <w:rsid w:val="001D50A7"/>
    <w:rsid w:val="00207E8B"/>
    <w:rsid w:val="00224EA3"/>
    <w:rsid w:val="00232F76"/>
    <w:rsid w:val="00244F51"/>
    <w:rsid w:val="00250D87"/>
    <w:rsid w:val="002605CC"/>
    <w:rsid w:val="0026087A"/>
    <w:rsid w:val="00291002"/>
    <w:rsid w:val="002A177D"/>
    <w:rsid w:val="002B5150"/>
    <w:rsid w:val="002E012F"/>
    <w:rsid w:val="002E4255"/>
    <w:rsid w:val="002E70E9"/>
    <w:rsid w:val="002F1F71"/>
    <w:rsid w:val="003034BE"/>
    <w:rsid w:val="0031150C"/>
    <w:rsid w:val="003240F8"/>
    <w:rsid w:val="00333AE9"/>
    <w:rsid w:val="00344E07"/>
    <w:rsid w:val="003457AE"/>
    <w:rsid w:val="003522F1"/>
    <w:rsid w:val="00352759"/>
    <w:rsid w:val="00355C43"/>
    <w:rsid w:val="003560C4"/>
    <w:rsid w:val="0038210C"/>
    <w:rsid w:val="0038796E"/>
    <w:rsid w:val="0039307D"/>
    <w:rsid w:val="00393C2C"/>
    <w:rsid w:val="00395F47"/>
    <w:rsid w:val="003A43E7"/>
    <w:rsid w:val="003B3E22"/>
    <w:rsid w:val="003D316F"/>
    <w:rsid w:val="003E3F0B"/>
    <w:rsid w:val="003E51BA"/>
    <w:rsid w:val="003E7271"/>
    <w:rsid w:val="003F1409"/>
    <w:rsid w:val="00406D0E"/>
    <w:rsid w:val="004123EE"/>
    <w:rsid w:val="00421D81"/>
    <w:rsid w:val="00424E96"/>
    <w:rsid w:val="00427F45"/>
    <w:rsid w:val="00430484"/>
    <w:rsid w:val="0043147F"/>
    <w:rsid w:val="0046097A"/>
    <w:rsid w:val="004658E1"/>
    <w:rsid w:val="004B1681"/>
    <w:rsid w:val="004B7BC2"/>
    <w:rsid w:val="004D14EA"/>
    <w:rsid w:val="004D49CC"/>
    <w:rsid w:val="004E5A18"/>
    <w:rsid w:val="004E5FCA"/>
    <w:rsid w:val="004F0A54"/>
    <w:rsid w:val="004F154D"/>
    <w:rsid w:val="00550D8F"/>
    <w:rsid w:val="0055645E"/>
    <w:rsid w:val="00560A45"/>
    <w:rsid w:val="0059173F"/>
    <w:rsid w:val="005970BE"/>
    <w:rsid w:val="005B7F90"/>
    <w:rsid w:val="005C383E"/>
    <w:rsid w:val="005C70EA"/>
    <w:rsid w:val="005E32DD"/>
    <w:rsid w:val="00637384"/>
    <w:rsid w:val="00643C7B"/>
    <w:rsid w:val="006555E4"/>
    <w:rsid w:val="0067681D"/>
    <w:rsid w:val="00676E15"/>
    <w:rsid w:val="00681150"/>
    <w:rsid w:val="00697CB6"/>
    <w:rsid w:val="006B13DE"/>
    <w:rsid w:val="006B2CBE"/>
    <w:rsid w:val="006C7D29"/>
    <w:rsid w:val="006D2A1F"/>
    <w:rsid w:val="006D5FB8"/>
    <w:rsid w:val="006D6B80"/>
    <w:rsid w:val="006F19BB"/>
    <w:rsid w:val="006F1FAB"/>
    <w:rsid w:val="006F30C6"/>
    <w:rsid w:val="006F7775"/>
    <w:rsid w:val="007216E0"/>
    <w:rsid w:val="007335A9"/>
    <w:rsid w:val="00740CAB"/>
    <w:rsid w:val="00746730"/>
    <w:rsid w:val="00752577"/>
    <w:rsid w:val="00757F28"/>
    <w:rsid w:val="0076046D"/>
    <w:rsid w:val="007610BF"/>
    <w:rsid w:val="00762AE7"/>
    <w:rsid w:val="00766B88"/>
    <w:rsid w:val="0077040D"/>
    <w:rsid w:val="00786A13"/>
    <w:rsid w:val="007977CE"/>
    <w:rsid w:val="007C1264"/>
    <w:rsid w:val="007C57C1"/>
    <w:rsid w:val="007D034E"/>
    <w:rsid w:val="007D5472"/>
    <w:rsid w:val="007E1EA1"/>
    <w:rsid w:val="007E345C"/>
    <w:rsid w:val="007E64A0"/>
    <w:rsid w:val="007E74FF"/>
    <w:rsid w:val="007F29AF"/>
    <w:rsid w:val="007F2D3B"/>
    <w:rsid w:val="00803DE7"/>
    <w:rsid w:val="0081686F"/>
    <w:rsid w:val="00822775"/>
    <w:rsid w:val="008236EE"/>
    <w:rsid w:val="00837243"/>
    <w:rsid w:val="0084363C"/>
    <w:rsid w:val="008443AD"/>
    <w:rsid w:val="008522A4"/>
    <w:rsid w:val="00853C2E"/>
    <w:rsid w:val="008568A4"/>
    <w:rsid w:val="00863AA2"/>
    <w:rsid w:val="0088249E"/>
    <w:rsid w:val="008A2B85"/>
    <w:rsid w:val="008A63A9"/>
    <w:rsid w:val="008A676C"/>
    <w:rsid w:val="008B605E"/>
    <w:rsid w:val="008D3F83"/>
    <w:rsid w:val="008E3CE6"/>
    <w:rsid w:val="008F6564"/>
    <w:rsid w:val="009039A0"/>
    <w:rsid w:val="00911B9F"/>
    <w:rsid w:val="00916F5D"/>
    <w:rsid w:val="009203A5"/>
    <w:rsid w:val="00925DA5"/>
    <w:rsid w:val="00940BB5"/>
    <w:rsid w:val="00946544"/>
    <w:rsid w:val="00962A85"/>
    <w:rsid w:val="00966DD0"/>
    <w:rsid w:val="00976D79"/>
    <w:rsid w:val="00982809"/>
    <w:rsid w:val="009A51E1"/>
    <w:rsid w:val="009B6592"/>
    <w:rsid w:val="009D7C4E"/>
    <w:rsid w:val="009E0CD0"/>
    <w:rsid w:val="009E47C8"/>
    <w:rsid w:val="009E5AB6"/>
    <w:rsid w:val="009F6D28"/>
    <w:rsid w:val="009F7505"/>
    <w:rsid w:val="00A33ACB"/>
    <w:rsid w:val="00A379C2"/>
    <w:rsid w:val="00A446C0"/>
    <w:rsid w:val="00A452EA"/>
    <w:rsid w:val="00A626A9"/>
    <w:rsid w:val="00A70A7F"/>
    <w:rsid w:val="00A83517"/>
    <w:rsid w:val="00A956F5"/>
    <w:rsid w:val="00AA1C63"/>
    <w:rsid w:val="00AA4E9F"/>
    <w:rsid w:val="00AB756C"/>
    <w:rsid w:val="00AC4BB3"/>
    <w:rsid w:val="00AD2304"/>
    <w:rsid w:val="00AD3812"/>
    <w:rsid w:val="00AF5338"/>
    <w:rsid w:val="00AF7525"/>
    <w:rsid w:val="00B00C25"/>
    <w:rsid w:val="00B03350"/>
    <w:rsid w:val="00B05576"/>
    <w:rsid w:val="00B16AE4"/>
    <w:rsid w:val="00B245B9"/>
    <w:rsid w:val="00B312BC"/>
    <w:rsid w:val="00B45DC7"/>
    <w:rsid w:val="00B533B7"/>
    <w:rsid w:val="00B601CE"/>
    <w:rsid w:val="00B64694"/>
    <w:rsid w:val="00B863D4"/>
    <w:rsid w:val="00B9351A"/>
    <w:rsid w:val="00BC1801"/>
    <w:rsid w:val="00BC1B62"/>
    <w:rsid w:val="00BD5206"/>
    <w:rsid w:val="00BE5028"/>
    <w:rsid w:val="00C01E3B"/>
    <w:rsid w:val="00C10B5B"/>
    <w:rsid w:val="00C14D48"/>
    <w:rsid w:val="00C23AD8"/>
    <w:rsid w:val="00C30275"/>
    <w:rsid w:val="00C476AA"/>
    <w:rsid w:val="00C5067B"/>
    <w:rsid w:val="00C54E20"/>
    <w:rsid w:val="00C6611A"/>
    <w:rsid w:val="00C80332"/>
    <w:rsid w:val="00C82F26"/>
    <w:rsid w:val="00C832F0"/>
    <w:rsid w:val="00C83B46"/>
    <w:rsid w:val="00CA7278"/>
    <w:rsid w:val="00CB4C6A"/>
    <w:rsid w:val="00CB7659"/>
    <w:rsid w:val="00CE1448"/>
    <w:rsid w:val="00CE575F"/>
    <w:rsid w:val="00CE5EFB"/>
    <w:rsid w:val="00D05446"/>
    <w:rsid w:val="00D11E2C"/>
    <w:rsid w:val="00D1578D"/>
    <w:rsid w:val="00D30EF8"/>
    <w:rsid w:val="00D31CAD"/>
    <w:rsid w:val="00D3307F"/>
    <w:rsid w:val="00D3708D"/>
    <w:rsid w:val="00D4137B"/>
    <w:rsid w:val="00D41828"/>
    <w:rsid w:val="00D65667"/>
    <w:rsid w:val="00D731F9"/>
    <w:rsid w:val="00D75CE3"/>
    <w:rsid w:val="00D774EC"/>
    <w:rsid w:val="00D927C1"/>
    <w:rsid w:val="00D96E57"/>
    <w:rsid w:val="00D979C1"/>
    <w:rsid w:val="00DC2BC3"/>
    <w:rsid w:val="00DC4A2F"/>
    <w:rsid w:val="00DD1BCC"/>
    <w:rsid w:val="00DE510F"/>
    <w:rsid w:val="00DF1515"/>
    <w:rsid w:val="00E02E54"/>
    <w:rsid w:val="00E06E6F"/>
    <w:rsid w:val="00E147DC"/>
    <w:rsid w:val="00E20372"/>
    <w:rsid w:val="00E2623E"/>
    <w:rsid w:val="00E32DAB"/>
    <w:rsid w:val="00E43B9E"/>
    <w:rsid w:val="00E47015"/>
    <w:rsid w:val="00E73349"/>
    <w:rsid w:val="00E921DE"/>
    <w:rsid w:val="00EA01A2"/>
    <w:rsid w:val="00EB1C71"/>
    <w:rsid w:val="00EB4097"/>
    <w:rsid w:val="00EB6C15"/>
    <w:rsid w:val="00EE3EA9"/>
    <w:rsid w:val="00EF047D"/>
    <w:rsid w:val="00F05A9A"/>
    <w:rsid w:val="00F34FC5"/>
    <w:rsid w:val="00F3660A"/>
    <w:rsid w:val="00F4014B"/>
    <w:rsid w:val="00F42427"/>
    <w:rsid w:val="00F55313"/>
    <w:rsid w:val="00F605ED"/>
    <w:rsid w:val="00F71D5A"/>
    <w:rsid w:val="00F77F55"/>
    <w:rsid w:val="00F822EC"/>
    <w:rsid w:val="00F923F7"/>
    <w:rsid w:val="00F928F0"/>
    <w:rsid w:val="00FB759B"/>
    <w:rsid w:val="00FB7650"/>
    <w:rsid w:val="00FC42D9"/>
    <w:rsid w:val="00FD342C"/>
    <w:rsid w:val="00FE38DA"/>
    <w:rsid w:val="00FF546F"/>
  </w:rsids>
  <w:themeFontLang w:val="en-AU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fill="f" fillcolor="white" spidmax="2049" stroke="f" v:ext="edit">
      <v:fill color="white" on="f"/>
      <v:stroke on="f"/>
    </o:shapedefaults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AU" w:val="en-AU"/>
      </w:rPr>
    </w:rPrDefault>
    <w:pPrDefault>
      <w:pPr>
        <w:spacing w:after="160" w:line="259" w:lineRule="auto"/>
      </w:pPr>
    </w:pPrDefault>
  </w:docDefaults>
  <w:latentStyles w:count="267" w:defLockedState="0" w:defQFormat="0" w:defSemiHidden="1" w:defUIPriority="0" w:defUnhideWhenUsed="1">
    <w:lsdException w:name="Normal" w:qFormat="1" w:semiHidden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semiHidden="0" w:uiPriority="9" w:unhideWhenUsed="0"/>
    <w:lsdException w:name="heading 5" w:semiHidden="0" w:uiPriority="9" w:unhideWhenUsed="0"/>
    <w:lsdException w:name="heading 6" w:semiHidden="0" w:uiPriority="9" w:unhideWhenUsed="0"/>
    <w:lsdException w:name="heading 7" w:uiPriority="9"/>
    <w:lsdException w:name="heading 8" w:uiPriority="9"/>
    <w:lsdException w:name="heading 9" w:uiPriority="9"/>
    <w:lsdException w:name="caption" w:qFormat="1" w:uiPriority="35"/>
    <w:lsdException w:name="List Number" w:semiHidden="0" w:unhideWhenUsed="0"/>
    <w:lsdException w:name="List 4" w:semiHidden="0" w:unhideWhenUsed="0"/>
    <w:lsdException w:name="List 5" w:semiHidden="0" w:unhideWhenUsed="0"/>
    <w:lsdException w:name="Title" w:qFormat="1" w:semiHidden="0" w:uiPriority="10" w:unhideWhenUsed="0"/>
    <w:lsdException w:name="Subtitle" w:semiHidden="0" w:uiPriority="11" w:unhideWhenUsed="0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qFormat="1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34FC5"/>
    <w:pPr>
      <w:jc w:val="both"/>
    </w:pPr>
    <w:rPr>
      <w:lang w:val="en-GB"/>
      <w14:ligatures w14:val="standard"/>
    </w:rPr>
  </w:style>
  <w:style w:styleId="Heading1" w:type="paragraph">
    <w:name w:val="heading 1"/>
    <w:basedOn w:val="Normal"/>
    <w:next w:val="Normal"/>
    <w:link w:val="Heading1Char"/>
    <w:uiPriority w:val="9"/>
    <w:qFormat/>
    <w:rsid w:val="00B863D4"/>
    <w:pPr>
      <w:keepNext/>
      <w:keepLines/>
      <w:spacing w:after="120" w:before="320" w:line="240" w:lineRule="auto"/>
      <w:outlineLvl w:val="0"/>
    </w:pPr>
    <w:rPr>
      <w:rFonts w:asciiTheme="majorHAnsi" w:cstheme="majorBidi" w:eastAsiaTheme="majorEastAsia" w:hAnsiTheme="majorHAnsi"/>
      <w:b/>
      <w:sz w:val="24"/>
      <w:szCs w:val="30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B863D4"/>
    <w:pPr>
      <w:keepNext/>
      <w:keepLines/>
      <w:spacing w:after="120" w:before="40" w:line="240" w:lineRule="auto"/>
      <w:outlineLvl w:val="1"/>
    </w:pPr>
    <w:rPr>
      <w:rFonts w:asciiTheme="majorHAnsi" w:cstheme="majorBidi" w:eastAsiaTheme="majorEastAsia" w:hAnsiTheme="majorHAnsi"/>
      <w:b/>
      <w:szCs w:val="28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B863D4"/>
    <w:pPr>
      <w:keepNext/>
      <w:keepLines/>
      <w:spacing w:after="0" w:before="40" w:line="240" w:lineRule="auto"/>
      <w:outlineLvl w:val="2"/>
    </w:pPr>
    <w:rPr>
      <w:rFonts w:asciiTheme="majorHAnsi" w:cstheme="majorBidi" w:eastAsiaTheme="majorEastAsia" w:hAnsiTheme="majorHAnsi"/>
      <w:b/>
      <w:i/>
      <w:szCs w:val="26"/>
    </w:rPr>
  </w:style>
  <w:style w:styleId="Heading4" w:type="paragraph">
    <w:name w:val="heading 4"/>
    <w:basedOn w:val="Normal"/>
    <w:next w:val="Normal"/>
    <w:link w:val="Heading4Char"/>
    <w:uiPriority w:val="9"/>
    <w:unhideWhenUsed/>
    <w:rsid w:val="00EA01A2"/>
    <w:pPr>
      <w:keepNext/>
      <w:keepLines/>
      <w:spacing w:after="0" w:before="40"/>
      <w:outlineLvl w:val="3"/>
    </w:pPr>
    <w:rPr>
      <w:rFonts w:asciiTheme="majorHAnsi" w:cstheme="majorBidi" w:eastAsiaTheme="majorEastAsia" w:hAnsiTheme="majorHAnsi"/>
      <w:i/>
      <w:iCs/>
      <w:color w:themeColor="accent5" w:themeShade="BF" w:val="2E74B5"/>
      <w:sz w:val="25"/>
      <w:szCs w:val="25"/>
    </w:rPr>
  </w:style>
  <w:style w:styleId="Heading5" w:type="paragraph">
    <w:name w:val="heading 5"/>
    <w:basedOn w:val="Normal"/>
    <w:next w:val="Normal"/>
    <w:link w:val="Heading5Char"/>
    <w:uiPriority w:val="9"/>
    <w:unhideWhenUsed/>
    <w:rsid w:val="00EA01A2"/>
    <w:pPr>
      <w:keepNext/>
      <w:keepLines/>
      <w:spacing w:after="0" w:before="40"/>
      <w:outlineLvl w:val="4"/>
    </w:pPr>
    <w:rPr>
      <w:rFonts w:asciiTheme="majorHAnsi" w:cstheme="majorBidi" w:eastAsiaTheme="majorEastAsia" w:hAnsiTheme="majorHAnsi"/>
      <w:i/>
      <w:iCs/>
      <w:color w:themeColor="accent2" w:themeShade="80" w:val="833C0B"/>
      <w:sz w:val="24"/>
      <w:szCs w:val="24"/>
    </w:rPr>
  </w:style>
  <w:style w:styleId="Heading6" w:type="paragraph">
    <w:name w:val="heading 6"/>
    <w:basedOn w:val="Normal"/>
    <w:next w:val="Normal"/>
    <w:link w:val="Heading6Char"/>
    <w:uiPriority w:val="9"/>
    <w:unhideWhenUsed/>
    <w:rsid w:val="00EA01A2"/>
    <w:pPr>
      <w:keepNext/>
      <w:keepLines/>
      <w:spacing w:after="0" w:before="40"/>
      <w:outlineLvl w:val="5"/>
    </w:pPr>
    <w:rPr>
      <w:rFonts w:asciiTheme="majorHAnsi" w:cstheme="majorBidi" w:eastAsiaTheme="majorEastAsia" w:hAnsiTheme="majorHAnsi"/>
      <w:i/>
      <w:iCs/>
      <w:color w:themeColor="accent6" w:themeShade="80" w:val="385623"/>
      <w:sz w:val="23"/>
      <w:szCs w:val="23"/>
    </w:rPr>
  </w:style>
  <w:style w:styleId="Heading7" w:type="paragraph">
    <w:name w:val="heading 7"/>
    <w:basedOn w:val="Normal"/>
    <w:next w:val="Normal"/>
    <w:link w:val="Heading7Char"/>
    <w:uiPriority w:val="9"/>
    <w:unhideWhenUsed/>
    <w:rsid w:val="00EA01A2"/>
    <w:pPr>
      <w:keepNext/>
      <w:keepLines/>
      <w:spacing w:after="0" w:before="40"/>
      <w:outlineLvl w:val="6"/>
    </w:pPr>
    <w:rPr>
      <w:rFonts w:asciiTheme="majorHAnsi" w:cstheme="majorBidi" w:eastAsiaTheme="majorEastAsia" w:hAnsiTheme="majorHAnsi"/>
      <w:color w:themeColor="accent1" w:themeShade="80" w:val="1F3864"/>
    </w:rPr>
  </w:style>
  <w:style w:styleId="Heading8" w:type="paragraph">
    <w:name w:val="heading 8"/>
    <w:basedOn w:val="Normal"/>
    <w:next w:val="Normal"/>
    <w:link w:val="Heading8Char"/>
    <w:uiPriority w:val="9"/>
    <w:unhideWhenUsed/>
    <w:rsid w:val="00EA01A2"/>
    <w:pPr>
      <w:keepNext/>
      <w:keepLines/>
      <w:spacing w:after="0" w:before="40"/>
      <w:outlineLvl w:val="7"/>
    </w:pPr>
    <w:rPr>
      <w:rFonts w:asciiTheme="majorHAnsi" w:cstheme="majorBidi" w:eastAsiaTheme="majorEastAsia" w:hAnsiTheme="majorHAnsi"/>
      <w:color w:themeColor="accent2" w:themeShade="80" w:val="833C0B"/>
      <w:sz w:val="21"/>
      <w:szCs w:val="21"/>
    </w:rPr>
  </w:style>
  <w:style w:styleId="Heading9" w:type="paragraph">
    <w:name w:val="heading 9"/>
    <w:basedOn w:val="Normal"/>
    <w:next w:val="Normal"/>
    <w:link w:val="Heading9Char"/>
    <w:uiPriority w:val="9"/>
    <w:unhideWhenUsed/>
    <w:rsid w:val="00EA01A2"/>
    <w:pPr>
      <w:keepNext/>
      <w:keepLines/>
      <w:spacing w:after="0" w:before="40"/>
      <w:outlineLvl w:val="8"/>
    </w:pPr>
    <w:rPr>
      <w:rFonts w:asciiTheme="majorHAnsi" w:cstheme="majorBidi" w:eastAsiaTheme="majorEastAsia" w:hAnsiTheme="majorHAnsi"/>
      <w:color w:themeColor="accent6" w:themeShade="80" w:val="385623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Indent" w:type="paragraph">
    <w:name w:val="Body Text Indent"/>
    <w:basedOn w:val="Normal"/>
    <w:pPr>
      <w:jc w:val="center"/>
    </w:pPr>
    <w:rPr>
      <w:b/>
      <w:sz w:val="24"/>
    </w:rPr>
  </w:style>
  <w:style w:styleId="BodyText" w:type="paragraph">
    <w:name w:val="Body Text"/>
    <w:basedOn w:val="Normal"/>
    <w:link w:val="BodyTextChar"/>
    <w:pPr>
      <w:spacing w:line="312" w:lineRule="auto"/>
    </w:pPr>
    <w:rPr>
      <w:rFonts w:ascii="Arial" w:hAnsi="Arial"/>
      <w:sz w:val="24"/>
    </w:rPr>
  </w:style>
  <w:style w:styleId="TOC1" w:type="paragraph">
    <w:name w:val="toc 1"/>
    <w:basedOn w:val="Normal"/>
    <w:next w:val="Normal"/>
    <w:autoRedefine/>
    <w:semiHidden/>
    <w:rsid w:val="00AD2304"/>
    <w:pPr>
      <w:keepNext/>
      <w:spacing w:before="240"/>
      <w:outlineLvl w:val="0"/>
    </w:pPr>
    <w:rPr>
      <w:b/>
      <w:color w:val="FF0000"/>
      <w:sz w:val="24"/>
    </w:rPr>
  </w:style>
  <w:style w:styleId="TOC2" w:type="paragraph">
    <w:name w:val="toc 2"/>
    <w:basedOn w:val="Normal"/>
    <w:next w:val="Normal"/>
    <w:autoRedefine/>
    <w:semiHidden/>
    <w:pPr>
      <w:ind w:left="200"/>
    </w:pPr>
  </w:style>
  <w:style w:styleId="TOC3" w:type="paragraph">
    <w:name w:val="toc 3"/>
    <w:basedOn w:val="Normal"/>
    <w:next w:val="Normal"/>
    <w:autoRedefine/>
    <w:semiHidden/>
    <w:pPr>
      <w:ind w:left="400"/>
    </w:pPr>
  </w:style>
  <w:style w:styleId="TOC4" w:type="paragraph">
    <w:name w:val="toc 4"/>
    <w:basedOn w:val="Normal"/>
    <w:next w:val="Normal"/>
    <w:autoRedefine/>
    <w:semiHidden/>
    <w:pPr>
      <w:ind w:left="600"/>
    </w:pPr>
  </w:style>
  <w:style w:styleId="TOC5" w:type="paragraph">
    <w:name w:val="toc 5"/>
    <w:basedOn w:val="Normal"/>
    <w:next w:val="Normal"/>
    <w:autoRedefine/>
    <w:semiHidden/>
    <w:pPr>
      <w:ind w:left="800"/>
    </w:pPr>
  </w:style>
  <w:style w:styleId="TOC6" w:type="paragraph">
    <w:name w:val="toc 6"/>
    <w:basedOn w:val="Normal"/>
    <w:next w:val="Normal"/>
    <w:autoRedefine/>
    <w:semiHidden/>
    <w:pPr>
      <w:ind w:left="1000"/>
    </w:pPr>
  </w:style>
  <w:style w:styleId="TOC7" w:type="paragraph">
    <w:name w:val="toc 7"/>
    <w:basedOn w:val="Normal"/>
    <w:next w:val="Normal"/>
    <w:autoRedefine/>
    <w:semiHidden/>
    <w:pPr>
      <w:ind w:left="1200"/>
    </w:pPr>
  </w:style>
  <w:style w:styleId="TOC8" w:type="paragraph">
    <w:name w:val="toc 8"/>
    <w:basedOn w:val="Normal"/>
    <w:next w:val="Normal"/>
    <w:autoRedefine/>
    <w:semiHidden/>
    <w:pPr>
      <w:ind w:left="1400"/>
    </w:pPr>
  </w:style>
  <w:style w:styleId="TOC9" w:type="paragraph">
    <w:name w:val="toc 9"/>
    <w:basedOn w:val="Normal"/>
    <w:next w:val="Normal"/>
    <w:autoRedefine/>
    <w:semiHidden/>
    <w:pPr>
      <w:ind w:left="1600"/>
    </w:pPr>
  </w:style>
  <w:style w:styleId="Title" w:type="paragraph">
    <w:name w:val="Title"/>
    <w:basedOn w:val="Normal"/>
    <w:next w:val="Normal"/>
    <w:link w:val="TitleChar"/>
    <w:uiPriority w:val="10"/>
    <w:qFormat/>
    <w:rsid w:val="00B863D4"/>
    <w:pPr>
      <w:spacing w:after="0" w:line="240" w:lineRule="auto"/>
      <w:contextualSpacing/>
      <w:jc w:val="center"/>
    </w:pPr>
    <w:rPr>
      <w:rFonts w:asciiTheme="majorHAnsi" w:cstheme="majorBidi" w:eastAsiaTheme="majorEastAsia" w:hAnsiTheme="majorHAnsi"/>
      <w:b/>
      <w:spacing w:val="-10"/>
      <w:sz w:val="28"/>
      <w:szCs w:val="52"/>
    </w:rPr>
  </w:style>
  <w:style w:styleId="BodyTextIndent2" w:type="paragraph">
    <w:name w:val="Body Text Indent 2"/>
    <w:basedOn w:val="Normal"/>
    <w:pPr>
      <w:spacing w:line="312" w:lineRule="auto"/>
      <w:ind w:firstLine="567"/>
    </w:pPr>
    <w:rPr>
      <w:rFonts w:ascii="Arial" w:hAnsi="Arial"/>
      <w:sz w:val="24"/>
    </w:rPr>
  </w:style>
  <w:style w:styleId="BodyText2" w:type="paragraph">
    <w:name w:val="Body Text 2"/>
    <w:basedOn w:val="Normal"/>
    <w:rPr>
      <w:rFonts w:ascii="Arial" w:hAnsi="Arial"/>
      <w:snapToGrid w:val="0"/>
      <w:color w:val="000000"/>
      <w:sz w:val="18"/>
      <w:lang w:val="en-US"/>
    </w:rPr>
  </w:style>
  <w:style w:styleId="BodyText3" w:type="paragraph">
    <w:name w:val="Body Text 3"/>
    <w:basedOn w:val="Normal"/>
    <w:pPr>
      <w:spacing w:line="312" w:lineRule="auto"/>
      <w:jc w:val="center"/>
    </w:pPr>
    <w:rPr>
      <w:rFonts w:ascii="Arial" w:hAnsi="Arial"/>
      <w:b/>
      <w:i/>
      <w:sz w:val="24"/>
    </w:rPr>
  </w:style>
  <w:style w:styleId="Footer" w:type="paragraph">
    <w:name w:val="footer"/>
    <w:basedOn w:val="Normal"/>
    <w:link w:val="FooterChar"/>
    <w:pPr>
      <w:tabs>
        <w:tab w:pos="4536" w:val="center"/>
        <w:tab w:pos="9072" w:val="right"/>
      </w:tabs>
    </w:pPr>
  </w:style>
  <w:style w:styleId="PageNumber" w:type="character">
    <w:name w:val="page number"/>
    <w:basedOn w:val="DefaultParagraphFont"/>
  </w:style>
  <w:style w:styleId="BodyTextIndent3" w:type="paragraph">
    <w:name w:val="Body Text Indent 3"/>
    <w:basedOn w:val="Normal"/>
    <w:pPr>
      <w:spacing w:line="288" w:lineRule="auto"/>
      <w:ind w:hanging="851" w:left="851"/>
    </w:pPr>
    <w:rPr>
      <w:rFonts w:ascii="Arial" w:hAnsi="Arial"/>
      <w:sz w:val="24"/>
      <w:lang w:val="en-IE"/>
    </w:rPr>
  </w:style>
  <w:style w:styleId="Hyperlink" w:type="character">
    <w:name w:val="Hyperlink"/>
    <w:rPr>
      <w:color w:val="0000FF"/>
      <w:u w:val="single"/>
    </w:rPr>
  </w:style>
  <w:style w:styleId="FollowedHyperlink" w:type="character">
    <w:name w:val="FollowedHyperlink"/>
    <w:rPr>
      <w:color w:val="800080"/>
      <w:u w:val="single"/>
    </w:rPr>
  </w:style>
  <w:style w:styleId="Strong" w:type="character">
    <w:name w:val="Strong"/>
    <w:aliases w:val="Bold"/>
    <w:basedOn w:val="DefaultParagraphFont"/>
    <w:uiPriority w:val="22"/>
    <w:qFormat/>
    <w:rsid w:val="00EA01A2"/>
    <w:rPr>
      <w:b/>
      <w:bCs/>
    </w:rPr>
  </w:style>
  <w:style w:styleId="Header" w:type="paragraph">
    <w:name w:val="header"/>
    <w:basedOn w:val="Normal"/>
    <w:pPr>
      <w:tabs>
        <w:tab w:pos="4536" w:val="center"/>
        <w:tab w:pos="9072" w:val="right"/>
      </w:tabs>
    </w:pPr>
  </w:style>
  <w:style w:customStyle="1" w:styleId="testo1" w:type="character">
    <w:name w:val="testo1"/>
    <w:rPr>
      <w:rFonts w:ascii="Verdana" w:hAnsi="Verdana" w:hint="default"/>
      <w:b w:val="0"/>
      <w:bCs w:val="0"/>
      <w:i w:val="0"/>
      <w:iCs w:val="0"/>
      <w:smallCaps w:val="0"/>
      <w:color w:val="2F3195"/>
      <w:sz w:val="18"/>
      <w:szCs w:val="18"/>
    </w:rPr>
  </w:style>
  <w:style w:styleId="BalloonText" w:type="paragraph">
    <w:name w:val="Balloon Text"/>
    <w:basedOn w:val="Normal"/>
    <w:semiHidden/>
    <w:rsid w:val="003F1409"/>
    <w:rPr>
      <w:rFonts w:ascii="Tahoma" w:cs="Tahoma" w:hAnsi="Tahoma"/>
      <w:sz w:val="16"/>
      <w:szCs w:val="16"/>
    </w:rPr>
  </w:style>
  <w:style w:styleId="TableGrid" w:type="table">
    <w:name w:val="Table Grid"/>
    <w:basedOn w:val="TableNormal"/>
    <w:rsid w:val="0081686F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customStyle="1" w:styleId="AdressLines" w:type="paragraph">
    <w:name w:val="AdressLines"/>
    <w:basedOn w:val="BodyText"/>
    <w:link w:val="AdressLinesZchn"/>
    <w:qFormat/>
    <w:rsid w:val="00B863D4"/>
    <w:pPr>
      <w:keepNext/>
      <w:tabs>
        <w:tab w:pos="1134" w:val="left"/>
      </w:tabs>
      <w:spacing w:after="240" w:line="240" w:lineRule="auto"/>
      <w:ind w:hanging="284" w:left="284"/>
      <w:outlineLvl w:val="0"/>
    </w:pPr>
    <w:rPr>
      <w:rFonts w:ascii="Cambria" w:hAnsi="Cambria"/>
      <w:i/>
      <w:iCs/>
      <w:sz w:val="18"/>
    </w:rPr>
  </w:style>
  <w:style w:customStyle="1" w:styleId="Authors" w:type="paragraph">
    <w:name w:val="Authors"/>
    <w:basedOn w:val="Heading1"/>
    <w:link w:val="AuthorsZchn"/>
    <w:qFormat/>
    <w:rsid w:val="00B863D4"/>
    <w:pPr>
      <w:spacing w:after="360"/>
      <w:ind w:hanging="284" w:left="284"/>
      <w:jc w:val="center"/>
    </w:pPr>
    <w:rPr>
      <w:sz w:val="22"/>
      <w:szCs w:val="22"/>
      <w:lang w:val="de-DE"/>
    </w:rPr>
  </w:style>
  <w:style w:customStyle="1" w:styleId="BodyTextChar" w:type="character">
    <w:name w:val="Body Text Char"/>
    <w:link w:val="BodyText"/>
    <w:rsid w:val="00393C2C"/>
    <w:rPr>
      <w:rFonts w:ascii="Arial" w:hAnsi="Arial"/>
      <w:sz w:val="24"/>
      <w:lang w:eastAsia="cs-CZ" w:val="cs-CZ"/>
    </w:rPr>
  </w:style>
  <w:style w:customStyle="1" w:styleId="AdressLinesZchn" w:type="character">
    <w:name w:val="AdressLines Zchn"/>
    <w:link w:val="AdressLines"/>
    <w:rsid w:val="00B863D4"/>
    <w:rPr>
      <w:rFonts w:ascii="Cambria" w:hAnsi="Cambria"/>
      <w:i/>
      <w:iCs/>
      <w:sz w:val="18"/>
      <w:lang w:val="en-GB"/>
      <w14:ligatures w14:val="standard"/>
    </w:rPr>
  </w:style>
  <w:style w:customStyle="1" w:styleId="Acknowledgements" w:type="paragraph">
    <w:name w:val="Acknowledgements"/>
    <w:basedOn w:val="Normal"/>
    <w:link w:val="AcknowledgementsZchn"/>
    <w:qFormat/>
    <w:rsid w:val="0031150C"/>
    <w:rPr>
      <w:sz w:val="20"/>
    </w:rPr>
  </w:style>
  <w:style w:customStyle="1" w:styleId="Heading1Char" w:type="character">
    <w:name w:val="Heading 1 Char"/>
    <w:basedOn w:val="DefaultParagraphFont"/>
    <w:link w:val="Heading1"/>
    <w:uiPriority w:val="9"/>
    <w:rsid w:val="00B863D4"/>
    <w:rPr>
      <w:rFonts w:asciiTheme="majorHAnsi" w:cstheme="majorBidi" w:eastAsiaTheme="majorEastAsia" w:hAnsiTheme="majorHAnsi"/>
      <w:b/>
      <w:sz w:val="24"/>
      <w:szCs w:val="30"/>
      <w:lang w:val="en-GB"/>
      <w14:ligatures w14:val="standard"/>
    </w:rPr>
  </w:style>
  <w:style w:customStyle="1" w:styleId="AuthorsZchn" w:type="character">
    <w:name w:val="Authors Zchn"/>
    <w:link w:val="Authors"/>
    <w:rsid w:val="00B863D4"/>
    <w:rPr>
      <w:rFonts w:asciiTheme="majorHAnsi" w:cstheme="majorBidi" w:eastAsiaTheme="majorEastAsia" w:hAnsiTheme="majorHAnsi"/>
      <w:b/>
      <w:lang w:val="de-DE"/>
      <w14:ligatures w14:val="standard"/>
    </w:rPr>
  </w:style>
  <w:style w:customStyle="1" w:styleId="CaptionTable" w:type="paragraph">
    <w:name w:val="Caption Table"/>
    <w:basedOn w:val="Normal"/>
    <w:link w:val="CaptionTableZchn"/>
    <w:qFormat/>
    <w:rsid w:val="006B2CBE"/>
    <w:pPr>
      <w:keepNext/>
      <w:spacing w:after="60" w:before="240"/>
      <w:jc w:val="left"/>
    </w:pPr>
    <w:rPr>
      <w:bCs/>
      <w:color w:val="000000"/>
      <w:szCs w:val="18"/>
    </w:rPr>
  </w:style>
  <w:style w:customStyle="1" w:styleId="AcknowledgementsZchn" w:type="character">
    <w:name w:val="Acknowledgements Zchn"/>
    <w:link w:val="Acknowledgements"/>
    <w:rsid w:val="0031150C"/>
    <w:rPr>
      <w:sz w:val="20"/>
      <w:lang w:val="en-GB"/>
      <w14:ligatures w14:val="standard"/>
    </w:rPr>
  </w:style>
  <w:style w:customStyle="1" w:styleId="Table" w:type="paragraph">
    <w:name w:val="Table"/>
    <w:basedOn w:val="Normal"/>
    <w:link w:val="TableZchn"/>
    <w:rsid w:val="0077040D"/>
    <w:pPr>
      <w:spacing w:after="20" w:before="20"/>
    </w:pPr>
  </w:style>
  <w:style w:customStyle="1" w:styleId="CaptionTableZchn" w:type="character">
    <w:name w:val="Caption Table Zchn"/>
    <w:link w:val="CaptionTable"/>
    <w:rsid w:val="006B2CBE"/>
    <w:rPr>
      <w:bCs/>
      <w:color w:val="000000"/>
      <w:szCs w:val="18"/>
      <w:lang w:val="en-GB"/>
      <w14:ligatures w14:val="standard"/>
    </w:rPr>
  </w:style>
  <w:style w:customStyle="1" w:styleId="TableTitle" w:type="paragraph">
    <w:name w:val="TableTitle"/>
    <w:basedOn w:val="Table"/>
    <w:link w:val="TableTitleZchn"/>
    <w:rsid w:val="00786A13"/>
  </w:style>
  <w:style w:customStyle="1" w:styleId="TableZchn" w:type="character">
    <w:name w:val="Table Zchn"/>
    <w:link w:val="Table"/>
    <w:rsid w:val="0077040D"/>
    <w:rPr>
      <w:szCs w:val="22"/>
      <w:lang w:eastAsia="cs-CZ" w:val="en-GB"/>
    </w:rPr>
  </w:style>
  <w:style w:customStyle="1" w:styleId="CaptionFigure" w:type="paragraph">
    <w:name w:val="Caption Figure"/>
    <w:basedOn w:val="CaptionTable"/>
    <w:link w:val="CaptionFigureZchn"/>
    <w:qFormat/>
    <w:rsid w:val="00AD3812"/>
    <w:pPr>
      <w:spacing w:after="240"/>
    </w:pPr>
  </w:style>
  <w:style w:customStyle="1" w:styleId="TableTitleZchn" w:type="character">
    <w:name w:val="TableTitle Zchn"/>
    <w:link w:val="TableTitle"/>
    <w:rsid w:val="00786A13"/>
    <w:rPr>
      <w:szCs w:val="22"/>
      <w:lang w:eastAsia="cs-CZ" w:val="en-GB"/>
    </w:rPr>
  </w:style>
  <w:style w:customStyle="1" w:styleId="References" w:type="paragraph">
    <w:name w:val="References"/>
    <w:basedOn w:val="Normal"/>
    <w:link w:val="ReferencesZchn"/>
    <w:qFormat/>
    <w:rsid w:val="004658E1"/>
    <w:pPr>
      <w:tabs>
        <w:tab w:pos="2410" w:val="left"/>
      </w:tabs>
      <w:ind w:hanging="426" w:left="426"/>
    </w:pPr>
    <w:rPr>
      <w:sz w:val="18"/>
    </w:rPr>
  </w:style>
  <w:style w:customStyle="1" w:styleId="CaptionFigureZchn" w:type="character">
    <w:name w:val="Caption Figure Zchn"/>
    <w:link w:val="CaptionFigure"/>
    <w:rsid w:val="00AD3812"/>
    <w:rPr>
      <w:bCs/>
      <w:color w:val="000000"/>
      <w:sz w:val="20"/>
      <w:szCs w:val="18"/>
      <w:lang w:val="en-GB"/>
      <w14:ligatures w14:val="standard"/>
    </w:rPr>
  </w:style>
  <w:style w:customStyle="1" w:styleId="Figure" w:type="paragraph">
    <w:name w:val="Figure"/>
    <w:basedOn w:val="Normal"/>
    <w:link w:val="FigureZchn"/>
    <w:qFormat/>
    <w:rsid w:val="002E4255"/>
    <w:pPr>
      <w:keepNext/>
      <w:spacing w:before="360"/>
      <w:jc w:val="center"/>
    </w:pPr>
  </w:style>
  <w:style w:customStyle="1" w:styleId="ReferencesZchn" w:type="character">
    <w:name w:val="References Zchn"/>
    <w:link w:val="References"/>
    <w:rsid w:val="004658E1"/>
    <w:rPr>
      <w:sz w:val="18"/>
      <w:lang w:val="en-GB"/>
      <w14:ligatures w14:val="standard"/>
    </w:rPr>
  </w:style>
  <w:style w:styleId="Emphasis" w:type="character">
    <w:name w:val="Emphasis"/>
    <w:aliases w:val="Italic"/>
    <w:basedOn w:val="DefaultParagraphFont"/>
    <w:uiPriority w:val="20"/>
    <w:qFormat/>
    <w:rsid w:val="00EA01A2"/>
    <w:rPr>
      <w:i/>
      <w:iCs/>
    </w:rPr>
  </w:style>
  <w:style w:customStyle="1" w:styleId="FigureZchn" w:type="character">
    <w:name w:val="Figure Zchn"/>
    <w:link w:val="Figure"/>
    <w:rsid w:val="002E4255"/>
    <w:rPr>
      <w:sz w:val="20"/>
      <w:lang w:val="en-GB"/>
      <w14:ligatures w14:val="standard"/>
    </w:rPr>
  </w:style>
  <w:style w:styleId="ListParagraph" w:type="paragraph">
    <w:name w:val="List Paragraph"/>
    <w:aliases w:val="List"/>
    <w:basedOn w:val="Normal"/>
    <w:uiPriority w:val="34"/>
    <w:qFormat/>
    <w:rsid w:val="00966DD0"/>
    <w:pPr>
      <w:ind w:left="720"/>
      <w:contextualSpacing/>
    </w:pPr>
  </w:style>
  <w:style w:customStyle="1" w:styleId="Keywords" w:type="paragraph">
    <w:name w:val="Keywords"/>
    <w:basedOn w:val="Normal"/>
    <w:link w:val="KeywordsZchn"/>
    <w:rsid w:val="00B863D4"/>
    <w:rPr>
      <w:rFonts w:asciiTheme="majorHAnsi" w:hAnsiTheme="majorHAnsi"/>
      <w:b/>
    </w:rPr>
  </w:style>
  <w:style w:styleId="CommentReference" w:type="character">
    <w:name w:val="annotation reference"/>
    <w:rsid w:val="0046097A"/>
    <w:rPr>
      <w:sz w:val="16"/>
      <w:szCs w:val="16"/>
    </w:rPr>
  </w:style>
  <w:style w:customStyle="1" w:styleId="KeywordsZchn" w:type="character">
    <w:name w:val="Keywords Zchn"/>
    <w:link w:val="Keywords"/>
    <w:rsid w:val="00B863D4"/>
    <w:rPr>
      <w:rFonts w:asciiTheme="majorHAnsi" w:hAnsiTheme="majorHAnsi"/>
      <w:b/>
      <w:sz w:val="20"/>
      <w:lang w:val="en-GB"/>
      <w14:ligatures w14:val="standard"/>
    </w:rPr>
  </w:style>
  <w:style w:styleId="CommentText" w:type="paragraph">
    <w:name w:val="annotation text"/>
    <w:basedOn w:val="Normal"/>
    <w:link w:val="CommentTextChar"/>
    <w:rsid w:val="0046097A"/>
  </w:style>
  <w:style w:customStyle="1" w:styleId="CommentTextChar" w:type="character">
    <w:name w:val="Comment Text Char"/>
    <w:link w:val="CommentText"/>
    <w:rsid w:val="0046097A"/>
    <w:rPr>
      <w:lang w:eastAsia="cs-CZ" w:val="cs-CZ"/>
    </w:rPr>
  </w:style>
  <w:style w:styleId="CommentSubject" w:type="paragraph">
    <w:name w:val="annotation subject"/>
    <w:basedOn w:val="CommentText"/>
    <w:next w:val="CommentText"/>
    <w:link w:val="CommentSubjectChar"/>
    <w:rsid w:val="0046097A"/>
    <w:rPr>
      <w:b/>
      <w:bCs/>
    </w:rPr>
  </w:style>
  <w:style w:customStyle="1" w:styleId="CommentSubjectChar" w:type="character">
    <w:name w:val="Comment Subject Char"/>
    <w:link w:val="CommentSubject"/>
    <w:rsid w:val="0046097A"/>
    <w:rPr>
      <w:b/>
      <w:bCs/>
      <w:lang w:eastAsia="cs-CZ" w:val="cs-CZ"/>
    </w:rPr>
  </w:style>
  <w:style w:customStyle="1" w:styleId="asset-entry" w:type="character">
    <w:name w:val="asset-entry"/>
    <w:basedOn w:val="DefaultParagraphFont"/>
    <w:rsid w:val="006D6B80"/>
  </w:style>
  <w:style w:styleId="Revision" w:type="paragraph">
    <w:name w:val="Revision"/>
    <w:hidden/>
    <w:uiPriority w:val="99"/>
    <w:semiHidden/>
    <w:rsid w:val="00046194"/>
    <w:rPr>
      <w:rFonts w:ascii="Cambria" w:hAnsi="Cambria"/>
      <w:lang w:eastAsia="cs-CZ" w:val="en-CA"/>
    </w:rPr>
  </w:style>
  <w:style w:customStyle="1" w:styleId="Heading2Char" w:type="character">
    <w:name w:val="Heading 2 Char"/>
    <w:basedOn w:val="DefaultParagraphFont"/>
    <w:link w:val="Heading2"/>
    <w:uiPriority w:val="9"/>
    <w:rsid w:val="00B863D4"/>
    <w:rPr>
      <w:rFonts w:asciiTheme="majorHAnsi" w:cstheme="majorBidi" w:eastAsiaTheme="majorEastAsia" w:hAnsiTheme="majorHAnsi"/>
      <w:b/>
      <w:szCs w:val="28"/>
      <w:lang w:val="en-GB"/>
      <w14:ligatures w14:val="standard"/>
    </w:rPr>
  </w:style>
  <w:style w:customStyle="1" w:styleId="Heading3Char" w:type="character">
    <w:name w:val="Heading 3 Char"/>
    <w:basedOn w:val="DefaultParagraphFont"/>
    <w:link w:val="Heading3"/>
    <w:uiPriority w:val="9"/>
    <w:rsid w:val="00B863D4"/>
    <w:rPr>
      <w:rFonts w:asciiTheme="majorHAnsi" w:cstheme="majorBidi" w:eastAsiaTheme="majorEastAsia" w:hAnsiTheme="majorHAnsi"/>
      <w:b/>
      <w:i/>
      <w:szCs w:val="26"/>
      <w:lang w:val="en-GB"/>
      <w14:ligatures w14:val="standard"/>
    </w:rPr>
  </w:style>
  <w:style w:customStyle="1" w:styleId="Heading4Char" w:type="character">
    <w:name w:val="Heading 4 Char"/>
    <w:basedOn w:val="DefaultParagraphFont"/>
    <w:link w:val="Heading4"/>
    <w:uiPriority w:val="9"/>
    <w:rsid w:val="00EA01A2"/>
    <w:rPr>
      <w:rFonts w:asciiTheme="majorHAnsi" w:cstheme="majorBidi" w:eastAsiaTheme="majorEastAsia" w:hAnsiTheme="majorHAnsi"/>
      <w:i/>
      <w:iCs/>
      <w:color w:themeColor="accent5" w:themeShade="BF" w:val="2E74B5"/>
      <w:sz w:val="25"/>
      <w:szCs w:val="25"/>
    </w:rPr>
  </w:style>
  <w:style w:customStyle="1" w:styleId="Heading5Char" w:type="character">
    <w:name w:val="Heading 5 Char"/>
    <w:basedOn w:val="DefaultParagraphFont"/>
    <w:link w:val="Heading5"/>
    <w:uiPriority w:val="9"/>
    <w:rsid w:val="00EA01A2"/>
    <w:rPr>
      <w:rFonts w:asciiTheme="majorHAnsi" w:cstheme="majorBidi" w:eastAsiaTheme="majorEastAsia" w:hAnsiTheme="majorHAnsi"/>
      <w:i/>
      <w:iCs/>
      <w:color w:themeColor="accent2" w:themeShade="80" w:val="833C0B"/>
      <w:sz w:val="24"/>
      <w:szCs w:val="24"/>
    </w:rPr>
  </w:style>
  <w:style w:customStyle="1" w:styleId="Heading6Char" w:type="character">
    <w:name w:val="Heading 6 Char"/>
    <w:basedOn w:val="DefaultParagraphFont"/>
    <w:link w:val="Heading6"/>
    <w:uiPriority w:val="9"/>
    <w:rsid w:val="00EA01A2"/>
    <w:rPr>
      <w:rFonts w:asciiTheme="majorHAnsi" w:cstheme="majorBidi" w:eastAsiaTheme="majorEastAsia" w:hAnsiTheme="majorHAnsi"/>
      <w:i/>
      <w:iCs/>
      <w:color w:themeColor="accent6" w:themeShade="80" w:val="385623"/>
      <w:sz w:val="23"/>
      <w:szCs w:val="23"/>
    </w:rPr>
  </w:style>
  <w:style w:customStyle="1" w:styleId="Heading7Char" w:type="character">
    <w:name w:val="Heading 7 Char"/>
    <w:basedOn w:val="DefaultParagraphFont"/>
    <w:link w:val="Heading7"/>
    <w:uiPriority w:val="9"/>
    <w:rsid w:val="00EA01A2"/>
    <w:rPr>
      <w:rFonts w:asciiTheme="majorHAnsi" w:cstheme="majorBidi" w:eastAsiaTheme="majorEastAsia" w:hAnsiTheme="majorHAnsi"/>
      <w:color w:themeColor="accent1" w:themeShade="80" w:val="1F3864"/>
    </w:rPr>
  </w:style>
  <w:style w:customStyle="1" w:styleId="Heading8Char" w:type="character">
    <w:name w:val="Heading 8 Char"/>
    <w:basedOn w:val="DefaultParagraphFont"/>
    <w:link w:val="Heading8"/>
    <w:uiPriority w:val="9"/>
    <w:rsid w:val="00EA01A2"/>
    <w:rPr>
      <w:rFonts w:asciiTheme="majorHAnsi" w:cstheme="majorBidi" w:eastAsiaTheme="majorEastAsia" w:hAnsiTheme="majorHAnsi"/>
      <w:color w:themeColor="accent2" w:themeShade="80" w:val="833C0B"/>
      <w:sz w:val="21"/>
      <w:szCs w:val="21"/>
    </w:rPr>
  </w:style>
  <w:style w:customStyle="1" w:styleId="Heading9Char" w:type="character">
    <w:name w:val="Heading 9 Char"/>
    <w:basedOn w:val="DefaultParagraphFont"/>
    <w:link w:val="Heading9"/>
    <w:uiPriority w:val="9"/>
    <w:rsid w:val="00EA01A2"/>
    <w:rPr>
      <w:rFonts w:asciiTheme="majorHAnsi" w:cstheme="majorBidi" w:eastAsiaTheme="majorEastAsia" w:hAnsiTheme="majorHAnsi"/>
      <w:color w:themeColor="accent6" w:themeShade="80" w:val="385623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EA01A2"/>
    <w:pPr>
      <w:spacing w:line="240" w:lineRule="auto"/>
    </w:pPr>
    <w:rPr>
      <w:b/>
      <w:bCs/>
      <w:smallCaps/>
      <w:color w:themeColor="accent1" w:val="4472C4"/>
      <w:spacing w:val="6"/>
    </w:rPr>
  </w:style>
  <w:style w:customStyle="1" w:styleId="TitleChar" w:type="character">
    <w:name w:val="Title Char"/>
    <w:basedOn w:val="DefaultParagraphFont"/>
    <w:link w:val="Title"/>
    <w:uiPriority w:val="10"/>
    <w:rsid w:val="00B863D4"/>
    <w:rPr>
      <w:rFonts w:asciiTheme="majorHAnsi" w:cstheme="majorBidi" w:eastAsiaTheme="majorEastAsia" w:hAnsiTheme="majorHAnsi"/>
      <w:b/>
      <w:spacing w:val="-10"/>
      <w:sz w:val="28"/>
      <w:szCs w:val="52"/>
      <w:lang w:val="en-GB"/>
      <w14:ligatures w14:val="standard"/>
    </w:rPr>
  </w:style>
  <w:style w:styleId="Subtitle" w:type="paragraph">
    <w:name w:val="Subtitle"/>
    <w:basedOn w:val="Normal"/>
    <w:next w:val="Normal"/>
    <w:link w:val="SubtitleChar"/>
    <w:uiPriority w:val="11"/>
    <w:rsid w:val="00EA01A2"/>
    <w:pPr>
      <w:numPr>
        <w:ilvl w:val="1"/>
      </w:numPr>
      <w:spacing w:line="240" w:lineRule="auto"/>
    </w:pPr>
    <w:rPr>
      <w:rFonts w:asciiTheme="majorHAnsi" w:cstheme="majorBidi" w:eastAsiaTheme="majorEastAsia" w:hAnsiTheme="majorHAnsi"/>
    </w:rPr>
  </w:style>
  <w:style w:customStyle="1" w:styleId="SubtitleChar" w:type="character">
    <w:name w:val="Subtitle Char"/>
    <w:basedOn w:val="DefaultParagraphFont"/>
    <w:link w:val="Subtitle"/>
    <w:uiPriority w:val="11"/>
    <w:rsid w:val="00EA01A2"/>
    <w:rPr>
      <w:rFonts w:asciiTheme="majorHAnsi" w:cstheme="majorBidi" w:eastAsiaTheme="majorEastAsia" w:hAnsiTheme="majorHAnsi"/>
    </w:rPr>
  </w:style>
  <w:style w:styleId="NoSpacing" w:type="paragraph">
    <w:name w:val="No Spacing"/>
    <w:uiPriority w:val="1"/>
    <w:rsid w:val="00EA01A2"/>
    <w:pPr>
      <w:spacing w:after="0" w:line="240" w:lineRule="auto"/>
    </w:pPr>
  </w:style>
  <w:style w:styleId="Quote" w:type="paragraph">
    <w:name w:val="Quote"/>
    <w:basedOn w:val="Normal"/>
    <w:next w:val="Normal"/>
    <w:link w:val="QuoteChar"/>
    <w:uiPriority w:val="29"/>
    <w:rsid w:val="00EA01A2"/>
    <w:pPr>
      <w:spacing w:before="120"/>
      <w:ind w:left="720" w:right="720"/>
      <w:jc w:val="center"/>
    </w:pPr>
    <w:rPr>
      <w:i/>
      <w:iCs/>
    </w:rPr>
  </w:style>
  <w:style w:customStyle="1" w:styleId="QuoteChar" w:type="character">
    <w:name w:val="Quote Char"/>
    <w:basedOn w:val="DefaultParagraphFont"/>
    <w:link w:val="Quote"/>
    <w:uiPriority w:val="29"/>
    <w:rsid w:val="00EA01A2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rsid w:val="00EA01A2"/>
    <w:pPr>
      <w:spacing w:before="120" w:line="300" w:lineRule="auto"/>
      <w:ind w:left="576" w:right="576"/>
      <w:jc w:val="center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EA01A2"/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SubtleEmphasis" w:type="character">
    <w:name w:val="Subtle Emphasis"/>
    <w:basedOn w:val="DefaultParagraphFont"/>
    <w:uiPriority w:val="19"/>
    <w:rsid w:val="00EA01A2"/>
    <w:rPr>
      <w:i/>
      <w:iCs/>
      <w:color w:themeColor="text1" w:themeTint="BF" w:val="404040"/>
    </w:rPr>
  </w:style>
  <w:style w:styleId="IntenseEmphasis" w:type="character">
    <w:name w:val="Intense Emphasis"/>
    <w:basedOn w:val="DefaultParagraphFont"/>
    <w:uiPriority w:val="21"/>
    <w:rsid w:val="00EA01A2"/>
    <w:rPr>
      <w:b w:val="0"/>
      <w:bCs w:val="0"/>
      <w:i/>
      <w:iCs/>
      <w:color w:themeColor="accent1" w:val="4472C4"/>
    </w:rPr>
  </w:style>
  <w:style w:styleId="SubtleReference" w:type="character">
    <w:name w:val="Subtle Reference"/>
    <w:basedOn w:val="DefaultParagraphFont"/>
    <w:uiPriority w:val="31"/>
    <w:rsid w:val="00EA01A2"/>
    <w:rPr>
      <w:smallCaps/>
      <w:color w:themeColor="text1" w:themeTint="BF" w:val="404040"/>
      <w:u w:color="7F7F7F" w:themeColor="text1" w:themeTint="80" w:val="single"/>
    </w:rPr>
  </w:style>
  <w:style w:styleId="IntenseReference" w:type="character">
    <w:name w:val="Intense Reference"/>
    <w:basedOn w:val="DefaultParagraphFont"/>
    <w:uiPriority w:val="32"/>
    <w:rsid w:val="00EA01A2"/>
    <w:rPr>
      <w:b/>
      <w:bCs/>
      <w:smallCaps/>
      <w:color w:themeColor="accent1" w:val="4472C4"/>
      <w:spacing w:val="5"/>
      <w:u w:val="single"/>
    </w:rPr>
  </w:style>
  <w:style w:styleId="BookTitle" w:type="character">
    <w:name w:val="Book Title"/>
    <w:basedOn w:val="DefaultParagraphFont"/>
    <w:uiPriority w:val="33"/>
    <w:rsid w:val="00EA01A2"/>
    <w:rPr>
      <w:b/>
      <w:bCs/>
      <w:smallCaps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EA01A2"/>
    <w:pPr>
      <w:outlineLvl w:val="9"/>
    </w:pPr>
  </w:style>
  <w:style w:customStyle="1" w:styleId="NichtaufgelsteErwhnung1" w:type="character">
    <w:name w:val="Nicht aufgelöste Erwähnung1"/>
    <w:basedOn w:val="DefaultParagraphFont"/>
    <w:uiPriority w:val="99"/>
    <w:semiHidden/>
    <w:unhideWhenUsed/>
    <w:rsid w:val="00EA01A2"/>
    <w:rPr>
      <w:color w:val="605E5C"/>
      <w:shd w:color="auto" w:fill="E1DFDD" w:val="clear"/>
    </w:rPr>
  </w:style>
  <w:style w:customStyle="1" w:styleId="ListTable6Colorful" w:type="table">
    <w:name w:val="List Table 6 Colorful"/>
    <w:basedOn w:val="TableNormal"/>
    <w:uiPriority w:val="51"/>
    <w:rsid w:val="00FC42D9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4" w:themeColor="text1" w:val="single"/>
        <w:bottom w:color="000000" w:space="0" w:sz="4" w:themeColor="text1" w:val="single"/>
      </w:tblBorders>
    </w:tblPr>
    <w:tblStylePr w:type="firstRow">
      <w:rPr>
        <w:b/>
        <w:bCs/>
      </w:rPr>
      <w:tblPr/>
      <w:tcPr>
        <w:tcBorders>
          <w:bottom w:color="000000" w:space="0" w:sz="4" w:themeColor="text1" w:val="single"/>
        </w:tcBorders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PageNumbers" w:type="paragraph">
    <w:name w:val="PageNumbers"/>
    <w:basedOn w:val="Footer"/>
    <w:link w:val="PageNumbersZchn"/>
    <w:qFormat/>
    <w:rsid w:val="00B863D4"/>
  </w:style>
  <w:style w:customStyle="1" w:styleId="LegendNumbering" w:type="character">
    <w:name w:val="LegendNumbering"/>
    <w:basedOn w:val="DefaultParagraphFont"/>
    <w:uiPriority w:val="1"/>
    <w:qFormat/>
    <w:rsid w:val="00E921DE"/>
    <w:rPr>
      <w:rFonts w:asciiTheme="majorHAnsi" w:hAnsiTheme="majorHAnsi"/>
      <w:b/>
    </w:rPr>
  </w:style>
  <w:style w:customStyle="1" w:styleId="FooterChar" w:type="character">
    <w:name w:val="Footer Char"/>
    <w:basedOn w:val="DefaultParagraphFont"/>
    <w:link w:val="Footer"/>
    <w:rsid w:val="00B863D4"/>
    <w:rPr>
      <w:sz w:val="20"/>
      <w:lang w:val="en-GB"/>
      <w14:ligatures w14:val="standard"/>
    </w:rPr>
  </w:style>
  <w:style w:customStyle="1" w:styleId="PageNumbersZchn" w:type="character">
    <w:name w:val="PageNumbers Zchn"/>
    <w:basedOn w:val="FooterChar"/>
    <w:link w:val="PageNumbers"/>
    <w:rsid w:val="00B863D4"/>
    <w:rPr>
      <w:sz w:val="20"/>
      <w:lang w:val="en-GB"/>
      <w14:ligatures w14:val="standard"/>
    </w:rPr>
  </w:style>
  <w:style w:customStyle="1" w:styleId="NichtaufgelsteErwhnung2" w:type="character">
    <w:name w:val="Nicht aufgelöste Erwähnung2"/>
    <w:basedOn w:val="DefaultParagraphFont"/>
    <w:uiPriority w:val="99"/>
    <w:semiHidden/>
    <w:unhideWhenUsed/>
    <w:rsid w:val="008D3F83"/>
    <w:rPr>
      <w:color w:val="605E5C"/>
      <w:shd w:color="auto" w:fill="E1DFDD" w:val="clear"/>
    </w:rPr>
  </w:style>
  <w:style w:customStyle="1" w:styleId="Equation" w:type="paragraph">
    <w:name w:val="Equation"/>
    <w:basedOn w:val="Normal"/>
    <w:link w:val="EquationZchn"/>
    <w:qFormat/>
    <w:rsid w:val="00047149"/>
    <w:pPr>
      <w:tabs>
        <w:tab w:pos="9781" w:val="right"/>
      </w:tabs>
    </w:pPr>
  </w:style>
  <w:style w:customStyle="1" w:styleId="EquationZchn" w:type="character">
    <w:name w:val="Equation Zchn"/>
    <w:basedOn w:val="DefaultParagraphFont"/>
    <w:link w:val="Equation"/>
    <w:rsid w:val="00047149"/>
    <w:rPr>
      <w:lang w:val="en-GB"/>
      <w14:ligatures w14:val="standard"/>
    </w:rPr>
  </w:style>
  <w:style w:customStyle="1" w:styleId="FootnoteTable" w:type="paragraph">
    <w:name w:val="FootnoteTable"/>
    <w:basedOn w:val="Normal"/>
    <w:link w:val="FootnoteTableZchn"/>
    <w:qFormat/>
    <w:rsid w:val="00FB759B"/>
    <w:pPr>
      <w:spacing w:after="240" w:before="120"/>
    </w:pPr>
    <w:rPr>
      <w:sz w:val="20"/>
    </w:rPr>
  </w:style>
  <w:style w:customStyle="1" w:styleId="FootnoteTableZchn" w:type="character">
    <w:name w:val="FootnoteTable Zchn"/>
    <w:basedOn w:val="DefaultParagraphFont"/>
    <w:link w:val="FootnoteTable"/>
    <w:rsid w:val="00FB759B"/>
    <w:rPr>
      <w:sz w:val="20"/>
      <w:lang w:val="en-GB"/>
      <w14:ligatures w14:val="standard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130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5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0"/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media/image1.jpeg" Type="http://schemas.openxmlformats.org/officeDocument/2006/relationships/image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-Cambria">
      <a:majorFont>
        <a:latin typeface="Calibri" panose="020F0502020204030204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2334</Words>
  <Characters>13304</Characters>
  <Application>Microsoft Office Word</Application>
  <DocSecurity>0</DocSecurity>
  <Lines>110</Lines>
  <Paragraphs>31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>MWEN paper template</vt:lpstr>
      <vt:lpstr>MWEN paper template</vt:lpstr>
      <vt:lpstr>IMWA paper template</vt:lpstr>
    </vt:vector>
  </TitlesOfParts>
  <Company>neuvedeno</Company>
  <LinksUpToDate>false</LinksUpToDate>
  <CharactersWithSpaces>15607</CharactersWithSpaces>
  <SharedDoc>false</SharedDoc>
  <HLinks>
    <vt:vector size="6" baseType="variant">
      <vt:variant>
        <vt:i4>1507341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emailaddress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2026-07-06T22:39:07Z</dcterms:created>
  <dcterms:modified xsi:type="dcterms:W3CDTF">2026-07-06T22:39:07Z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