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begin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instrText xml:space="preserve">MERGEFIELD CodigoPostalSenhorio \* MERGEFORMAT</w:instrTex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separate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«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CodigoPostalSenhori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o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»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395"/>
        <w:jc w:val="left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395"/>
        <w:jc w:val="left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395"/>
        <w:jc w:val="left"/>
        <w:rPr>
          <w:rFonts w:ascii="Arial" w:eastAsia="Times New Roman" w:hAnsi="Arial" w:cs="Arial"/>
        </w:rPr>
      </w:pP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begin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instrText xml:space="preserve">MERGEFIELD CodigoPostalInquilino \* MERGEFORMAT</w:instrTex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separate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«CodigoPostalInquilino»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end"/>
      </w: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</w:p>
    <w:p>
      <w:pPr>
        <w:pBdr/>
        <w:pStyle w:val="Normal"/>
        <w:spacing/>
        <w:ind w:left="0"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Times New Roman" w:hAnsi="Arial" w:cs="Arial"/>
          <w:b/>
          <w:bCs/>
        </w:rPr>
        <w:t xml:space="preserve">Comunicação da atualização da renda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Exm</w:t>
      </w:r>
      <w:r>
        <w:rPr>
          <w:rFonts w:ascii="Arial" w:eastAsia="Times New Roman" w:hAnsi="Arial" w:cs="Arial"/>
        </w:rPr>
        <w:t xml:space="preserve">º</w:t>
      </w:r>
      <w:r>
        <w:rPr>
          <w:rFonts w:ascii="Arial" w:eastAsia="Times New Roman" w:hAnsi="Arial" w:cs="Arial"/>
        </w:rPr>
        <w:t xml:space="preserve">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). Sr.(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</w:t>
      </w:r>
      <w:r>
        <w:rPr>
          <w:rFonts w:ascii="Arial" w:eastAsia="Times New Roman" w:hAnsi="Arial" w:cs="Arial"/>
        </w:rPr>
        <w:t xml:space="preserve">,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Venho </w:t>
      </w:r>
      <w:r>
        <w:rPr>
          <w:rFonts w:ascii="Arial" w:eastAsia="Times New Roman" w:hAnsi="Arial" w:cs="Arial"/>
        </w:rPr>
        <w:t xml:space="preserve">pela </w:t>
      </w:r>
      <w:r>
        <w:rPr>
          <w:rFonts w:ascii="Arial" w:eastAsia="Times New Roman" w:hAnsi="Arial" w:cs="Arial"/>
        </w:rPr>
        <w:t xml:space="preserve">presente, </w:t>
      </w:r>
      <w:r>
        <w:rPr>
          <w:rFonts w:ascii="Arial" w:eastAsia="Times New Roman" w:hAnsi="Arial" w:cs="Arial"/>
        </w:rPr>
        <w:t xml:space="preserve">e </w:t>
      </w:r>
      <w:r>
        <w:rPr>
          <w:rFonts w:ascii="Arial" w:eastAsia="Times New Roman" w:hAnsi="Arial" w:cs="Arial"/>
        </w:rPr>
        <w:t xml:space="preserve">na </w:t>
      </w:r>
      <w:r>
        <w:rPr>
          <w:rFonts w:ascii="Arial" w:eastAsia="Times New Roman" w:hAnsi="Arial" w:cs="Arial"/>
        </w:rPr>
        <w:t xml:space="preserve">qualidade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Senhorio(a)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fração </w:t>
      </w:r>
      <w:r>
        <w:rPr>
          <w:rFonts w:ascii="Arial" w:eastAsia="Times New Roman" w:hAnsi="Arial" w:cs="Arial"/>
        </w:rPr>
        <w:t xml:space="preserve">autónoma </w:t>
      </w:r>
      <w:r>
        <w:rPr>
          <w:rFonts w:ascii="Arial" w:eastAsia="Times New Roman" w:hAnsi="Arial" w:cs="Arial"/>
        </w:rPr>
        <w:t xml:space="preserve">correspondente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prédio </w:t>
      </w:r>
      <w:r>
        <w:rPr>
          <w:rFonts w:ascii="Arial" w:eastAsia="Times New Roman" w:hAnsi="Arial" w:cs="Arial"/>
        </w:rPr>
        <w:t xml:space="preserve">com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Matriz </w:t>
      </w:r>
      <w:r>
        <w:rPr>
          <w:rFonts w:ascii="Arial" w:eastAsia="Times New Roman" w:hAnsi="Arial" w:cs="Arial"/>
        </w:rPr>
        <w:t xml:space="preserve">Predial </w:t>
      </w:r>
      <w:r>
        <w:rPr>
          <w:rFonts w:ascii="Arial" w:eastAsia="Times New Roman" w:hAnsi="Arial" w:cs="Arial"/>
        </w:rPr>
        <w:t xml:space="preserve">Urbana </w:t>
      </w:r>
      <w:r>
        <w:rPr>
          <w:rFonts w:ascii="Arial" w:eastAsia="Times New Roman" w:hAnsi="Arial" w:cs="Arial"/>
        </w:rPr>
        <w:t xml:space="preserve">n.º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MatrizPredial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«MatrizPredial»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sito </w:t>
      </w:r>
      <w:r>
        <w:rPr>
          <w:rFonts w:ascii="Arial" w:eastAsia="Times New Roman" w:hAnsi="Arial" w:cs="Arial"/>
        </w:rPr>
        <w:t xml:space="preserve">na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MoradaFracao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«MoradaFracao»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comunicar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irei </w:t>
      </w:r>
      <w:r>
        <w:rPr>
          <w:rFonts w:ascii="Arial" w:eastAsia="Times New Roman" w:hAnsi="Arial" w:cs="Arial"/>
        </w:rPr>
        <w:t xml:space="preserve">proceder </w:t>
      </w:r>
      <w:r>
        <w:rPr>
          <w:rFonts w:ascii="Arial" w:eastAsia="Times New Roman" w:hAnsi="Arial" w:cs="Arial"/>
        </w:rPr>
        <w:t xml:space="preserve">à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renda. 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  <w:b/>
          <w:bCs/>
        </w:rPr>
      </w:pPr>
      <w:r>
        <w:rPr>
          <w:rFonts w:ascii="Arial" w:eastAsia="Times New Roman" w:hAnsi="Arial" w:cs="Arial"/>
        </w:rPr>
        <w:t xml:space="preserve">Nos </w:t>
      </w:r>
      <w:r>
        <w:rPr>
          <w:rFonts w:ascii="Arial" w:eastAsia="Times New Roman" w:hAnsi="Arial" w:cs="Arial"/>
        </w:rPr>
        <w:t xml:space="preserve">termos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disposto </w:t>
      </w:r>
      <w:r>
        <w:rPr>
          <w:rFonts w:ascii="Arial" w:eastAsia="Times New Roman" w:hAnsi="Arial" w:cs="Arial"/>
        </w:rPr>
        <w:t xml:space="preserve">no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Lei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«Lei»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publicado </w:t>
      </w:r>
      <w:r>
        <w:rPr>
          <w:rFonts w:ascii="Arial" w:eastAsia="Times New Roman" w:hAnsi="Arial" w:cs="Arial"/>
        </w:rPr>
        <w:t xml:space="preserve">no </w:t>
      </w:r>
      <w:r>
        <w:rPr>
          <w:rFonts w:ascii="Arial" w:eastAsia="Times New Roman" w:hAnsi="Arial" w:cs="Arial"/>
        </w:rPr>
        <w:t xml:space="preserve">Diário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República </w:t>
      </w:r>
      <w:r>
        <w:rPr>
          <w:rFonts w:ascii="Arial" w:eastAsia="Times New Roman" w:hAnsi="Arial" w:cs="Arial"/>
        </w:rPr>
        <w:t xml:space="preserve">em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DataPublicacao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coeficiente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anual </w:t>
      </w:r>
      <w:r>
        <w:rPr>
          <w:rFonts w:ascii="Arial" w:eastAsia="Times New Roman" w:hAnsi="Arial" w:cs="Arial"/>
        </w:rPr>
        <w:t xml:space="preserve">das </w:t>
      </w:r>
      <w:r>
        <w:rPr>
          <w:rFonts w:ascii="Arial" w:eastAsia="Times New Roman" w:hAnsi="Arial" w:cs="Arial"/>
        </w:rPr>
        <w:t xml:space="preserve">rendas </w:t>
      </w:r>
      <w:r>
        <w:rPr>
          <w:rFonts w:ascii="Arial" w:eastAsia="Times New Roman" w:hAnsi="Arial" w:cs="Arial"/>
        </w:rPr>
        <w:t xml:space="preserve">para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AnoPublicacao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«AnoPublicacao»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é </w:instrText>
      </w:r>
      <w:r>
        <w:rPr>
          <w:rFonts w:ascii="Arial" w:eastAsia="Times New Roman" w:hAnsi="Arial" w:cs="Arial"/>
        </w:rPr>
        <w:t xml:space="preserve">de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Coeficiente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«Coeficiente»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  <w:b/>
          <w:bCs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keepNext w:val="0"/>
        <w:keepLines w:val="0"/>
        <w:spacing w:before="0" w:beforeAutospacing="0" w:after="0" w:afterAutospacing="0" w:line="276" w:lineRule="auto"/>
        <w:contextualSpacing w:val="0"/>
        <w:widowControl w:val="1"/>
        <w:ind w:left="0" w:right="0" w:firstLine="0"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Desta </w:t>
      </w:r>
      <w:r>
        <w:rPr>
          <w:rFonts w:ascii="Arial" w:eastAsia="Times New Roman" w:hAnsi="Arial" w:cs="Arial"/>
        </w:rPr>
        <w:t xml:space="preserve">forma</w:t>
      </w:r>
      <w:r>
        <w:rPr>
          <w:rFonts w:ascii="Arial" w:eastAsia="Times New Roman" w:hAnsi="Arial" w:cs="Arial"/>
        </w:rPr>
        <w:t xml:space="preserve">,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V. </w:t>
      </w:r>
      <w:r>
        <w:rPr>
          <w:rFonts w:ascii="Arial" w:eastAsia="Times New Roman" w:hAnsi="Arial" w:cs="Arial"/>
        </w:rPr>
        <w:t xml:space="preserve">Exa. </w:t>
      </w:r>
      <w:r>
        <w:rPr>
          <w:rFonts w:ascii="Arial" w:eastAsia="Times New Roman" w:hAnsi="Arial" w:cs="Arial"/>
        </w:rPr>
        <w:t xml:space="preserve">passará </w:t>
      </w:r>
      <w:r>
        <w:rPr>
          <w:rFonts w:ascii="Arial" w:eastAsia="Times New Roman" w:hAnsi="Arial" w:cs="Arial"/>
        </w:rPr>
        <w:t xml:space="preserve">dos </w:t>
      </w:r>
      <w:r>
        <w:rPr>
          <w:rFonts w:ascii="Arial" w:eastAsia="Times New Roman" w:hAnsi="Arial" w:cs="Arial"/>
        </w:rPr>
        <w:t xml:space="preserve">atuais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ValorRenda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«ValorRenda»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para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NovoValorRenda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«NovoValorRenda»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 w:val="0"/>
        </w:rPr>
        <w:t xml:space="preserve">(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begin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instrText xml:space="preserve">MERGEFIELD ExtensoNovoValor \* MERGEFORMAT</w:instrTex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separate"/>
      </w:r>
      <w:r>
        <w:rPr>
          <w:rFonts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«ExtensoNovoValor»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end"/>
      </w:r>
      <w:r>
        <w:rPr>
          <w:rFonts w:ascii="Arial" w:eastAsia="Times New Roman" w:hAnsi="Arial" w:cs="Arial"/>
          <w:b w:val="0"/>
        </w:rPr>
        <w:instrText xml:space="preserve">)</w:instrText>
      </w:r>
      <w:r>
        <w:rPr>
          <w:rFonts w:ascii="Arial" w:eastAsia="Times New Roman" w:hAnsi="Arial" w:cs="Arial"/>
          <w:b w:val="0"/>
        </w:rPr>
        <w:t xml:space="preserve">,</w:t>
      </w:r>
      <w:r>
        <w:rPr>
          <w:rFonts w:ascii="Arial" w:eastAsia="Times New Roman" w:hAnsi="Arial" w:cs="Arial"/>
          <w:b/>
          <w:bCs/>
        </w:rPr>
        <w:t xml:space="preserve">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partir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DiaAPartirDe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«DiaAPartirDe»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de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MesAPartirDe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«MesAPartirDe»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de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AnoAtualizacao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«AnoAtualizacao»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  <w:b/>
          <w:bCs/>
        </w:rPr>
        <w:instrText xml:space="preserve">, </w:instrText>
      </w:r>
      <w:r>
        <w:rPr>
          <w:rFonts w:ascii="Arial" w:eastAsia="Times New Roman" w:hAnsi="Arial" w:cs="Arial"/>
          <w:b w:val="0"/>
        </w:rPr>
        <w:t xml:space="preserve">bem </w:t>
      </w:r>
      <w:r>
        <w:rPr>
          <w:rFonts w:ascii="Arial" w:eastAsia="Times New Roman" w:hAnsi="Arial" w:cs="Arial"/>
          <w:b w:val="0"/>
        </w:rPr>
        <w:t xml:space="preserve">como </w:t>
      </w:r>
      <w:r>
        <w:rPr>
          <w:rFonts w:ascii="Arial" w:eastAsia="Times New Roman" w:hAnsi="Arial" w:cs="Arial"/>
          <w:b w:val="0"/>
        </w:rPr>
        <w:t xml:space="preserve">as </w:t>
      </w:r>
      <w:r>
        <w:rPr>
          <w:rFonts w:ascii="Arial" w:eastAsia="Times New Roman" w:hAnsi="Arial" w:cs="Arial"/>
          <w:b w:val="0"/>
        </w:rPr>
        <w:t xml:space="preserve">que </w:t>
      </w:r>
      <w:r>
        <w:rPr>
          <w:rFonts w:ascii="Arial" w:eastAsia="Times New Roman" w:hAnsi="Arial" w:cs="Arial"/>
          <w:b w:val="0"/>
        </w:rPr>
        <w:t xml:space="preserve">se </w:t>
      </w:r>
      <w:r>
        <w:rPr>
          <w:rFonts w:ascii="Arial" w:eastAsia="Times New Roman" w:hAnsi="Arial" w:cs="Arial"/>
          <w:b w:val="0"/>
        </w:rPr>
        <w:t xml:space="preserve">vencerão </w:t>
      </w:r>
      <w:r>
        <w:rPr>
          <w:rFonts w:ascii="Arial" w:eastAsia="Times New Roman" w:hAnsi="Arial" w:cs="Arial"/>
          <w:b w:val="0"/>
        </w:rPr>
        <w:t xml:space="preserve">posteriormente, </w:t>
      </w:r>
      <w:r>
        <w:rPr>
          <w:rFonts w:ascii="Arial" w:eastAsia="Times New Roman" w:hAnsi="Arial" w:cs="Arial"/>
          <w:b w:val="0"/>
        </w:rPr>
        <w:t xml:space="preserve">até </w:t>
      </w:r>
      <w:r>
        <w:rPr>
          <w:rFonts w:ascii="Arial" w:eastAsia="Times New Roman" w:hAnsi="Arial" w:cs="Arial"/>
          <w:b w:val="0"/>
        </w:rPr>
        <w:t xml:space="preserve">nova </w:t>
      </w:r>
      <w:r>
        <w:rPr>
          <w:rFonts w:ascii="Arial" w:eastAsia="Times New Roman" w:hAnsi="Arial" w:cs="Arial"/>
          <w:b w:val="0"/>
        </w:rPr>
        <w:t xml:space="preserve">atualização </w:t>
      </w:r>
      <w:r>
        <w:rPr>
          <w:rFonts w:ascii="Arial" w:eastAsia="Times New Roman" w:hAnsi="Arial" w:cs="Arial"/>
          <w:b w:val="0"/>
        </w:rPr>
        <w:t xml:space="preserve">legal</w:t>
      </w:r>
      <w:r>
        <w:rPr>
          <w:rFonts w:ascii="Arial" w:eastAsia="Times New Roman" w:hAnsi="Arial" w:cs="Arial"/>
        </w:rPr>
        <w:t xml:space="preserve">.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Sem </w:t>
      </w:r>
      <w:r>
        <w:rPr>
          <w:rFonts w:ascii="Arial" w:eastAsia="Times New Roman" w:hAnsi="Arial" w:cs="Arial"/>
        </w:rPr>
        <w:t xml:space="preserve">outro </w:t>
      </w:r>
      <w:r>
        <w:rPr>
          <w:rFonts w:ascii="Arial" w:eastAsia="Times New Roman" w:hAnsi="Arial" w:cs="Arial"/>
        </w:rPr>
        <w:t xml:space="preserve">assunto, </w:t>
      </w:r>
      <w:r>
        <w:rPr>
          <w:rFonts w:ascii="Arial" w:eastAsia="Times New Roman" w:hAnsi="Arial" w:cs="Arial"/>
        </w:rPr>
        <w:t xml:space="preserve">subscrevo-</w:t>
      </w:r>
      <w:r>
        <w:rPr>
          <w:rFonts w:ascii="Arial" w:eastAsia="Times New Roman" w:hAnsi="Arial" w:cs="Arial"/>
        </w:rPr>
        <w:t xml:space="preserve">me </w:t>
      </w:r>
      <w:r>
        <w:rPr>
          <w:rFonts w:ascii="Arial" w:eastAsia="Times New Roman" w:hAnsi="Arial" w:cs="Arial"/>
        </w:rPr>
        <w:t xml:space="preserve">apresentando</w:t>
      </w:r>
      <w:r>
        <w:rPr>
          <w:rFonts w:ascii="Arial" w:eastAsia="Times New Roman" w:hAnsi="Arial" w:cs="Arial"/>
        </w:rPr>
        <w:t xml:space="preserve"> os </w:t>
      </w:r>
      <w:r>
        <w:rPr>
          <w:rFonts w:ascii="Arial" w:eastAsia="Times New Roman" w:hAnsi="Arial" w:cs="Arial"/>
        </w:rPr>
        <w:t xml:space="preserve">meus </w:t>
      </w:r>
      <w:r>
        <w:rPr>
          <w:rFonts w:ascii="Arial" w:eastAsia="Times New Roman" w:hAnsi="Arial" w:cs="Arial"/>
        </w:rPr>
        <w:t xml:space="preserve">melhores </w:t>
      </w:r>
      <w:r>
        <w:rPr>
          <w:rFonts w:ascii="Arial" w:eastAsia="Times New Roman" w:hAnsi="Arial" w:cs="Arial"/>
        </w:rPr>
        <w:t xml:space="preserve">cumprimentos</w:t>
      </w:r>
      <w:r>
        <w:rPr>
          <w:rFonts w:ascii="Arial" w:eastAsia="Times New Roman" w:hAnsi="Arial" w:cs="Arial"/>
        </w:rPr>
        <w:t xml:space="preserve">.</w:t>
      </w:r>
    </w:p>
    <w:p>
      <w:pPr>
        <w:pBdr/>
        <w:pStyle w:val="Normal"/>
        <w:spacing w:line="276" w:lineRule="auto"/>
        <w:ind/>
        <w:jc w:val="left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left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Senhorio,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