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Akuntasi dan Keuangan Lembaga</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Fauzan Fiqriansyah</w:t>
            </w:r>
          </w:p>
        </w:tc>
      </w:tr>
      <w:tr>
        <w:trPr/>
        <w:tc>
          <w:tcPr>
            <w:tcW w:w="4000" w:type="dxa"/>
          </w:tcPr>
          <w:p>
            <w:pPr/>
            <w:r>
              <w:rPr>
                <w:rStyle w:val="identitas"/>
              </w:rPr>
              <w:t xml:space="preserve">Satuan Pendidikan</w:t>
            </w:r>
          </w:p>
        </w:tc>
        <w:tc>
          <w:tcPr>
            <w:tcW w:w="5000" w:type="dxa"/>
          </w:tcPr>
          <w:p>
            <w:pPr/>
            <w:r>
              <w:rPr>
                <w:rStyle w:val="identitas"/>
              </w:rPr>
              <w:t xml:space="preserve">SMKN 13 BANDUNG</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Akuntasi dan Keuangan Lembaga</w:t>
            </w:r>
          </w:p>
        </w:tc>
      </w:tr>
      <w:tr>
        <w:trPr/>
        <w:tc>
          <w:tcPr>
            <w:tcW w:w="4000" w:type="dxa"/>
          </w:tcPr>
          <w:p>
            <w:pPr/>
            <w:r>
              <w:rPr>
                <w:rStyle w:val="identitas"/>
              </w:rPr>
              <w:t xml:space="preserve">Mata Pelajaran</w:t>
            </w:r>
          </w:p>
        </w:tc>
        <w:tc>
          <w:tcPr>
            <w:tcW w:w="5000" w:type="dxa"/>
          </w:tcPr>
          <w:p>
            <w:pPr/>
            <w:r>
              <w:rPr>
                <w:rStyle w:val="identitas"/>
              </w:rPr>
              <w:t xml:space="preserve">Sosiologi</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penelitian sosial sederhana dengan memilih metode yang tepat untuk mengamati, menanya, mengumpulkan informasi, mengorganisasikan informasi, menarik kesimpulan, dan mengomunikasikan hasil penelitian tentang berbagai keragaman gejala sosial dengan konsep dasar sosiologi. Peserta didik mampu merefleksikan dan merencanakan projek lanjutan secara kolaboratif.</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tujuan yang akan dicapai pada pembelajaran hari ini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Suparno, S. Pd., M.Pd.						  Fauzan Fiqriansyah</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B3AE7F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FD5FB47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D61435E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A57717C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16C674C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9631382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7809673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D97DC1A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EE005F8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83BC07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4F31B82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1261C48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BC519B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E0EB93B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FDDCE57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DFA4024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000833C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6EA03B0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D230999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E72D69B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867279E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0F1553A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2F030DB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2022-11-20T17:30:20+01:00</dcterms:created>
  <dcterms:modified xsi:type="dcterms:W3CDTF">2022-11-20T17:30:20+01:00</dcterms:modified>
</cp:coreProperties>
</file>

<file path=docProps/custom.xml><?xml version="1.0" encoding="utf-8"?>
<Properties xmlns="http://schemas.openxmlformats.org/officeDocument/2006/custom-properties" xmlns:vt="http://schemas.openxmlformats.org/officeDocument/2006/docPropsVTypes"/>
</file>